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F0CBAD" w14:textId="4F1370F4" w:rsidR="00E75495" w:rsidRDefault="00E75495" w:rsidP="00E75495">
      <w:pPr>
        <w:pStyle w:val="Heading1"/>
        <w:rPr>
          <w:noProof/>
          <w:lang w:val="en-US"/>
        </w:rPr>
      </w:pPr>
      <w:bookmarkStart w:id="0" w:name="_Hlk144893291"/>
      <w:r w:rsidRPr="00E75495">
        <w:rPr>
          <w:noProof/>
          <w:lang w:val="en-US"/>
        </w:rPr>
        <w:t>Supplementary material</w:t>
      </w:r>
    </w:p>
    <w:p w14:paraId="69160EC1" w14:textId="0AA40216" w:rsidR="007E3955" w:rsidRDefault="0091486E" w:rsidP="0091486E">
      <w:pPr>
        <w:rPr>
          <w:rFonts w:cs="Times New Roman"/>
          <w:noProof/>
          <w:lang w:val="en-US"/>
        </w:rPr>
      </w:pPr>
      <w:r>
        <w:rPr>
          <w:rFonts w:cs="Times New Roman"/>
          <w:noProof/>
          <w:lang w:val="en-US"/>
        </w:rPr>
        <w:t xml:space="preserve">In this section, I present information on the methodology used. Also, </w:t>
      </w:r>
      <w:r w:rsidR="007F5911">
        <w:rPr>
          <w:rFonts w:cs="Times New Roman"/>
          <w:noProof/>
          <w:lang w:val="en-US"/>
        </w:rPr>
        <w:t>there is information</w:t>
      </w:r>
      <w:r w:rsidR="00D920BC">
        <w:rPr>
          <w:rFonts w:cs="Times New Roman"/>
          <w:noProof/>
          <w:lang w:val="en-US"/>
        </w:rPr>
        <w:t xml:space="preserve"> </w:t>
      </w:r>
      <w:r w:rsidR="007F5911">
        <w:rPr>
          <w:rFonts w:cs="Times New Roman"/>
          <w:noProof/>
          <w:lang w:val="en-US"/>
        </w:rPr>
        <w:t xml:space="preserve">that </w:t>
      </w:r>
      <w:r w:rsidR="007B2858">
        <w:rPr>
          <w:rFonts w:cs="Times New Roman"/>
          <w:noProof/>
          <w:lang w:val="en-US"/>
        </w:rPr>
        <w:t>supplements</w:t>
      </w:r>
      <w:r w:rsidR="007F5911">
        <w:rPr>
          <w:rFonts w:cs="Times New Roman"/>
          <w:noProof/>
          <w:lang w:val="en-US"/>
        </w:rPr>
        <w:t xml:space="preserve"> the results presented </w:t>
      </w:r>
      <w:r w:rsidR="007B2858">
        <w:rPr>
          <w:rFonts w:cs="Times New Roman"/>
          <w:noProof/>
          <w:lang w:val="en-US"/>
        </w:rPr>
        <w:t>in</w:t>
      </w:r>
      <w:r w:rsidR="007F5911">
        <w:rPr>
          <w:rFonts w:cs="Times New Roman"/>
          <w:noProof/>
          <w:lang w:val="en-US"/>
        </w:rPr>
        <w:t xml:space="preserve"> the paper in relation to: </w:t>
      </w:r>
    </w:p>
    <w:p w14:paraId="45C96ABD" w14:textId="220CCE0B" w:rsidR="007F5911" w:rsidRPr="007F5911" w:rsidRDefault="007F5911" w:rsidP="007F5911">
      <w:pPr>
        <w:pStyle w:val="ListParagraph"/>
        <w:numPr>
          <w:ilvl w:val="0"/>
          <w:numId w:val="2"/>
        </w:numPr>
        <w:rPr>
          <w:rFonts w:cs="Times New Roman"/>
          <w:noProof/>
          <w:lang w:val="en-US"/>
        </w:rPr>
      </w:pPr>
      <w:r w:rsidRPr="007F5911">
        <w:rPr>
          <w:rFonts w:cs="Times New Roman"/>
          <w:noProof/>
          <w:lang w:val="en-US"/>
        </w:rPr>
        <w:t>the participation of African</w:t>
      </w:r>
      <w:r w:rsidR="00D34106">
        <w:rPr>
          <w:rFonts w:cs="Times New Roman"/>
          <w:noProof/>
          <w:lang w:val="en-US"/>
        </w:rPr>
        <w:t xml:space="preserve"> and non-African</w:t>
      </w:r>
      <w:r w:rsidRPr="007F5911">
        <w:rPr>
          <w:rFonts w:cs="Times New Roman"/>
          <w:noProof/>
          <w:lang w:val="en-US"/>
        </w:rPr>
        <w:t xml:space="preserve"> countries in the articles addressing neonatal conditions</w:t>
      </w:r>
      <w:r>
        <w:rPr>
          <w:rFonts w:cs="Times New Roman"/>
          <w:noProof/>
          <w:lang w:val="en-US"/>
        </w:rPr>
        <w:t>,</w:t>
      </w:r>
    </w:p>
    <w:p w14:paraId="2EFC54B7" w14:textId="4D37DA0A" w:rsidR="007F5911" w:rsidRPr="007F5911" w:rsidRDefault="007F5911" w:rsidP="007F5911">
      <w:pPr>
        <w:pStyle w:val="ListParagraph"/>
        <w:numPr>
          <w:ilvl w:val="0"/>
          <w:numId w:val="2"/>
        </w:numPr>
        <w:rPr>
          <w:rFonts w:cs="Times New Roman"/>
          <w:noProof/>
          <w:lang w:val="en-US"/>
        </w:rPr>
      </w:pPr>
      <w:r w:rsidRPr="007F5911">
        <w:rPr>
          <w:rFonts w:cs="Times New Roman"/>
          <w:noProof/>
          <w:lang w:val="en-US"/>
        </w:rPr>
        <w:t xml:space="preserve">the main path </w:t>
      </w:r>
      <w:r w:rsidR="007B2858">
        <w:rPr>
          <w:rFonts w:cs="Times New Roman"/>
          <w:noProof/>
          <w:lang w:val="en-US"/>
        </w:rPr>
        <w:t>analysis</w:t>
      </w:r>
      <w:r w:rsidRPr="007F5911">
        <w:rPr>
          <w:rFonts w:cs="Times New Roman"/>
          <w:noProof/>
          <w:lang w:val="en-US"/>
        </w:rPr>
        <w:t xml:space="preserve"> using different seeds (</w:t>
      </w:r>
      <w:r w:rsidRPr="007F5911">
        <w:rPr>
          <w:rFonts w:cs="Times New Roman"/>
          <w:noProof/>
          <w:lang w:val="en-US"/>
        </w:rPr>
        <w:fldChar w:fldCharType="begin"/>
      </w:r>
      <w:r w:rsidRPr="007F5911">
        <w:rPr>
          <w:rFonts w:cs="Times New Roman"/>
          <w:noProof/>
          <w:lang w:val="en-US"/>
        </w:rPr>
        <w:instrText xml:space="preserve"> REF _Ref140785624 \h </w:instrText>
      </w:r>
      <w:r w:rsidRPr="007F5911">
        <w:rPr>
          <w:rFonts w:cs="Times New Roman"/>
          <w:noProof/>
          <w:lang w:val="en-US"/>
        </w:rPr>
      </w:r>
      <w:r w:rsidRPr="007F5911">
        <w:rPr>
          <w:rFonts w:cs="Times New Roman"/>
          <w:noProof/>
          <w:lang w:val="en-US"/>
        </w:rPr>
        <w:fldChar w:fldCharType="separate"/>
      </w:r>
      <w:r w:rsidRPr="007F5911">
        <w:rPr>
          <w:lang w:val="en-GB"/>
        </w:rPr>
        <w:t xml:space="preserve">Figure </w:t>
      </w:r>
      <w:r w:rsidRPr="007F5911">
        <w:rPr>
          <w:noProof/>
          <w:lang w:val="en-GB"/>
        </w:rPr>
        <w:t>1</w:t>
      </w:r>
      <w:r w:rsidRPr="007F5911">
        <w:rPr>
          <w:rFonts w:cs="Times New Roman"/>
          <w:noProof/>
          <w:lang w:val="en-US"/>
        </w:rPr>
        <w:fldChar w:fldCharType="end"/>
      </w:r>
      <w:r w:rsidRPr="007F5911">
        <w:rPr>
          <w:rFonts w:cs="Times New Roman"/>
          <w:noProof/>
          <w:lang w:val="en-US"/>
        </w:rPr>
        <w:t xml:space="preserve"> to </w:t>
      </w:r>
      <w:r w:rsidRPr="007F5911">
        <w:rPr>
          <w:rFonts w:cs="Times New Roman"/>
          <w:noProof/>
          <w:lang w:val="en-US"/>
        </w:rPr>
        <w:fldChar w:fldCharType="begin"/>
      </w:r>
      <w:r w:rsidRPr="007F5911">
        <w:rPr>
          <w:rFonts w:cs="Times New Roman"/>
          <w:noProof/>
          <w:lang w:val="en-US"/>
        </w:rPr>
        <w:instrText xml:space="preserve"> REF _Ref140785628 \h </w:instrText>
      </w:r>
      <w:r w:rsidRPr="007F5911">
        <w:rPr>
          <w:rFonts w:cs="Times New Roman"/>
          <w:noProof/>
          <w:lang w:val="en-US"/>
        </w:rPr>
      </w:r>
      <w:r w:rsidRPr="007F5911">
        <w:rPr>
          <w:rFonts w:cs="Times New Roman"/>
          <w:noProof/>
          <w:lang w:val="en-US"/>
        </w:rPr>
        <w:fldChar w:fldCharType="separate"/>
      </w:r>
      <w:r w:rsidRPr="007F5911">
        <w:rPr>
          <w:lang w:val="en-GB"/>
        </w:rPr>
        <w:t xml:space="preserve">Figure </w:t>
      </w:r>
      <w:r w:rsidRPr="007F5911">
        <w:rPr>
          <w:noProof/>
          <w:lang w:val="en-GB"/>
        </w:rPr>
        <w:t>5</w:t>
      </w:r>
      <w:r w:rsidRPr="007F5911">
        <w:rPr>
          <w:rFonts w:cs="Times New Roman"/>
          <w:noProof/>
          <w:lang w:val="en-US"/>
        </w:rPr>
        <w:fldChar w:fldCharType="end"/>
      </w:r>
      <w:r w:rsidRPr="007F5911">
        <w:rPr>
          <w:rFonts w:cs="Times New Roman"/>
          <w:noProof/>
          <w:lang w:val="en-US"/>
        </w:rPr>
        <w:t>)</w:t>
      </w:r>
      <w:r>
        <w:rPr>
          <w:rFonts w:cs="Times New Roman"/>
          <w:noProof/>
          <w:lang w:val="en-US"/>
        </w:rPr>
        <w:t>,</w:t>
      </w:r>
    </w:p>
    <w:p w14:paraId="07C35B89" w14:textId="1E5D4324" w:rsidR="007F5911" w:rsidRDefault="007F5911" w:rsidP="007F5911">
      <w:pPr>
        <w:pStyle w:val="ListParagraph"/>
        <w:numPr>
          <w:ilvl w:val="0"/>
          <w:numId w:val="2"/>
        </w:numPr>
        <w:rPr>
          <w:rFonts w:cs="Times New Roman"/>
          <w:noProof/>
          <w:lang w:val="en-US"/>
        </w:rPr>
      </w:pPr>
      <w:r w:rsidRPr="007F5911">
        <w:rPr>
          <w:rFonts w:cs="Times New Roman"/>
          <w:noProof/>
          <w:lang w:val="en-US"/>
        </w:rPr>
        <w:t>a brief description of the studies in the main path analysis.</w:t>
      </w:r>
    </w:p>
    <w:p w14:paraId="1893770F" w14:textId="2560397E" w:rsidR="0091486E" w:rsidRPr="0091486E" w:rsidRDefault="0091486E" w:rsidP="0091486E">
      <w:pPr>
        <w:rPr>
          <w:rFonts w:cs="Times New Roman"/>
          <w:b/>
          <w:bCs/>
          <w:noProof/>
          <w:sz w:val="24"/>
          <w:szCs w:val="24"/>
          <w:lang w:val="en-US"/>
        </w:rPr>
      </w:pPr>
      <w:r w:rsidRPr="0091486E">
        <w:rPr>
          <w:rFonts w:cs="Times New Roman"/>
          <w:b/>
          <w:bCs/>
          <w:noProof/>
          <w:sz w:val="24"/>
          <w:szCs w:val="24"/>
          <w:lang w:val="en-US"/>
        </w:rPr>
        <w:t xml:space="preserve">Main Path Analysis </w:t>
      </w:r>
    </w:p>
    <w:p w14:paraId="264EDFC4" w14:textId="78B3E151" w:rsidR="0091486E" w:rsidRDefault="0091486E" w:rsidP="0091486E">
      <w:pPr>
        <w:rPr>
          <w:lang w:val="en-US"/>
        </w:rPr>
      </w:pPr>
      <w:r>
        <w:rPr>
          <w:lang w:val="en-US"/>
        </w:rPr>
        <w:t>In the MPA, for each edge in the citation network, it is determined the traversal count using the search path count (SPC), the search path link count (SPLC), or the search path node pair (SPNP) (</w:t>
      </w:r>
      <w:r>
        <w:rPr>
          <w:lang w:val="en-US"/>
        </w:rPr>
        <w:fldChar w:fldCharType="begin"/>
      </w:r>
      <w:r>
        <w:rPr>
          <w:lang w:val="en-US"/>
        </w:rPr>
        <w:instrText xml:space="preserve"> ADDIN EN.CITE &lt;EndNote&gt;&lt;Cite&gt;&lt;Author&gt;Verspagen&lt;/Author&gt;&lt;Year&gt;2007&lt;/Year&gt;&lt;RecNum&gt;1822&lt;/RecNum&gt;&lt;DisplayText&gt;Verspagen, 2007&lt;/DisplayText&gt;&lt;record&gt;&lt;rec-number&gt;1822&lt;/rec-number&gt;&lt;foreign-keys&gt;&lt;key app="EN" db-id="fs9tzaewcs0w5hex9rmvxrsipvf5dpsvst5f" timestamp="1682495767"&gt;1822&lt;/key&gt;&lt;/foreign-keys&gt;&lt;ref-type name="Journal Article"&gt;17&lt;/ref-type&gt;&lt;contributors&gt;&lt;authors&gt;&lt;author&gt;Verspagen, Bart&lt;/author&gt;&lt;/authors&gt;&lt;/contributors&gt;&lt;titles&gt;&lt;title&gt;Mapping Technological Trajectories as Patent citation Networks: a Study on the History of Fuel Cell Research&lt;/title&gt;&lt;secondary-title&gt;Advances in Complex Systems (ACS)&lt;/secondary-title&gt;&lt;/titles&gt;&lt;periodical&gt;&lt;full-title&gt;Advances in Complex Systems (ACS)&lt;/full-title&gt;&lt;/periodical&gt;&lt;pages&gt;93-115&lt;/pages&gt;&lt;volume&gt;10&lt;/volume&gt;&lt;dates&gt;&lt;year&gt;2007&lt;/year&gt;&lt;pub-dates&gt;&lt;date&gt;02/01&lt;/date&gt;&lt;/pub-dates&gt;&lt;/dates&gt;&lt;urls&gt;&lt;/urls&gt;&lt;electronic-resource-num&gt;10.1142/S0219525907000945&lt;/electronic-resource-num&gt;&lt;/record&gt;&lt;/Cite&gt;&lt;/EndNote&gt;</w:instrText>
      </w:r>
      <w:r>
        <w:rPr>
          <w:lang w:val="en-US"/>
        </w:rPr>
        <w:fldChar w:fldCharType="separate"/>
      </w:r>
      <w:r>
        <w:rPr>
          <w:noProof/>
          <w:lang w:val="en-US"/>
        </w:rPr>
        <w:t>Verspagen, 2007</w:t>
      </w:r>
      <w:r>
        <w:rPr>
          <w:lang w:val="en-US"/>
        </w:rPr>
        <w:fldChar w:fldCharType="end"/>
      </w:r>
      <w:r>
        <w:rPr>
          <w:lang w:val="en-US"/>
        </w:rPr>
        <w:t>). Having the traversal counts, makes possible to search for the most relevant path(s) using the local, global, or key-route main path algorithms (</w:t>
      </w:r>
      <w:r>
        <w:rPr>
          <w:lang w:val="en-US"/>
        </w:rPr>
        <w:fldChar w:fldCharType="begin"/>
      </w:r>
      <w:r>
        <w:rPr>
          <w:lang w:val="en-US"/>
        </w:rPr>
        <w:instrText xml:space="preserve"> ADDIN EN.CITE &lt;EndNote&gt;&lt;Cite&gt;&lt;Author&gt;Liu&lt;/Author&gt;&lt;Year&gt;2012&lt;/Year&gt;&lt;RecNum&gt;1823&lt;/RecNum&gt;&lt;DisplayText&gt;Liu &amp;amp; Lu, 2012&lt;/DisplayText&gt;&lt;record&gt;&lt;rec-number&gt;1823&lt;/rec-number&gt;&lt;foreign-keys&gt;&lt;key app="EN" db-id="fs9tzaewcs0w5hex9rmvxrsipvf5dpsvst5f" timestamp="1682496168"&gt;1823&lt;/key&gt;&lt;/foreign-keys&gt;&lt;ref-type name="Journal Article"&gt;17&lt;/ref-type&gt;&lt;contributors&gt;&lt;authors&gt;&lt;author&gt;Liu, J. S.&lt;/author&gt;&lt;author&gt;Lu, L. Y. Y.&lt;/author&gt;&lt;/authors&gt;&lt;/contributors&gt;&lt;titles&gt;&lt;title&gt;An Integrated Approach for Main Path Analysis: Development of the Hirsch Index as an Example&lt;/title&gt;&lt;secondary-title&gt;Journal of the American Society for Information Science and Technology&lt;/secondary-title&gt;&lt;/titles&gt;&lt;periodical&gt;&lt;full-title&gt;Journal of the American Society for Information Science and Technology&lt;/full-title&gt;&lt;/periodical&gt;&lt;pages&gt;528-542&lt;/pages&gt;&lt;volume&gt;63&lt;/volume&gt;&lt;number&gt;3&lt;/number&gt;&lt;dates&gt;&lt;year&gt;2012&lt;/year&gt;&lt;pub-dates&gt;&lt;date&gt;Mar&lt;/date&gt;&lt;/pub-dates&gt;&lt;/dates&gt;&lt;isbn&gt;1532-2882&lt;/isbn&gt;&lt;accession-num&gt;WOS:000301038300008&lt;/accession-num&gt;&lt;urls&gt;&lt;related-urls&gt;&lt;url&gt;&amp;lt;Go to ISI&amp;gt;://WOS:000301038300008&lt;/url&gt;&lt;/related-urls&gt;&lt;/urls&gt;&lt;electronic-resource-num&gt;10.1002/asi.21692&lt;/electronic-resource-num&gt;&lt;/record&gt;&lt;/Cite&gt;&lt;/EndNote&gt;</w:instrText>
      </w:r>
      <w:r>
        <w:rPr>
          <w:lang w:val="en-US"/>
        </w:rPr>
        <w:fldChar w:fldCharType="separate"/>
      </w:r>
      <w:r>
        <w:rPr>
          <w:noProof/>
          <w:lang w:val="en-US"/>
        </w:rPr>
        <w:t>Liu &amp; Lu, 2012</w:t>
      </w:r>
      <w:r>
        <w:rPr>
          <w:lang w:val="en-US"/>
        </w:rPr>
        <w:fldChar w:fldCharType="end"/>
      </w:r>
      <w:r>
        <w:rPr>
          <w:lang w:val="en-US"/>
        </w:rPr>
        <w:t xml:space="preserve">). Here, I used the SPLC to determine the significance of each edge. The SPLC counts all paths that start at any node and end at a sink (a node that cites other nodes, but is not cited), and determines how many of these paths each edge is on. In choosing the SPLC, I followed the argument of </w:t>
      </w:r>
      <w:r>
        <w:rPr>
          <w:lang w:val="en-US"/>
        </w:rPr>
        <w:fldChar w:fldCharType="begin"/>
      </w:r>
      <w:r>
        <w:rPr>
          <w:lang w:val="en-US"/>
        </w:rPr>
        <w:instrText xml:space="preserve"> ADDIN EN.CITE &lt;EndNote&gt;&lt;Cite&gt;&lt;Author&gt;Liu&lt;/Author&gt;&lt;Year&gt;2019&lt;/Year&gt;&lt;RecNum&gt;1834&lt;/RecNum&gt;&lt;DisplayText&gt;Liu, Lu, &amp;amp; Ho, 2019&lt;/DisplayText&gt;&lt;record&gt;&lt;rec-number&gt;1834&lt;/rec-number&gt;&lt;foreign-keys&gt;&lt;key app="EN" db-id="fs9tzaewcs0w5hex9rmvxrsipvf5dpsvst5f" timestamp="1685099432"&gt;1834&lt;/key&gt;&lt;/foreign-keys&gt;&lt;ref-type name="Journal Article"&gt;17&lt;/ref-type&gt;&lt;contributors&gt;&lt;authors&gt;&lt;author&gt;Liu, J. S.&lt;/author&gt;&lt;author&gt;Lu, L. Y. Y.&lt;/author&gt;&lt;author&gt;Ho, M. H. C.&lt;/author&gt;&lt;/authors&gt;&lt;/contributors&gt;&lt;titles&gt;&lt;title&gt;A few notes on main path analysis&lt;/title&gt;&lt;secondary-title&gt;Scientometrics&lt;/secondary-title&gt;&lt;/titles&gt;&lt;periodical&gt;&lt;full-title&gt;Scientometrics&lt;/full-title&gt;&lt;/periodical&gt;&lt;pages&gt;379-391&lt;/pages&gt;&lt;volume&gt;119&lt;/volume&gt;&lt;number&gt;1&lt;/number&gt;&lt;dates&gt;&lt;year&gt;2019&lt;/year&gt;&lt;pub-dates&gt;&lt;date&gt;Apr&lt;/date&gt;&lt;/pub-dates&gt;&lt;/dates&gt;&lt;isbn&gt;0138-9130&lt;/isbn&gt;&lt;accession-num&gt;WOS:000463637600018&lt;/accession-num&gt;&lt;urls&gt;&lt;related-urls&gt;&lt;url&gt;&amp;lt;Go to ISI&amp;gt;://WOS:000463637600018&lt;/url&gt;&lt;/related-urls&gt;&lt;/urls&gt;&lt;electronic-resource-num&gt;10.1007/s11192-019-03034-x&lt;/electronic-resource-num&gt;&lt;/record&gt;&lt;/Cite&gt;&lt;/EndNote&gt;</w:instrText>
      </w:r>
      <w:r>
        <w:rPr>
          <w:lang w:val="en-US"/>
        </w:rPr>
        <w:fldChar w:fldCharType="separate"/>
      </w:r>
      <w:r>
        <w:rPr>
          <w:lang w:val="en-US"/>
        </w:rPr>
        <w:t>Liu, Lu, &amp; Ho, 2019</w:t>
      </w:r>
      <w:r>
        <w:rPr>
          <w:lang w:val="en-US"/>
        </w:rPr>
        <w:fldChar w:fldCharType="end"/>
      </w:r>
      <w:r>
        <w:rPr>
          <w:lang w:val="en-US"/>
        </w:rPr>
        <w:t>. A</w:t>
      </w:r>
      <w:r w:rsidRPr="008A3741">
        <w:rPr>
          <w:lang w:val="en-US"/>
        </w:rPr>
        <w:t>pplying a messenger and tollway analogy</w:t>
      </w:r>
      <w:r>
        <w:rPr>
          <w:lang w:val="en-US"/>
        </w:rPr>
        <w:t xml:space="preserve">, the authors </w:t>
      </w:r>
      <w:r w:rsidRPr="008A3741">
        <w:rPr>
          <w:lang w:val="en-US"/>
        </w:rPr>
        <w:t>conclude</w:t>
      </w:r>
      <w:r>
        <w:rPr>
          <w:lang w:val="en-US"/>
        </w:rPr>
        <w:t>d</w:t>
      </w:r>
      <w:r w:rsidRPr="008A3741">
        <w:rPr>
          <w:lang w:val="en-US"/>
        </w:rPr>
        <w:t xml:space="preserve"> that the SPLC is the best transversal count “as it emulates most closely the knowledge diffusion scenario in the scientific and technological development where individual papers or patents not only pass knowledge, but also are knowledge sources themselves” (</w:t>
      </w:r>
      <w:r w:rsidRPr="008A3741">
        <w:rPr>
          <w:lang w:val="en-US"/>
        </w:rPr>
        <w:fldChar w:fldCharType="begin"/>
      </w:r>
      <w:r w:rsidRPr="008A3741">
        <w:rPr>
          <w:lang w:val="en-US"/>
        </w:rPr>
        <w:instrText xml:space="preserve"> ADDIN EN.CITE &lt;EndNote&gt;&lt;Cite&gt;&lt;Author&gt;Liu&lt;/Author&gt;&lt;Year&gt;2019&lt;/Year&gt;&lt;RecNum&gt;1834&lt;/RecNum&gt;&lt;DisplayText&gt;Liu, Lu, &amp;amp; Ho, 2019&lt;/DisplayText&gt;&lt;record&gt;&lt;rec-number&gt;1834&lt;/rec-number&gt;&lt;foreign-keys&gt;&lt;key app="EN" db-id="fs9tzaewcs0w5hex9rmvxrsipvf5dpsvst5f" timestamp="1685099432"&gt;1834&lt;/key&gt;&lt;/foreign-keys&gt;&lt;ref-type name="Journal Article"&gt;17&lt;/ref-type&gt;&lt;contributors&gt;&lt;authors&gt;&lt;author&gt;Liu, J. S.&lt;/author&gt;&lt;author&gt;Lu, L. Y. Y.&lt;/author&gt;&lt;author&gt;Ho, M. H. C.&lt;/author&gt;&lt;/authors&gt;&lt;/contributors&gt;&lt;titles&gt;&lt;title&gt;A few notes on main path analysis&lt;/title&gt;&lt;secondary-title&gt;Scientometrics&lt;/secondary-title&gt;&lt;/titles&gt;&lt;periodical&gt;&lt;full-title&gt;Scientometrics&lt;/full-title&gt;&lt;/periodical&gt;&lt;pages&gt;379-391&lt;/pages&gt;&lt;volume&gt;119&lt;/volume&gt;&lt;number&gt;1&lt;/number&gt;&lt;dates&gt;&lt;year&gt;2019&lt;/year&gt;&lt;pub-dates&gt;&lt;date&gt;Apr&lt;/date&gt;&lt;/pub-dates&gt;&lt;/dates&gt;&lt;isbn&gt;0138-9130&lt;/isbn&gt;&lt;accession-num&gt;WOS:000463637600018&lt;/accession-num&gt;&lt;urls&gt;&lt;related-urls&gt;&lt;url&gt;&amp;lt;Go to ISI&amp;gt;://WOS:000463637600018&lt;/url&gt;&lt;/related-urls&gt;&lt;/urls&gt;&lt;electronic-resource-num&gt;10.1007/s11192-019-03034-x&lt;/electronic-resource-num&gt;&lt;/record&gt;&lt;/Cite&gt;&lt;/EndNote&gt;</w:instrText>
      </w:r>
      <w:r w:rsidRPr="008A3741">
        <w:rPr>
          <w:lang w:val="en-US"/>
        </w:rPr>
        <w:fldChar w:fldCharType="separate"/>
      </w:r>
      <w:r w:rsidRPr="008A3741">
        <w:rPr>
          <w:lang w:val="en-US"/>
        </w:rPr>
        <w:t>Liu, Lu, &amp; Ho, 2019</w:t>
      </w:r>
      <w:r w:rsidRPr="008A3741">
        <w:rPr>
          <w:lang w:val="en-US"/>
        </w:rPr>
        <w:fldChar w:fldCharType="end"/>
      </w:r>
      <w:r w:rsidRPr="008A3741">
        <w:rPr>
          <w:lang w:val="en-US"/>
        </w:rPr>
        <w:t>, page 386).</w:t>
      </w:r>
      <w:r>
        <w:rPr>
          <w:lang w:val="en-US"/>
        </w:rPr>
        <w:t xml:space="preserve"> </w:t>
      </w:r>
    </w:p>
    <w:p w14:paraId="3AEB3C7E" w14:textId="5A9717EF" w:rsidR="0091486E" w:rsidRDefault="0091486E" w:rsidP="0091486E">
      <w:pPr>
        <w:rPr>
          <w:lang w:val="en-US"/>
        </w:rPr>
      </w:pPr>
      <w:r w:rsidRPr="00801239">
        <w:rPr>
          <w:lang w:val="en-US"/>
        </w:rPr>
        <w:t>To find the main path</w:t>
      </w:r>
      <w:r>
        <w:rPr>
          <w:lang w:val="en-US"/>
        </w:rPr>
        <w:t>(s)</w:t>
      </w:r>
      <w:r w:rsidRPr="00801239">
        <w:rPr>
          <w:lang w:val="en-US"/>
        </w:rPr>
        <w:t xml:space="preserve">, between the local, global and key-route </w:t>
      </w:r>
      <w:r w:rsidR="0042312B">
        <w:rPr>
          <w:lang w:val="en-US"/>
        </w:rPr>
        <w:t>algorithms</w:t>
      </w:r>
      <w:r w:rsidRPr="00801239">
        <w:rPr>
          <w:lang w:val="en-US"/>
        </w:rPr>
        <w:t xml:space="preserve">, I chose the key-route </w:t>
      </w:r>
      <w:r>
        <w:rPr>
          <w:lang w:val="en-US"/>
        </w:rPr>
        <w:t>because</w:t>
      </w:r>
      <w:r w:rsidRPr="00801239">
        <w:rPr>
          <w:lang w:val="en-US"/>
        </w:rPr>
        <w:t xml:space="preserve"> </w:t>
      </w:r>
      <w:r>
        <w:rPr>
          <w:lang w:val="en-US"/>
        </w:rPr>
        <w:t xml:space="preserve">it is </w:t>
      </w:r>
      <w:r w:rsidRPr="00801239">
        <w:rPr>
          <w:lang w:val="en-US"/>
        </w:rPr>
        <w:t xml:space="preserve">the </w:t>
      </w:r>
      <w:r>
        <w:rPr>
          <w:lang w:val="en-US"/>
        </w:rPr>
        <w:t xml:space="preserve">only </w:t>
      </w:r>
      <w:r w:rsidRPr="00801239">
        <w:rPr>
          <w:lang w:val="en-US"/>
        </w:rPr>
        <w:t xml:space="preserve">algorithm </w:t>
      </w:r>
      <w:r>
        <w:rPr>
          <w:lang w:val="en-US"/>
        </w:rPr>
        <w:t xml:space="preserve">that </w:t>
      </w:r>
      <w:r w:rsidRPr="00801239">
        <w:rPr>
          <w:lang w:val="en-US"/>
        </w:rPr>
        <w:t>guarantees</w:t>
      </w:r>
      <w:r>
        <w:rPr>
          <w:lang w:val="en-US"/>
        </w:rPr>
        <w:t xml:space="preserve"> the</w:t>
      </w:r>
      <w:r w:rsidRPr="00801239">
        <w:rPr>
          <w:lang w:val="en-US"/>
        </w:rPr>
        <w:t xml:space="preserve"> </w:t>
      </w:r>
      <w:r>
        <w:rPr>
          <w:lang w:val="en-US"/>
        </w:rPr>
        <w:t>inclusion of the</w:t>
      </w:r>
      <w:r w:rsidRPr="00801239">
        <w:rPr>
          <w:lang w:val="en-US"/>
        </w:rPr>
        <w:t xml:space="preserve"> top link (the one with the highest traversal count) </w:t>
      </w:r>
      <w:r>
        <w:rPr>
          <w:lang w:val="en-US"/>
        </w:rPr>
        <w:t>(</w:t>
      </w:r>
      <w:r>
        <w:rPr>
          <w:lang w:val="en-US"/>
        </w:rPr>
        <w:fldChar w:fldCharType="begin"/>
      </w:r>
      <w:r>
        <w:rPr>
          <w:lang w:val="en-US"/>
        </w:rPr>
        <w:instrText xml:space="preserve"> ADDIN EN.CITE &lt;EndNote&gt;&lt;Cite&gt;&lt;Author&gt;Liu&lt;/Author&gt;&lt;Year&gt;2012&lt;/Year&gt;&lt;RecNum&gt;1823&lt;/RecNum&gt;&lt;DisplayText&gt;Liu &amp;amp; Lu, 2012&lt;/DisplayText&gt;&lt;record&gt;&lt;rec-number&gt;1823&lt;/rec-number&gt;&lt;foreign-keys&gt;&lt;key app="EN" db-id="fs9tzaewcs0w5hex9rmvxrsipvf5dpsvst5f" timestamp="1682496168"&gt;1823&lt;/key&gt;&lt;/foreign-keys&gt;&lt;ref-type name="Journal Article"&gt;17&lt;/ref-type&gt;&lt;contributors&gt;&lt;authors&gt;&lt;author&gt;Liu, J. S.&lt;/author&gt;&lt;author&gt;Lu, L. Y. Y.&lt;/author&gt;&lt;/authors&gt;&lt;/contributors&gt;&lt;titles&gt;&lt;title&gt;An Integrated Approach for Main Path Analysis: Development of the Hirsch Index as an Example&lt;/title&gt;&lt;secondary-title&gt;Journal of the American Society for Information Science and Technology&lt;/secondary-title&gt;&lt;/titles&gt;&lt;periodical&gt;&lt;full-title&gt;Journal of the American Society for Information Science and Technology&lt;/full-title&gt;&lt;/periodical&gt;&lt;pages&gt;528-542&lt;/pages&gt;&lt;volume&gt;63&lt;/volume&gt;&lt;number&gt;3&lt;/number&gt;&lt;dates&gt;&lt;year&gt;2012&lt;/year&gt;&lt;pub-dates&gt;&lt;date&gt;Mar&lt;/date&gt;&lt;/pub-dates&gt;&lt;/dates&gt;&lt;isbn&gt;1532-2882&lt;/isbn&gt;&lt;accession-num&gt;WOS:000301038300008&lt;/accession-num&gt;&lt;urls&gt;&lt;related-urls&gt;&lt;url&gt;&amp;lt;Go to ISI&amp;gt;://WOS:000301038300008&lt;/url&gt;&lt;/related-urls&gt;&lt;/urls&gt;&lt;electronic-resource-num&gt;10.1002/asi.21692&lt;/electronic-resource-num&gt;&lt;/record&gt;&lt;/Cite&gt;&lt;/EndNote&gt;</w:instrText>
      </w:r>
      <w:r>
        <w:rPr>
          <w:lang w:val="en-US"/>
        </w:rPr>
        <w:fldChar w:fldCharType="separate"/>
      </w:r>
      <w:r>
        <w:rPr>
          <w:noProof/>
          <w:lang w:val="en-US"/>
        </w:rPr>
        <w:t>Liu &amp; Lu, 2012</w:t>
      </w:r>
      <w:r>
        <w:rPr>
          <w:lang w:val="en-US"/>
        </w:rPr>
        <w:fldChar w:fldCharType="end"/>
      </w:r>
      <w:r>
        <w:rPr>
          <w:lang w:val="en-US"/>
        </w:rPr>
        <w:t>). T</w:t>
      </w:r>
      <w:r w:rsidRPr="00801239">
        <w:rPr>
          <w:lang w:val="en-US"/>
        </w:rPr>
        <w:t>he</w:t>
      </w:r>
      <w:r>
        <w:rPr>
          <w:lang w:val="en-US"/>
        </w:rPr>
        <w:t xml:space="preserve"> </w:t>
      </w:r>
      <w:r w:rsidRPr="00801239">
        <w:rPr>
          <w:lang w:val="en-US"/>
        </w:rPr>
        <w:t xml:space="preserve">key-route algorithm starts with a seed, the edge with the highest traversal count, and then searches forward until a sink is hit, and </w:t>
      </w:r>
      <w:r w:rsidR="0042312B">
        <w:rPr>
          <w:lang w:val="en-US"/>
        </w:rPr>
        <w:t>backwards</w:t>
      </w:r>
      <w:r w:rsidRPr="00801239">
        <w:rPr>
          <w:lang w:val="en-US"/>
        </w:rPr>
        <w:t xml:space="preserve"> from the tail node until a source (a node that is cited but does not cite others) is hit. The resulting paths are merged to form a network of main paths </w:t>
      </w:r>
      <w:r>
        <w:rPr>
          <w:lang w:val="en-US"/>
        </w:rPr>
        <w:t>(</w:t>
      </w:r>
      <w:r>
        <w:rPr>
          <w:lang w:val="en-US"/>
        </w:rPr>
        <w:fldChar w:fldCharType="begin"/>
      </w:r>
      <w:r>
        <w:rPr>
          <w:lang w:val="en-US"/>
        </w:rPr>
        <w:instrText xml:space="preserve"> ADDIN EN.CITE &lt;EndNote&gt;&lt;Cite&gt;&lt;Author&gt;Liu&lt;/Author&gt;&lt;Year&gt;2012&lt;/Year&gt;&lt;RecNum&gt;1823&lt;/RecNum&gt;&lt;DisplayText&gt;Liu &amp;amp; Lu, 2012&lt;/DisplayText&gt;&lt;record&gt;&lt;rec-number&gt;1823&lt;/rec-number&gt;&lt;foreign-keys&gt;&lt;key app="EN" db-id="fs9tzaewcs0w5hex9rmvxrsipvf5dpsvst5f" timestamp="1682496168"&gt;1823&lt;/key&gt;&lt;/foreign-keys&gt;&lt;ref-type name="Journal Article"&gt;17&lt;/ref-type&gt;&lt;contributors&gt;&lt;authors&gt;&lt;author&gt;Liu, J. S.&lt;/author&gt;&lt;author&gt;Lu, L. Y. Y.&lt;/author&gt;&lt;/authors&gt;&lt;/contributors&gt;&lt;titles&gt;&lt;title&gt;An Integrated Approach for Main Path Analysis: Development of the Hirsch Index as an Example&lt;/title&gt;&lt;secondary-title&gt;Journal of the American Society for Information Science and Technology&lt;/secondary-title&gt;&lt;/titles&gt;&lt;periodical&gt;&lt;full-title&gt;Journal of the American Society for Information Science and Technology&lt;/full-title&gt;&lt;/periodical&gt;&lt;pages&gt;528-542&lt;/pages&gt;&lt;volume&gt;63&lt;/volume&gt;&lt;number&gt;3&lt;/number&gt;&lt;dates&gt;&lt;year&gt;2012&lt;/year&gt;&lt;pub-dates&gt;&lt;date&gt;Mar&lt;/date&gt;&lt;/pub-dates&gt;&lt;/dates&gt;&lt;isbn&gt;1532-2882&lt;/isbn&gt;&lt;accession-num&gt;WOS:000301038300008&lt;/accession-num&gt;&lt;urls&gt;&lt;related-urls&gt;&lt;url&gt;&amp;lt;Go to ISI&amp;gt;://WOS:000301038300008&lt;/url&gt;&lt;/related-urls&gt;&lt;/urls&gt;&lt;electronic-resource-num&gt;10.1002/asi.21692&lt;/electronic-resource-num&gt;&lt;/record&gt;&lt;/Cite&gt;&lt;/EndNote&gt;</w:instrText>
      </w:r>
      <w:r>
        <w:rPr>
          <w:lang w:val="en-US"/>
        </w:rPr>
        <w:fldChar w:fldCharType="separate"/>
      </w:r>
      <w:r>
        <w:rPr>
          <w:noProof/>
          <w:lang w:val="en-US"/>
        </w:rPr>
        <w:t>Liu &amp; Lu, 2012</w:t>
      </w:r>
      <w:r>
        <w:rPr>
          <w:lang w:val="en-US"/>
        </w:rPr>
        <w:fldChar w:fldCharType="end"/>
      </w:r>
      <w:r>
        <w:rPr>
          <w:lang w:val="en-US"/>
        </w:rPr>
        <w:t xml:space="preserve">). </w:t>
      </w:r>
      <w:r w:rsidRPr="00801239">
        <w:rPr>
          <w:lang w:val="en-US"/>
        </w:rPr>
        <w:t xml:space="preserve">This type of search allows </w:t>
      </w:r>
      <w:r>
        <w:rPr>
          <w:lang w:val="en-US"/>
        </w:rPr>
        <w:t xml:space="preserve">the use of </w:t>
      </w:r>
      <w:r w:rsidRPr="00801239">
        <w:rPr>
          <w:lang w:val="en-US"/>
        </w:rPr>
        <w:t>several seed edges</w:t>
      </w:r>
      <w:r>
        <w:rPr>
          <w:lang w:val="en-US"/>
        </w:rPr>
        <w:t xml:space="preserve">. </w:t>
      </w:r>
      <w:r w:rsidRPr="00801239">
        <w:rPr>
          <w:lang w:val="en-US"/>
        </w:rPr>
        <w:t>Here I explored the</w:t>
      </w:r>
      <w:r>
        <w:rPr>
          <w:lang w:val="en-US"/>
        </w:rPr>
        <w:t xml:space="preserve"> seeds with the</w:t>
      </w:r>
      <w:r w:rsidRPr="00801239">
        <w:rPr>
          <w:lang w:val="en-US"/>
        </w:rPr>
        <w:t xml:space="preserve"> top 5, 10, 15</w:t>
      </w:r>
      <w:r>
        <w:rPr>
          <w:lang w:val="en-US"/>
        </w:rPr>
        <w:t xml:space="preserve">, </w:t>
      </w:r>
      <w:r w:rsidRPr="00801239">
        <w:rPr>
          <w:lang w:val="en-US"/>
        </w:rPr>
        <w:t>20</w:t>
      </w:r>
      <w:r>
        <w:rPr>
          <w:lang w:val="en-US"/>
        </w:rPr>
        <w:t xml:space="preserve"> and 25, but discarded the one with the top 25 because the subnetwork became too blurred. </w:t>
      </w:r>
    </w:p>
    <w:p w14:paraId="126B871A" w14:textId="77777777" w:rsidR="0091486E" w:rsidRDefault="0091486E" w:rsidP="0091486E">
      <w:pPr>
        <w:rPr>
          <w:rFonts w:cs="Times New Roman"/>
          <w:noProof/>
          <w:lang w:val="en-US"/>
        </w:rPr>
      </w:pPr>
    </w:p>
    <w:p w14:paraId="17B116A5" w14:textId="77777777" w:rsidR="0091486E" w:rsidRDefault="0091486E" w:rsidP="0091486E">
      <w:pPr>
        <w:rPr>
          <w:rFonts w:cs="Times New Roman"/>
          <w:noProof/>
          <w:lang w:val="en-US"/>
        </w:rPr>
      </w:pPr>
    </w:p>
    <w:p w14:paraId="4642E405" w14:textId="77777777" w:rsidR="0091486E" w:rsidRPr="0091486E" w:rsidRDefault="0091486E" w:rsidP="0091486E">
      <w:pPr>
        <w:rPr>
          <w:rFonts w:cs="Times New Roman"/>
          <w:noProof/>
          <w:lang w:val="en-US"/>
        </w:rPr>
      </w:pPr>
    </w:p>
    <w:p w14:paraId="26930616" w14:textId="2F76FAEC" w:rsidR="006901C6" w:rsidRPr="00D34106" w:rsidRDefault="006901C6" w:rsidP="006901C6">
      <w:pPr>
        <w:pStyle w:val="Caption"/>
        <w:keepNext/>
        <w:rPr>
          <w:i w:val="0"/>
          <w:iCs w:val="0"/>
          <w:color w:val="auto"/>
          <w:lang w:val="en-US"/>
        </w:rPr>
      </w:pPr>
      <w:r w:rsidRPr="00D34106">
        <w:rPr>
          <w:i w:val="0"/>
          <w:iCs w:val="0"/>
          <w:color w:val="auto"/>
          <w:lang w:val="en-US"/>
        </w:rPr>
        <w:lastRenderedPageBreak/>
        <w:t xml:space="preserve">Table </w:t>
      </w:r>
      <w:r w:rsidR="00D34106">
        <w:rPr>
          <w:i w:val="0"/>
          <w:iCs w:val="0"/>
          <w:color w:val="auto"/>
          <w:lang w:val="en-US"/>
        </w:rPr>
        <w:t>A</w:t>
      </w:r>
      <w:r w:rsidRPr="00D34106">
        <w:rPr>
          <w:i w:val="0"/>
          <w:iCs w:val="0"/>
          <w:color w:val="auto"/>
        </w:rPr>
        <w:fldChar w:fldCharType="begin"/>
      </w:r>
      <w:r w:rsidRPr="00D34106">
        <w:rPr>
          <w:i w:val="0"/>
          <w:iCs w:val="0"/>
          <w:color w:val="auto"/>
          <w:lang w:val="en-US"/>
        </w:rPr>
        <w:instrText xml:space="preserve"> SEQ Table \* ARABIC </w:instrText>
      </w:r>
      <w:r w:rsidRPr="00D34106">
        <w:rPr>
          <w:i w:val="0"/>
          <w:iCs w:val="0"/>
          <w:color w:val="auto"/>
        </w:rPr>
        <w:fldChar w:fldCharType="separate"/>
      </w:r>
      <w:r w:rsidR="0036233B" w:rsidRPr="00D34106">
        <w:rPr>
          <w:i w:val="0"/>
          <w:iCs w:val="0"/>
          <w:noProof/>
          <w:color w:val="auto"/>
          <w:lang w:val="en-US"/>
        </w:rPr>
        <w:t>1</w:t>
      </w:r>
      <w:r w:rsidRPr="00D34106">
        <w:rPr>
          <w:i w:val="0"/>
          <w:iCs w:val="0"/>
          <w:color w:val="auto"/>
        </w:rPr>
        <w:fldChar w:fldCharType="end"/>
      </w:r>
      <w:r w:rsidRPr="00D34106">
        <w:rPr>
          <w:i w:val="0"/>
          <w:iCs w:val="0"/>
          <w:color w:val="auto"/>
          <w:lang w:val="en-US"/>
        </w:rPr>
        <w:t xml:space="preserve">. The participation of </w:t>
      </w:r>
      <w:r w:rsidR="007C6163">
        <w:rPr>
          <w:i w:val="0"/>
          <w:iCs w:val="0"/>
          <w:color w:val="auto"/>
          <w:lang w:val="en-US"/>
        </w:rPr>
        <w:t xml:space="preserve">scientists from </w:t>
      </w:r>
      <w:r w:rsidRPr="00D34106">
        <w:rPr>
          <w:i w:val="0"/>
          <w:iCs w:val="0"/>
          <w:color w:val="auto"/>
          <w:lang w:val="en-US"/>
        </w:rPr>
        <w:t xml:space="preserve">African countries in the articles, published between 2000 and 2019, on </w:t>
      </w:r>
      <w:proofErr w:type="gramStart"/>
      <w:r w:rsidR="007B2858" w:rsidRPr="00D34106">
        <w:rPr>
          <w:i w:val="0"/>
          <w:iCs w:val="0"/>
          <w:color w:val="auto"/>
          <w:lang w:val="en-US"/>
        </w:rPr>
        <w:t>NC</w:t>
      </w:r>
      <w:proofErr w:type="gramEnd"/>
      <w:r w:rsidRPr="00D34106">
        <w:rPr>
          <w:i w:val="0"/>
          <w:iCs w:val="0"/>
          <w:color w:val="auto"/>
          <w:lang w:val="en-US"/>
        </w:rPr>
        <w:t xml:space="preserve"> </w:t>
      </w:r>
    </w:p>
    <w:tbl>
      <w:tblPr>
        <w:tblW w:w="8118" w:type="dxa"/>
        <w:tblCellMar>
          <w:left w:w="70" w:type="dxa"/>
          <w:right w:w="70" w:type="dxa"/>
        </w:tblCellMar>
        <w:tblLook w:val="04A0" w:firstRow="1" w:lastRow="0" w:firstColumn="1" w:lastColumn="0" w:noHBand="0" w:noVBand="1"/>
      </w:tblPr>
      <w:tblGrid>
        <w:gridCol w:w="3040"/>
        <w:gridCol w:w="976"/>
        <w:gridCol w:w="3126"/>
        <w:gridCol w:w="976"/>
      </w:tblGrid>
      <w:tr w:rsidR="00754404" w:rsidRPr="00754404" w14:paraId="00EBDFFF" w14:textId="77777777" w:rsidTr="007C6163">
        <w:trPr>
          <w:trHeight w:val="227"/>
        </w:trPr>
        <w:tc>
          <w:tcPr>
            <w:tcW w:w="3040" w:type="dxa"/>
            <w:tcBorders>
              <w:top w:val="single" w:sz="4" w:space="0" w:color="auto"/>
              <w:left w:val="nil"/>
              <w:bottom w:val="single" w:sz="4" w:space="0" w:color="auto"/>
              <w:right w:val="nil"/>
            </w:tcBorders>
            <w:shd w:val="clear" w:color="auto" w:fill="auto"/>
            <w:noWrap/>
            <w:vAlign w:val="bottom"/>
            <w:hideMark/>
          </w:tcPr>
          <w:p w14:paraId="51E54B9D" w14:textId="77777777" w:rsidR="00754404" w:rsidRPr="00754404" w:rsidRDefault="00754404" w:rsidP="00754404">
            <w:pPr>
              <w:spacing w:after="0" w:line="240" w:lineRule="auto"/>
              <w:jc w:val="center"/>
              <w:rPr>
                <w:rFonts w:eastAsia="Times New Roman" w:cs="Times New Roman"/>
                <w:b/>
                <w:bCs/>
                <w:color w:val="000000"/>
                <w:sz w:val="20"/>
                <w:szCs w:val="20"/>
                <w:lang w:eastAsia="pt-PT"/>
              </w:rPr>
            </w:pPr>
            <w:r w:rsidRPr="00754404">
              <w:rPr>
                <w:rFonts w:eastAsia="Times New Roman" w:cs="Times New Roman"/>
                <w:b/>
                <w:bCs/>
                <w:color w:val="000000"/>
                <w:sz w:val="20"/>
                <w:szCs w:val="20"/>
                <w:lang w:eastAsia="pt-PT"/>
              </w:rPr>
              <w:t>Country</w:t>
            </w:r>
          </w:p>
        </w:tc>
        <w:tc>
          <w:tcPr>
            <w:tcW w:w="976" w:type="dxa"/>
            <w:tcBorders>
              <w:top w:val="single" w:sz="4" w:space="0" w:color="auto"/>
              <w:left w:val="nil"/>
              <w:bottom w:val="single" w:sz="4" w:space="0" w:color="auto"/>
              <w:right w:val="nil"/>
            </w:tcBorders>
            <w:shd w:val="clear" w:color="auto" w:fill="auto"/>
            <w:noWrap/>
            <w:vAlign w:val="bottom"/>
            <w:hideMark/>
          </w:tcPr>
          <w:p w14:paraId="6492B959" w14:textId="77777777" w:rsidR="00754404" w:rsidRPr="00754404" w:rsidRDefault="00754404" w:rsidP="00754404">
            <w:pPr>
              <w:spacing w:after="0" w:line="240" w:lineRule="auto"/>
              <w:jc w:val="center"/>
              <w:rPr>
                <w:rFonts w:eastAsia="Times New Roman" w:cs="Times New Roman"/>
                <w:b/>
                <w:bCs/>
                <w:color w:val="000000"/>
                <w:sz w:val="20"/>
                <w:szCs w:val="20"/>
                <w:lang w:eastAsia="pt-PT"/>
              </w:rPr>
            </w:pPr>
            <w:r w:rsidRPr="00754404">
              <w:rPr>
                <w:rFonts w:eastAsia="Times New Roman" w:cs="Times New Roman"/>
                <w:b/>
                <w:bCs/>
                <w:color w:val="000000"/>
                <w:sz w:val="20"/>
                <w:szCs w:val="20"/>
                <w:lang w:eastAsia="pt-PT"/>
              </w:rPr>
              <w:t>Pub (nº)</w:t>
            </w:r>
          </w:p>
        </w:tc>
        <w:tc>
          <w:tcPr>
            <w:tcW w:w="3126" w:type="dxa"/>
            <w:tcBorders>
              <w:top w:val="single" w:sz="4" w:space="0" w:color="auto"/>
              <w:left w:val="nil"/>
              <w:bottom w:val="single" w:sz="4" w:space="0" w:color="auto"/>
              <w:right w:val="nil"/>
            </w:tcBorders>
            <w:shd w:val="clear" w:color="auto" w:fill="auto"/>
            <w:noWrap/>
            <w:vAlign w:val="bottom"/>
            <w:hideMark/>
          </w:tcPr>
          <w:p w14:paraId="6BDD7A13" w14:textId="77777777" w:rsidR="00754404" w:rsidRPr="00754404" w:rsidRDefault="00754404" w:rsidP="00754404">
            <w:pPr>
              <w:spacing w:after="0" w:line="240" w:lineRule="auto"/>
              <w:jc w:val="center"/>
              <w:rPr>
                <w:rFonts w:eastAsia="Times New Roman" w:cs="Times New Roman"/>
                <w:b/>
                <w:bCs/>
                <w:color w:val="000000"/>
                <w:sz w:val="20"/>
                <w:szCs w:val="20"/>
                <w:lang w:eastAsia="pt-PT"/>
              </w:rPr>
            </w:pPr>
            <w:r w:rsidRPr="00754404">
              <w:rPr>
                <w:rFonts w:eastAsia="Times New Roman" w:cs="Times New Roman"/>
                <w:b/>
                <w:bCs/>
                <w:color w:val="000000"/>
                <w:sz w:val="20"/>
                <w:szCs w:val="20"/>
                <w:lang w:eastAsia="pt-PT"/>
              </w:rPr>
              <w:t>Country</w:t>
            </w:r>
          </w:p>
        </w:tc>
        <w:tc>
          <w:tcPr>
            <w:tcW w:w="976" w:type="dxa"/>
            <w:tcBorders>
              <w:top w:val="single" w:sz="4" w:space="0" w:color="auto"/>
              <w:left w:val="nil"/>
              <w:bottom w:val="single" w:sz="4" w:space="0" w:color="auto"/>
              <w:right w:val="nil"/>
            </w:tcBorders>
            <w:shd w:val="clear" w:color="auto" w:fill="auto"/>
            <w:noWrap/>
            <w:vAlign w:val="bottom"/>
            <w:hideMark/>
          </w:tcPr>
          <w:p w14:paraId="2AA11693" w14:textId="77777777" w:rsidR="00754404" w:rsidRPr="00754404" w:rsidRDefault="00754404" w:rsidP="00754404">
            <w:pPr>
              <w:spacing w:after="0" w:line="240" w:lineRule="auto"/>
              <w:jc w:val="center"/>
              <w:rPr>
                <w:rFonts w:eastAsia="Times New Roman" w:cs="Times New Roman"/>
                <w:b/>
                <w:bCs/>
                <w:color w:val="000000"/>
                <w:sz w:val="20"/>
                <w:szCs w:val="20"/>
                <w:lang w:eastAsia="pt-PT"/>
              </w:rPr>
            </w:pPr>
            <w:r w:rsidRPr="00754404">
              <w:rPr>
                <w:rFonts w:eastAsia="Times New Roman" w:cs="Times New Roman"/>
                <w:b/>
                <w:bCs/>
                <w:color w:val="000000"/>
                <w:sz w:val="20"/>
                <w:szCs w:val="20"/>
                <w:lang w:eastAsia="pt-PT"/>
              </w:rPr>
              <w:t>Pub (nº)</w:t>
            </w:r>
          </w:p>
        </w:tc>
      </w:tr>
      <w:tr w:rsidR="00754404" w:rsidRPr="00754404" w14:paraId="026FE386" w14:textId="77777777" w:rsidTr="007C6163">
        <w:trPr>
          <w:trHeight w:val="227"/>
        </w:trPr>
        <w:tc>
          <w:tcPr>
            <w:tcW w:w="3040" w:type="dxa"/>
            <w:tcBorders>
              <w:top w:val="nil"/>
              <w:left w:val="nil"/>
              <w:bottom w:val="nil"/>
              <w:right w:val="nil"/>
            </w:tcBorders>
            <w:shd w:val="clear" w:color="auto" w:fill="auto"/>
            <w:noWrap/>
            <w:vAlign w:val="bottom"/>
            <w:hideMark/>
          </w:tcPr>
          <w:p w14:paraId="73FCDDE6"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Egypt</w:t>
            </w:r>
            <w:proofErr w:type="spellEnd"/>
          </w:p>
        </w:tc>
        <w:tc>
          <w:tcPr>
            <w:tcW w:w="976" w:type="dxa"/>
            <w:tcBorders>
              <w:top w:val="nil"/>
              <w:left w:val="nil"/>
              <w:bottom w:val="nil"/>
              <w:right w:val="nil"/>
            </w:tcBorders>
            <w:shd w:val="clear" w:color="auto" w:fill="auto"/>
            <w:noWrap/>
            <w:vAlign w:val="bottom"/>
            <w:hideMark/>
          </w:tcPr>
          <w:p w14:paraId="46D9BD76"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232</w:t>
            </w:r>
          </w:p>
        </w:tc>
        <w:tc>
          <w:tcPr>
            <w:tcW w:w="3126" w:type="dxa"/>
            <w:tcBorders>
              <w:top w:val="nil"/>
              <w:left w:val="nil"/>
              <w:bottom w:val="nil"/>
              <w:right w:val="nil"/>
            </w:tcBorders>
            <w:shd w:val="clear" w:color="auto" w:fill="auto"/>
            <w:noWrap/>
            <w:vAlign w:val="bottom"/>
            <w:hideMark/>
          </w:tcPr>
          <w:p w14:paraId="2A463574"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Burkina Faso</w:t>
            </w:r>
          </w:p>
        </w:tc>
        <w:tc>
          <w:tcPr>
            <w:tcW w:w="976" w:type="dxa"/>
            <w:tcBorders>
              <w:top w:val="nil"/>
              <w:left w:val="nil"/>
              <w:bottom w:val="nil"/>
              <w:right w:val="nil"/>
            </w:tcBorders>
            <w:shd w:val="clear" w:color="auto" w:fill="auto"/>
            <w:noWrap/>
            <w:vAlign w:val="bottom"/>
            <w:hideMark/>
          </w:tcPr>
          <w:p w14:paraId="627D77F5"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13</w:t>
            </w:r>
          </w:p>
        </w:tc>
      </w:tr>
      <w:tr w:rsidR="00754404" w:rsidRPr="00754404" w14:paraId="3A09DEFE" w14:textId="77777777" w:rsidTr="007C6163">
        <w:trPr>
          <w:trHeight w:val="227"/>
        </w:trPr>
        <w:tc>
          <w:tcPr>
            <w:tcW w:w="3040" w:type="dxa"/>
            <w:tcBorders>
              <w:top w:val="nil"/>
              <w:left w:val="nil"/>
              <w:bottom w:val="nil"/>
              <w:right w:val="nil"/>
            </w:tcBorders>
            <w:shd w:val="clear" w:color="auto" w:fill="auto"/>
            <w:noWrap/>
            <w:vAlign w:val="bottom"/>
            <w:hideMark/>
          </w:tcPr>
          <w:p w14:paraId="19784647"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South</w:t>
            </w:r>
            <w:proofErr w:type="spellEnd"/>
            <w:r w:rsidRPr="00754404">
              <w:rPr>
                <w:rFonts w:eastAsia="Times New Roman" w:cs="Times New Roman"/>
                <w:color w:val="000000"/>
                <w:sz w:val="20"/>
                <w:szCs w:val="20"/>
                <w:lang w:eastAsia="pt-PT"/>
              </w:rPr>
              <w:t xml:space="preserve"> Africa</w:t>
            </w:r>
          </w:p>
        </w:tc>
        <w:tc>
          <w:tcPr>
            <w:tcW w:w="976" w:type="dxa"/>
            <w:tcBorders>
              <w:top w:val="nil"/>
              <w:left w:val="nil"/>
              <w:bottom w:val="nil"/>
              <w:right w:val="nil"/>
            </w:tcBorders>
            <w:shd w:val="clear" w:color="auto" w:fill="auto"/>
            <w:noWrap/>
            <w:vAlign w:val="bottom"/>
            <w:hideMark/>
          </w:tcPr>
          <w:p w14:paraId="362CC6EC"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212</w:t>
            </w:r>
          </w:p>
        </w:tc>
        <w:tc>
          <w:tcPr>
            <w:tcW w:w="3126" w:type="dxa"/>
            <w:tcBorders>
              <w:top w:val="nil"/>
              <w:left w:val="nil"/>
              <w:bottom w:val="nil"/>
              <w:right w:val="nil"/>
            </w:tcBorders>
            <w:shd w:val="clear" w:color="auto" w:fill="auto"/>
            <w:noWrap/>
            <w:vAlign w:val="bottom"/>
            <w:hideMark/>
          </w:tcPr>
          <w:p w14:paraId="6ED80DE5"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Mozambique</w:t>
            </w:r>
          </w:p>
        </w:tc>
        <w:tc>
          <w:tcPr>
            <w:tcW w:w="976" w:type="dxa"/>
            <w:tcBorders>
              <w:top w:val="nil"/>
              <w:left w:val="nil"/>
              <w:bottom w:val="nil"/>
              <w:right w:val="nil"/>
            </w:tcBorders>
            <w:shd w:val="clear" w:color="auto" w:fill="auto"/>
            <w:noWrap/>
            <w:vAlign w:val="bottom"/>
            <w:hideMark/>
          </w:tcPr>
          <w:p w14:paraId="7199F2F0"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13</w:t>
            </w:r>
          </w:p>
        </w:tc>
      </w:tr>
      <w:tr w:rsidR="00754404" w:rsidRPr="00754404" w14:paraId="69D788F2" w14:textId="77777777" w:rsidTr="007C6163">
        <w:trPr>
          <w:trHeight w:val="227"/>
        </w:trPr>
        <w:tc>
          <w:tcPr>
            <w:tcW w:w="3040" w:type="dxa"/>
            <w:tcBorders>
              <w:top w:val="nil"/>
              <w:left w:val="nil"/>
              <w:bottom w:val="nil"/>
              <w:right w:val="nil"/>
            </w:tcBorders>
            <w:shd w:val="clear" w:color="auto" w:fill="auto"/>
            <w:noWrap/>
            <w:vAlign w:val="bottom"/>
            <w:hideMark/>
          </w:tcPr>
          <w:p w14:paraId="27BC8F37"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Nigeria</w:t>
            </w:r>
            <w:proofErr w:type="spellEnd"/>
          </w:p>
        </w:tc>
        <w:tc>
          <w:tcPr>
            <w:tcW w:w="976" w:type="dxa"/>
            <w:tcBorders>
              <w:top w:val="nil"/>
              <w:left w:val="nil"/>
              <w:bottom w:val="nil"/>
              <w:right w:val="nil"/>
            </w:tcBorders>
            <w:shd w:val="clear" w:color="auto" w:fill="auto"/>
            <w:noWrap/>
            <w:vAlign w:val="bottom"/>
            <w:hideMark/>
          </w:tcPr>
          <w:p w14:paraId="07CEFBC3"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186</w:t>
            </w:r>
          </w:p>
        </w:tc>
        <w:tc>
          <w:tcPr>
            <w:tcW w:w="3126" w:type="dxa"/>
            <w:tcBorders>
              <w:top w:val="nil"/>
              <w:left w:val="nil"/>
              <w:bottom w:val="nil"/>
              <w:right w:val="nil"/>
            </w:tcBorders>
            <w:shd w:val="clear" w:color="auto" w:fill="auto"/>
            <w:noWrap/>
            <w:vAlign w:val="bottom"/>
            <w:hideMark/>
          </w:tcPr>
          <w:p w14:paraId="2A9D25F5"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Rwanda</w:t>
            </w:r>
            <w:proofErr w:type="spellEnd"/>
          </w:p>
        </w:tc>
        <w:tc>
          <w:tcPr>
            <w:tcW w:w="976" w:type="dxa"/>
            <w:tcBorders>
              <w:top w:val="nil"/>
              <w:left w:val="nil"/>
              <w:bottom w:val="nil"/>
              <w:right w:val="nil"/>
            </w:tcBorders>
            <w:shd w:val="clear" w:color="auto" w:fill="auto"/>
            <w:noWrap/>
            <w:vAlign w:val="bottom"/>
            <w:hideMark/>
          </w:tcPr>
          <w:p w14:paraId="69C5F1BB"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13</w:t>
            </w:r>
          </w:p>
        </w:tc>
      </w:tr>
      <w:tr w:rsidR="00754404" w:rsidRPr="00754404" w14:paraId="18735535" w14:textId="77777777" w:rsidTr="007C6163">
        <w:trPr>
          <w:trHeight w:val="227"/>
        </w:trPr>
        <w:tc>
          <w:tcPr>
            <w:tcW w:w="3040" w:type="dxa"/>
            <w:tcBorders>
              <w:top w:val="nil"/>
              <w:left w:val="nil"/>
              <w:bottom w:val="nil"/>
              <w:right w:val="nil"/>
            </w:tcBorders>
            <w:shd w:val="clear" w:color="auto" w:fill="auto"/>
            <w:noWrap/>
            <w:vAlign w:val="bottom"/>
            <w:hideMark/>
          </w:tcPr>
          <w:p w14:paraId="0CAD88FA"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Tanzania</w:t>
            </w:r>
            <w:proofErr w:type="spellEnd"/>
          </w:p>
        </w:tc>
        <w:tc>
          <w:tcPr>
            <w:tcW w:w="976" w:type="dxa"/>
            <w:tcBorders>
              <w:top w:val="nil"/>
              <w:left w:val="nil"/>
              <w:bottom w:val="nil"/>
              <w:right w:val="nil"/>
            </w:tcBorders>
            <w:shd w:val="clear" w:color="auto" w:fill="auto"/>
            <w:noWrap/>
            <w:vAlign w:val="bottom"/>
            <w:hideMark/>
          </w:tcPr>
          <w:p w14:paraId="786CA939"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101</w:t>
            </w:r>
          </w:p>
        </w:tc>
        <w:tc>
          <w:tcPr>
            <w:tcW w:w="3126" w:type="dxa"/>
            <w:tcBorders>
              <w:top w:val="nil"/>
              <w:left w:val="nil"/>
              <w:bottom w:val="nil"/>
              <w:right w:val="nil"/>
            </w:tcBorders>
            <w:shd w:val="clear" w:color="auto" w:fill="auto"/>
            <w:noWrap/>
            <w:vAlign w:val="bottom"/>
            <w:hideMark/>
          </w:tcPr>
          <w:p w14:paraId="7BA4D7B4"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Madagascar</w:t>
            </w:r>
            <w:proofErr w:type="spellEnd"/>
          </w:p>
        </w:tc>
        <w:tc>
          <w:tcPr>
            <w:tcW w:w="976" w:type="dxa"/>
            <w:tcBorders>
              <w:top w:val="nil"/>
              <w:left w:val="nil"/>
              <w:bottom w:val="nil"/>
              <w:right w:val="nil"/>
            </w:tcBorders>
            <w:shd w:val="clear" w:color="auto" w:fill="auto"/>
            <w:noWrap/>
            <w:vAlign w:val="bottom"/>
            <w:hideMark/>
          </w:tcPr>
          <w:p w14:paraId="7DF41916"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10</w:t>
            </w:r>
          </w:p>
        </w:tc>
      </w:tr>
      <w:tr w:rsidR="00754404" w:rsidRPr="00754404" w14:paraId="4440AEA2" w14:textId="77777777" w:rsidTr="007C6163">
        <w:trPr>
          <w:trHeight w:val="227"/>
        </w:trPr>
        <w:tc>
          <w:tcPr>
            <w:tcW w:w="3040" w:type="dxa"/>
            <w:tcBorders>
              <w:top w:val="nil"/>
              <w:left w:val="nil"/>
              <w:bottom w:val="nil"/>
              <w:right w:val="nil"/>
            </w:tcBorders>
            <w:shd w:val="clear" w:color="auto" w:fill="auto"/>
            <w:noWrap/>
            <w:vAlign w:val="bottom"/>
            <w:hideMark/>
          </w:tcPr>
          <w:p w14:paraId="1B98A19B"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Kenya</w:t>
            </w:r>
            <w:proofErr w:type="spellEnd"/>
          </w:p>
        </w:tc>
        <w:tc>
          <w:tcPr>
            <w:tcW w:w="976" w:type="dxa"/>
            <w:tcBorders>
              <w:top w:val="nil"/>
              <w:left w:val="nil"/>
              <w:bottom w:val="nil"/>
              <w:right w:val="nil"/>
            </w:tcBorders>
            <w:shd w:val="clear" w:color="auto" w:fill="auto"/>
            <w:noWrap/>
            <w:vAlign w:val="bottom"/>
            <w:hideMark/>
          </w:tcPr>
          <w:p w14:paraId="497C787F"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92</w:t>
            </w:r>
          </w:p>
        </w:tc>
        <w:tc>
          <w:tcPr>
            <w:tcW w:w="3126" w:type="dxa"/>
            <w:tcBorders>
              <w:top w:val="nil"/>
              <w:left w:val="nil"/>
              <w:bottom w:val="nil"/>
              <w:right w:val="nil"/>
            </w:tcBorders>
            <w:shd w:val="clear" w:color="auto" w:fill="auto"/>
            <w:noWrap/>
            <w:vAlign w:val="bottom"/>
            <w:hideMark/>
          </w:tcPr>
          <w:p w14:paraId="47277B06"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Côte</w:t>
            </w:r>
            <w:proofErr w:type="spellEnd"/>
            <w:r w:rsidRPr="00754404">
              <w:rPr>
                <w:rFonts w:eastAsia="Times New Roman" w:cs="Times New Roman"/>
                <w:color w:val="000000"/>
                <w:sz w:val="20"/>
                <w:szCs w:val="20"/>
                <w:lang w:eastAsia="pt-PT"/>
              </w:rPr>
              <w:t xml:space="preserve"> d'</w:t>
            </w:r>
            <w:proofErr w:type="spellStart"/>
            <w:r w:rsidRPr="00754404">
              <w:rPr>
                <w:rFonts w:eastAsia="Times New Roman" w:cs="Times New Roman"/>
                <w:color w:val="000000"/>
                <w:sz w:val="20"/>
                <w:szCs w:val="20"/>
                <w:lang w:eastAsia="pt-PT"/>
              </w:rPr>
              <w:t>Ivoire</w:t>
            </w:r>
            <w:proofErr w:type="spellEnd"/>
          </w:p>
        </w:tc>
        <w:tc>
          <w:tcPr>
            <w:tcW w:w="976" w:type="dxa"/>
            <w:tcBorders>
              <w:top w:val="nil"/>
              <w:left w:val="nil"/>
              <w:bottom w:val="nil"/>
              <w:right w:val="nil"/>
            </w:tcBorders>
            <w:shd w:val="clear" w:color="auto" w:fill="auto"/>
            <w:noWrap/>
            <w:vAlign w:val="bottom"/>
            <w:hideMark/>
          </w:tcPr>
          <w:p w14:paraId="50A77BAE"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10</w:t>
            </w:r>
          </w:p>
        </w:tc>
      </w:tr>
      <w:tr w:rsidR="00754404" w:rsidRPr="00754404" w14:paraId="026605FD" w14:textId="77777777" w:rsidTr="007C6163">
        <w:trPr>
          <w:trHeight w:val="227"/>
        </w:trPr>
        <w:tc>
          <w:tcPr>
            <w:tcW w:w="3040" w:type="dxa"/>
            <w:tcBorders>
              <w:top w:val="nil"/>
              <w:left w:val="nil"/>
              <w:bottom w:val="nil"/>
              <w:right w:val="nil"/>
            </w:tcBorders>
            <w:shd w:val="clear" w:color="auto" w:fill="auto"/>
            <w:noWrap/>
            <w:vAlign w:val="bottom"/>
            <w:hideMark/>
          </w:tcPr>
          <w:p w14:paraId="00785053"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Ethiopia</w:t>
            </w:r>
            <w:proofErr w:type="spellEnd"/>
          </w:p>
        </w:tc>
        <w:tc>
          <w:tcPr>
            <w:tcW w:w="976" w:type="dxa"/>
            <w:tcBorders>
              <w:top w:val="nil"/>
              <w:left w:val="nil"/>
              <w:bottom w:val="nil"/>
              <w:right w:val="nil"/>
            </w:tcBorders>
            <w:shd w:val="clear" w:color="auto" w:fill="auto"/>
            <w:noWrap/>
            <w:vAlign w:val="bottom"/>
            <w:hideMark/>
          </w:tcPr>
          <w:p w14:paraId="22AE40F8"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81</w:t>
            </w:r>
          </w:p>
        </w:tc>
        <w:tc>
          <w:tcPr>
            <w:tcW w:w="3126" w:type="dxa"/>
            <w:tcBorders>
              <w:top w:val="nil"/>
              <w:left w:val="nil"/>
              <w:bottom w:val="nil"/>
              <w:right w:val="nil"/>
            </w:tcBorders>
            <w:shd w:val="clear" w:color="auto" w:fill="auto"/>
            <w:noWrap/>
            <w:vAlign w:val="bottom"/>
            <w:hideMark/>
          </w:tcPr>
          <w:p w14:paraId="11FF2225"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Botswana</w:t>
            </w:r>
          </w:p>
        </w:tc>
        <w:tc>
          <w:tcPr>
            <w:tcW w:w="976" w:type="dxa"/>
            <w:tcBorders>
              <w:top w:val="nil"/>
              <w:left w:val="nil"/>
              <w:bottom w:val="nil"/>
              <w:right w:val="nil"/>
            </w:tcBorders>
            <w:shd w:val="clear" w:color="auto" w:fill="auto"/>
            <w:noWrap/>
            <w:vAlign w:val="bottom"/>
            <w:hideMark/>
          </w:tcPr>
          <w:p w14:paraId="03CD9F54"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10</w:t>
            </w:r>
          </w:p>
        </w:tc>
      </w:tr>
      <w:tr w:rsidR="00754404" w:rsidRPr="00754404" w14:paraId="271D80C6" w14:textId="77777777" w:rsidTr="007C6163">
        <w:trPr>
          <w:trHeight w:val="227"/>
        </w:trPr>
        <w:tc>
          <w:tcPr>
            <w:tcW w:w="3040" w:type="dxa"/>
            <w:tcBorders>
              <w:top w:val="nil"/>
              <w:left w:val="nil"/>
              <w:bottom w:val="nil"/>
              <w:right w:val="nil"/>
            </w:tcBorders>
            <w:shd w:val="clear" w:color="auto" w:fill="auto"/>
            <w:noWrap/>
            <w:vAlign w:val="bottom"/>
            <w:hideMark/>
          </w:tcPr>
          <w:p w14:paraId="1F007A0A"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Uganda</w:t>
            </w:r>
          </w:p>
        </w:tc>
        <w:tc>
          <w:tcPr>
            <w:tcW w:w="976" w:type="dxa"/>
            <w:tcBorders>
              <w:top w:val="nil"/>
              <w:left w:val="nil"/>
              <w:bottom w:val="nil"/>
              <w:right w:val="nil"/>
            </w:tcBorders>
            <w:shd w:val="clear" w:color="auto" w:fill="auto"/>
            <w:noWrap/>
            <w:vAlign w:val="bottom"/>
            <w:hideMark/>
          </w:tcPr>
          <w:p w14:paraId="70569987"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77</w:t>
            </w:r>
          </w:p>
        </w:tc>
        <w:tc>
          <w:tcPr>
            <w:tcW w:w="3126" w:type="dxa"/>
            <w:tcBorders>
              <w:top w:val="nil"/>
              <w:left w:val="nil"/>
              <w:bottom w:val="nil"/>
              <w:right w:val="nil"/>
            </w:tcBorders>
            <w:shd w:val="clear" w:color="auto" w:fill="auto"/>
            <w:noWrap/>
            <w:vAlign w:val="bottom"/>
            <w:hideMark/>
          </w:tcPr>
          <w:p w14:paraId="454CB89B"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Gabon</w:t>
            </w:r>
            <w:proofErr w:type="spellEnd"/>
          </w:p>
        </w:tc>
        <w:tc>
          <w:tcPr>
            <w:tcW w:w="976" w:type="dxa"/>
            <w:tcBorders>
              <w:top w:val="nil"/>
              <w:left w:val="nil"/>
              <w:bottom w:val="nil"/>
              <w:right w:val="nil"/>
            </w:tcBorders>
            <w:shd w:val="clear" w:color="auto" w:fill="auto"/>
            <w:noWrap/>
            <w:vAlign w:val="bottom"/>
            <w:hideMark/>
          </w:tcPr>
          <w:p w14:paraId="2B52EB66"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8</w:t>
            </w:r>
          </w:p>
        </w:tc>
      </w:tr>
      <w:tr w:rsidR="00754404" w:rsidRPr="00754404" w14:paraId="6FB97669" w14:textId="77777777" w:rsidTr="007C6163">
        <w:trPr>
          <w:trHeight w:val="227"/>
        </w:trPr>
        <w:tc>
          <w:tcPr>
            <w:tcW w:w="3040" w:type="dxa"/>
            <w:tcBorders>
              <w:top w:val="nil"/>
              <w:left w:val="nil"/>
              <w:bottom w:val="nil"/>
              <w:right w:val="nil"/>
            </w:tcBorders>
            <w:shd w:val="clear" w:color="auto" w:fill="auto"/>
            <w:noWrap/>
            <w:vAlign w:val="bottom"/>
            <w:hideMark/>
          </w:tcPr>
          <w:p w14:paraId="31E1E1CE"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Ghana</w:t>
            </w:r>
            <w:proofErr w:type="spellEnd"/>
          </w:p>
        </w:tc>
        <w:tc>
          <w:tcPr>
            <w:tcW w:w="976" w:type="dxa"/>
            <w:tcBorders>
              <w:top w:val="nil"/>
              <w:left w:val="nil"/>
              <w:bottom w:val="nil"/>
              <w:right w:val="nil"/>
            </w:tcBorders>
            <w:shd w:val="clear" w:color="auto" w:fill="auto"/>
            <w:noWrap/>
            <w:vAlign w:val="bottom"/>
            <w:hideMark/>
          </w:tcPr>
          <w:p w14:paraId="41A06651"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75</w:t>
            </w:r>
          </w:p>
        </w:tc>
        <w:tc>
          <w:tcPr>
            <w:tcW w:w="3126" w:type="dxa"/>
            <w:tcBorders>
              <w:top w:val="nil"/>
              <w:left w:val="nil"/>
              <w:bottom w:val="nil"/>
              <w:right w:val="nil"/>
            </w:tcBorders>
            <w:shd w:val="clear" w:color="auto" w:fill="auto"/>
            <w:noWrap/>
            <w:vAlign w:val="bottom"/>
            <w:hideMark/>
          </w:tcPr>
          <w:p w14:paraId="4181FA08"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Niger</w:t>
            </w:r>
            <w:proofErr w:type="spellEnd"/>
          </w:p>
        </w:tc>
        <w:tc>
          <w:tcPr>
            <w:tcW w:w="976" w:type="dxa"/>
            <w:tcBorders>
              <w:top w:val="nil"/>
              <w:left w:val="nil"/>
              <w:bottom w:val="nil"/>
              <w:right w:val="nil"/>
            </w:tcBorders>
            <w:shd w:val="clear" w:color="auto" w:fill="auto"/>
            <w:noWrap/>
            <w:vAlign w:val="bottom"/>
            <w:hideMark/>
          </w:tcPr>
          <w:p w14:paraId="3261DF1F"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5</w:t>
            </w:r>
          </w:p>
        </w:tc>
      </w:tr>
      <w:tr w:rsidR="00754404" w:rsidRPr="00754404" w14:paraId="77985A13" w14:textId="77777777" w:rsidTr="007C6163">
        <w:trPr>
          <w:trHeight w:val="227"/>
        </w:trPr>
        <w:tc>
          <w:tcPr>
            <w:tcW w:w="3040" w:type="dxa"/>
            <w:tcBorders>
              <w:top w:val="nil"/>
              <w:left w:val="nil"/>
              <w:bottom w:val="nil"/>
              <w:right w:val="nil"/>
            </w:tcBorders>
            <w:shd w:val="clear" w:color="auto" w:fill="auto"/>
            <w:noWrap/>
            <w:vAlign w:val="bottom"/>
            <w:hideMark/>
          </w:tcPr>
          <w:p w14:paraId="3900854B"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Malawi</w:t>
            </w:r>
          </w:p>
        </w:tc>
        <w:tc>
          <w:tcPr>
            <w:tcW w:w="976" w:type="dxa"/>
            <w:tcBorders>
              <w:top w:val="nil"/>
              <w:left w:val="nil"/>
              <w:bottom w:val="nil"/>
              <w:right w:val="nil"/>
            </w:tcBorders>
            <w:shd w:val="clear" w:color="auto" w:fill="auto"/>
            <w:noWrap/>
            <w:vAlign w:val="bottom"/>
            <w:hideMark/>
          </w:tcPr>
          <w:p w14:paraId="64065E7E"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64</w:t>
            </w:r>
          </w:p>
        </w:tc>
        <w:tc>
          <w:tcPr>
            <w:tcW w:w="3126" w:type="dxa"/>
            <w:tcBorders>
              <w:top w:val="nil"/>
              <w:left w:val="nil"/>
              <w:bottom w:val="nil"/>
              <w:right w:val="nil"/>
            </w:tcBorders>
            <w:shd w:val="clear" w:color="auto" w:fill="auto"/>
            <w:noWrap/>
            <w:vAlign w:val="bottom"/>
            <w:hideMark/>
          </w:tcPr>
          <w:p w14:paraId="6363F637"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Algeria</w:t>
            </w:r>
            <w:proofErr w:type="spellEnd"/>
          </w:p>
        </w:tc>
        <w:tc>
          <w:tcPr>
            <w:tcW w:w="976" w:type="dxa"/>
            <w:tcBorders>
              <w:top w:val="nil"/>
              <w:left w:val="nil"/>
              <w:bottom w:val="nil"/>
              <w:right w:val="nil"/>
            </w:tcBorders>
            <w:shd w:val="clear" w:color="auto" w:fill="auto"/>
            <w:noWrap/>
            <w:vAlign w:val="bottom"/>
            <w:hideMark/>
          </w:tcPr>
          <w:p w14:paraId="0CE99225"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4</w:t>
            </w:r>
          </w:p>
        </w:tc>
      </w:tr>
      <w:tr w:rsidR="00754404" w:rsidRPr="00754404" w14:paraId="6C643457" w14:textId="77777777" w:rsidTr="007C6163">
        <w:trPr>
          <w:trHeight w:val="227"/>
        </w:trPr>
        <w:tc>
          <w:tcPr>
            <w:tcW w:w="3040" w:type="dxa"/>
            <w:tcBorders>
              <w:top w:val="nil"/>
              <w:left w:val="nil"/>
              <w:bottom w:val="nil"/>
              <w:right w:val="nil"/>
            </w:tcBorders>
            <w:shd w:val="clear" w:color="auto" w:fill="auto"/>
            <w:noWrap/>
            <w:vAlign w:val="bottom"/>
            <w:hideMark/>
          </w:tcPr>
          <w:p w14:paraId="2AC4736E"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Zambia</w:t>
            </w:r>
            <w:proofErr w:type="spellEnd"/>
          </w:p>
        </w:tc>
        <w:tc>
          <w:tcPr>
            <w:tcW w:w="976" w:type="dxa"/>
            <w:tcBorders>
              <w:top w:val="nil"/>
              <w:left w:val="nil"/>
              <w:bottom w:val="nil"/>
              <w:right w:val="nil"/>
            </w:tcBorders>
            <w:shd w:val="clear" w:color="auto" w:fill="auto"/>
            <w:noWrap/>
            <w:vAlign w:val="bottom"/>
            <w:hideMark/>
          </w:tcPr>
          <w:p w14:paraId="4D8D056C"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52</w:t>
            </w:r>
          </w:p>
        </w:tc>
        <w:tc>
          <w:tcPr>
            <w:tcW w:w="3126" w:type="dxa"/>
            <w:tcBorders>
              <w:top w:val="nil"/>
              <w:left w:val="nil"/>
              <w:bottom w:val="nil"/>
              <w:right w:val="nil"/>
            </w:tcBorders>
            <w:shd w:val="clear" w:color="auto" w:fill="auto"/>
            <w:noWrap/>
            <w:vAlign w:val="bottom"/>
            <w:hideMark/>
          </w:tcPr>
          <w:p w14:paraId="3615DE7F"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Togo</w:t>
            </w:r>
          </w:p>
        </w:tc>
        <w:tc>
          <w:tcPr>
            <w:tcW w:w="976" w:type="dxa"/>
            <w:tcBorders>
              <w:top w:val="nil"/>
              <w:left w:val="nil"/>
              <w:bottom w:val="nil"/>
              <w:right w:val="nil"/>
            </w:tcBorders>
            <w:shd w:val="clear" w:color="auto" w:fill="auto"/>
            <w:noWrap/>
            <w:vAlign w:val="bottom"/>
            <w:hideMark/>
          </w:tcPr>
          <w:p w14:paraId="000574F3"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3</w:t>
            </w:r>
          </w:p>
        </w:tc>
      </w:tr>
      <w:tr w:rsidR="00754404" w:rsidRPr="00754404" w14:paraId="4B49BDF0" w14:textId="77777777" w:rsidTr="007C6163">
        <w:trPr>
          <w:trHeight w:val="227"/>
        </w:trPr>
        <w:tc>
          <w:tcPr>
            <w:tcW w:w="3040" w:type="dxa"/>
            <w:tcBorders>
              <w:top w:val="nil"/>
              <w:left w:val="nil"/>
              <w:bottom w:val="nil"/>
              <w:right w:val="nil"/>
            </w:tcBorders>
            <w:shd w:val="clear" w:color="auto" w:fill="auto"/>
            <w:noWrap/>
            <w:vAlign w:val="bottom"/>
            <w:hideMark/>
          </w:tcPr>
          <w:p w14:paraId="5B38D1EF"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Gambia</w:t>
            </w:r>
          </w:p>
        </w:tc>
        <w:tc>
          <w:tcPr>
            <w:tcW w:w="976" w:type="dxa"/>
            <w:tcBorders>
              <w:top w:val="nil"/>
              <w:left w:val="nil"/>
              <w:bottom w:val="nil"/>
              <w:right w:val="nil"/>
            </w:tcBorders>
            <w:shd w:val="clear" w:color="auto" w:fill="auto"/>
            <w:noWrap/>
            <w:vAlign w:val="bottom"/>
            <w:hideMark/>
          </w:tcPr>
          <w:p w14:paraId="2DDAADD8"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31</w:t>
            </w:r>
          </w:p>
        </w:tc>
        <w:tc>
          <w:tcPr>
            <w:tcW w:w="3126" w:type="dxa"/>
            <w:tcBorders>
              <w:top w:val="nil"/>
              <w:left w:val="nil"/>
              <w:bottom w:val="nil"/>
              <w:right w:val="nil"/>
            </w:tcBorders>
            <w:shd w:val="clear" w:color="auto" w:fill="auto"/>
            <w:noWrap/>
            <w:vAlign w:val="bottom"/>
            <w:hideMark/>
          </w:tcPr>
          <w:p w14:paraId="394C0026"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Sierra</w:t>
            </w:r>
            <w:proofErr w:type="spellEnd"/>
            <w:r w:rsidRPr="00754404">
              <w:rPr>
                <w:rFonts w:eastAsia="Times New Roman" w:cs="Times New Roman"/>
                <w:color w:val="000000"/>
                <w:sz w:val="20"/>
                <w:szCs w:val="20"/>
                <w:lang w:eastAsia="pt-PT"/>
              </w:rPr>
              <w:t xml:space="preserve"> Leone</w:t>
            </w:r>
          </w:p>
        </w:tc>
        <w:tc>
          <w:tcPr>
            <w:tcW w:w="976" w:type="dxa"/>
            <w:tcBorders>
              <w:top w:val="nil"/>
              <w:left w:val="nil"/>
              <w:bottom w:val="nil"/>
              <w:right w:val="nil"/>
            </w:tcBorders>
            <w:shd w:val="clear" w:color="auto" w:fill="auto"/>
            <w:noWrap/>
            <w:vAlign w:val="bottom"/>
            <w:hideMark/>
          </w:tcPr>
          <w:p w14:paraId="33AE92FD"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3</w:t>
            </w:r>
          </w:p>
        </w:tc>
      </w:tr>
      <w:tr w:rsidR="00754404" w:rsidRPr="00754404" w14:paraId="2FFF4A7F" w14:textId="77777777" w:rsidTr="007C6163">
        <w:trPr>
          <w:trHeight w:val="227"/>
        </w:trPr>
        <w:tc>
          <w:tcPr>
            <w:tcW w:w="3040" w:type="dxa"/>
            <w:tcBorders>
              <w:top w:val="nil"/>
              <w:left w:val="nil"/>
              <w:bottom w:val="nil"/>
              <w:right w:val="nil"/>
            </w:tcBorders>
            <w:shd w:val="clear" w:color="auto" w:fill="auto"/>
            <w:noWrap/>
            <w:vAlign w:val="bottom"/>
            <w:hideMark/>
          </w:tcPr>
          <w:p w14:paraId="67088BB5"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Tunisia</w:t>
            </w:r>
            <w:proofErr w:type="spellEnd"/>
          </w:p>
        </w:tc>
        <w:tc>
          <w:tcPr>
            <w:tcW w:w="976" w:type="dxa"/>
            <w:tcBorders>
              <w:top w:val="nil"/>
              <w:left w:val="nil"/>
              <w:bottom w:val="nil"/>
              <w:right w:val="nil"/>
            </w:tcBorders>
            <w:shd w:val="clear" w:color="auto" w:fill="auto"/>
            <w:noWrap/>
            <w:vAlign w:val="bottom"/>
            <w:hideMark/>
          </w:tcPr>
          <w:p w14:paraId="4DE491B2"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24</w:t>
            </w:r>
          </w:p>
        </w:tc>
        <w:tc>
          <w:tcPr>
            <w:tcW w:w="3126" w:type="dxa"/>
            <w:tcBorders>
              <w:top w:val="nil"/>
              <w:left w:val="nil"/>
              <w:bottom w:val="nil"/>
              <w:right w:val="nil"/>
            </w:tcBorders>
            <w:shd w:val="clear" w:color="auto" w:fill="auto"/>
            <w:noWrap/>
            <w:vAlign w:val="bottom"/>
            <w:hideMark/>
          </w:tcPr>
          <w:p w14:paraId="54B62591"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Burundi</w:t>
            </w:r>
          </w:p>
        </w:tc>
        <w:tc>
          <w:tcPr>
            <w:tcW w:w="976" w:type="dxa"/>
            <w:tcBorders>
              <w:top w:val="nil"/>
              <w:left w:val="nil"/>
              <w:bottom w:val="nil"/>
              <w:right w:val="nil"/>
            </w:tcBorders>
            <w:shd w:val="clear" w:color="auto" w:fill="auto"/>
            <w:noWrap/>
            <w:vAlign w:val="bottom"/>
            <w:hideMark/>
          </w:tcPr>
          <w:p w14:paraId="6ACC0596"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3</w:t>
            </w:r>
          </w:p>
        </w:tc>
      </w:tr>
      <w:tr w:rsidR="00754404" w:rsidRPr="00754404" w14:paraId="4A113D71" w14:textId="77777777" w:rsidTr="007C6163">
        <w:trPr>
          <w:trHeight w:val="227"/>
        </w:trPr>
        <w:tc>
          <w:tcPr>
            <w:tcW w:w="3040" w:type="dxa"/>
            <w:tcBorders>
              <w:top w:val="nil"/>
              <w:left w:val="nil"/>
              <w:bottom w:val="nil"/>
              <w:right w:val="nil"/>
            </w:tcBorders>
            <w:shd w:val="clear" w:color="auto" w:fill="auto"/>
            <w:noWrap/>
            <w:vAlign w:val="bottom"/>
            <w:hideMark/>
          </w:tcPr>
          <w:p w14:paraId="6FD9BF7A" w14:textId="0F8BCB6C" w:rsidR="00754404" w:rsidRPr="00754404" w:rsidRDefault="00754404" w:rsidP="00754404">
            <w:pPr>
              <w:spacing w:after="0" w:line="240" w:lineRule="auto"/>
              <w:rPr>
                <w:rFonts w:eastAsia="Times New Roman" w:cs="Times New Roman"/>
                <w:color w:val="000000"/>
                <w:sz w:val="20"/>
                <w:szCs w:val="20"/>
                <w:lang w:val="en-GB" w:eastAsia="pt-PT"/>
              </w:rPr>
            </w:pPr>
            <w:r w:rsidRPr="00754404">
              <w:rPr>
                <w:rFonts w:eastAsia="Times New Roman" w:cs="Times New Roman"/>
                <w:color w:val="000000"/>
                <w:sz w:val="20"/>
                <w:szCs w:val="20"/>
                <w:lang w:val="en-GB" w:eastAsia="pt-PT"/>
              </w:rPr>
              <w:t xml:space="preserve">Democratic </w:t>
            </w:r>
            <w:r>
              <w:rPr>
                <w:rFonts w:eastAsia="Times New Roman" w:cs="Times New Roman"/>
                <w:color w:val="000000"/>
                <w:sz w:val="20"/>
                <w:szCs w:val="20"/>
                <w:lang w:val="en-GB" w:eastAsia="pt-PT"/>
              </w:rPr>
              <w:t>Republic</w:t>
            </w:r>
            <w:r w:rsidRPr="00754404">
              <w:rPr>
                <w:rFonts w:eastAsia="Times New Roman" w:cs="Times New Roman"/>
                <w:color w:val="000000"/>
                <w:sz w:val="20"/>
                <w:szCs w:val="20"/>
                <w:lang w:val="en-GB" w:eastAsia="pt-PT"/>
              </w:rPr>
              <w:t xml:space="preserve"> of the Congo</w:t>
            </w:r>
          </w:p>
        </w:tc>
        <w:tc>
          <w:tcPr>
            <w:tcW w:w="976" w:type="dxa"/>
            <w:tcBorders>
              <w:top w:val="nil"/>
              <w:left w:val="nil"/>
              <w:bottom w:val="nil"/>
              <w:right w:val="nil"/>
            </w:tcBorders>
            <w:shd w:val="clear" w:color="auto" w:fill="auto"/>
            <w:noWrap/>
            <w:vAlign w:val="bottom"/>
            <w:hideMark/>
          </w:tcPr>
          <w:p w14:paraId="0F93A741"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21</w:t>
            </w:r>
          </w:p>
        </w:tc>
        <w:tc>
          <w:tcPr>
            <w:tcW w:w="3126" w:type="dxa"/>
            <w:tcBorders>
              <w:top w:val="nil"/>
              <w:left w:val="nil"/>
              <w:bottom w:val="nil"/>
              <w:right w:val="nil"/>
            </w:tcBorders>
            <w:shd w:val="clear" w:color="auto" w:fill="auto"/>
            <w:noWrap/>
            <w:vAlign w:val="bottom"/>
            <w:hideMark/>
          </w:tcPr>
          <w:p w14:paraId="2E842CE0" w14:textId="77777777" w:rsidR="00754404" w:rsidRPr="00754404" w:rsidRDefault="00754404" w:rsidP="00754404">
            <w:pPr>
              <w:spacing w:after="0" w:line="240" w:lineRule="auto"/>
              <w:rPr>
                <w:rFonts w:eastAsia="Times New Roman" w:cs="Times New Roman"/>
                <w:color w:val="000000"/>
                <w:sz w:val="20"/>
                <w:szCs w:val="20"/>
                <w:lang w:val="en-GB" w:eastAsia="pt-PT"/>
              </w:rPr>
            </w:pPr>
            <w:r w:rsidRPr="00754404">
              <w:rPr>
                <w:rFonts w:eastAsia="Times New Roman" w:cs="Times New Roman"/>
                <w:color w:val="000000"/>
                <w:sz w:val="20"/>
                <w:szCs w:val="20"/>
                <w:lang w:val="en-GB" w:eastAsia="pt-PT"/>
              </w:rPr>
              <w:t>The People's Republic of the Congo</w:t>
            </w:r>
          </w:p>
        </w:tc>
        <w:tc>
          <w:tcPr>
            <w:tcW w:w="976" w:type="dxa"/>
            <w:tcBorders>
              <w:top w:val="nil"/>
              <w:left w:val="nil"/>
              <w:bottom w:val="nil"/>
              <w:right w:val="nil"/>
            </w:tcBorders>
            <w:shd w:val="clear" w:color="auto" w:fill="auto"/>
            <w:noWrap/>
            <w:vAlign w:val="bottom"/>
            <w:hideMark/>
          </w:tcPr>
          <w:p w14:paraId="1FBA5310"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3</w:t>
            </w:r>
          </w:p>
        </w:tc>
      </w:tr>
      <w:tr w:rsidR="00754404" w:rsidRPr="00754404" w14:paraId="57A8E311" w14:textId="77777777" w:rsidTr="007C6163">
        <w:trPr>
          <w:trHeight w:val="227"/>
        </w:trPr>
        <w:tc>
          <w:tcPr>
            <w:tcW w:w="3040" w:type="dxa"/>
            <w:tcBorders>
              <w:top w:val="nil"/>
              <w:left w:val="nil"/>
              <w:bottom w:val="nil"/>
              <w:right w:val="nil"/>
            </w:tcBorders>
            <w:shd w:val="clear" w:color="auto" w:fill="auto"/>
            <w:noWrap/>
            <w:vAlign w:val="bottom"/>
            <w:hideMark/>
          </w:tcPr>
          <w:p w14:paraId="126EED79"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Morocco</w:t>
            </w:r>
            <w:proofErr w:type="spellEnd"/>
          </w:p>
        </w:tc>
        <w:tc>
          <w:tcPr>
            <w:tcW w:w="976" w:type="dxa"/>
            <w:tcBorders>
              <w:top w:val="nil"/>
              <w:left w:val="nil"/>
              <w:bottom w:val="nil"/>
              <w:right w:val="nil"/>
            </w:tcBorders>
            <w:shd w:val="clear" w:color="auto" w:fill="auto"/>
            <w:noWrap/>
            <w:vAlign w:val="bottom"/>
            <w:hideMark/>
          </w:tcPr>
          <w:p w14:paraId="4498F121"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20</w:t>
            </w:r>
          </w:p>
        </w:tc>
        <w:tc>
          <w:tcPr>
            <w:tcW w:w="3126" w:type="dxa"/>
            <w:tcBorders>
              <w:top w:val="nil"/>
              <w:left w:val="nil"/>
              <w:bottom w:val="nil"/>
              <w:right w:val="nil"/>
            </w:tcBorders>
            <w:shd w:val="clear" w:color="auto" w:fill="auto"/>
            <w:noWrap/>
            <w:vAlign w:val="bottom"/>
            <w:hideMark/>
          </w:tcPr>
          <w:p w14:paraId="3A676557"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 xml:space="preserve">Central </w:t>
            </w:r>
            <w:proofErr w:type="spellStart"/>
            <w:r w:rsidRPr="00754404">
              <w:rPr>
                <w:rFonts w:eastAsia="Times New Roman" w:cs="Times New Roman"/>
                <w:color w:val="000000"/>
                <w:sz w:val="20"/>
                <w:szCs w:val="20"/>
                <w:lang w:eastAsia="pt-PT"/>
              </w:rPr>
              <w:t>African</w:t>
            </w:r>
            <w:proofErr w:type="spellEnd"/>
            <w:r w:rsidRPr="00754404">
              <w:rPr>
                <w:rFonts w:eastAsia="Times New Roman" w:cs="Times New Roman"/>
                <w:color w:val="000000"/>
                <w:sz w:val="20"/>
                <w:szCs w:val="20"/>
                <w:lang w:eastAsia="pt-PT"/>
              </w:rPr>
              <w:t xml:space="preserve"> </w:t>
            </w:r>
            <w:proofErr w:type="spellStart"/>
            <w:r w:rsidRPr="00754404">
              <w:rPr>
                <w:rFonts w:eastAsia="Times New Roman" w:cs="Times New Roman"/>
                <w:color w:val="000000"/>
                <w:sz w:val="20"/>
                <w:szCs w:val="20"/>
                <w:lang w:eastAsia="pt-PT"/>
              </w:rPr>
              <w:t>Republic</w:t>
            </w:r>
            <w:proofErr w:type="spellEnd"/>
            <w:r w:rsidRPr="00754404">
              <w:rPr>
                <w:rFonts w:eastAsia="Times New Roman" w:cs="Times New Roman"/>
                <w:color w:val="000000"/>
                <w:sz w:val="20"/>
                <w:szCs w:val="20"/>
                <w:lang w:eastAsia="pt-PT"/>
              </w:rPr>
              <w:t xml:space="preserve"> </w:t>
            </w:r>
          </w:p>
        </w:tc>
        <w:tc>
          <w:tcPr>
            <w:tcW w:w="976" w:type="dxa"/>
            <w:tcBorders>
              <w:top w:val="nil"/>
              <w:left w:val="nil"/>
              <w:bottom w:val="nil"/>
              <w:right w:val="nil"/>
            </w:tcBorders>
            <w:shd w:val="clear" w:color="auto" w:fill="auto"/>
            <w:noWrap/>
            <w:vAlign w:val="bottom"/>
            <w:hideMark/>
          </w:tcPr>
          <w:p w14:paraId="2BA79917"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w:t>
            </w:r>
          </w:p>
        </w:tc>
      </w:tr>
      <w:tr w:rsidR="00754404" w:rsidRPr="00754404" w14:paraId="5E0DB0F4" w14:textId="77777777" w:rsidTr="007C6163">
        <w:trPr>
          <w:trHeight w:val="227"/>
        </w:trPr>
        <w:tc>
          <w:tcPr>
            <w:tcW w:w="3040" w:type="dxa"/>
            <w:tcBorders>
              <w:top w:val="nil"/>
              <w:left w:val="nil"/>
              <w:bottom w:val="nil"/>
              <w:right w:val="nil"/>
            </w:tcBorders>
            <w:shd w:val="clear" w:color="auto" w:fill="auto"/>
            <w:noWrap/>
            <w:vAlign w:val="bottom"/>
            <w:hideMark/>
          </w:tcPr>
          <w:p w14:paraId="051BE99B"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Cameroon</w:t>
            </w:r>
            <w:proofErr w:type="spellEnd"/>
          </w:p>
        </w:tc>
        <w:tc>
          <w:tcPr>
            <w:tcW w:w="976" w:type="dxa"/>
            <w:tcBorders>
              <w:top w:val="nil"/>
              <w:left w:val="nil"/>
              <w:bottom w:val="nil"/>
              <w:right w:val="nil"/>
            </w:tcBorders>
            <w:shd w:val="clear" w:color="auto" w:fill="auto"/>
            <w:noWrap/>
            <w:vAlign w:val="bottom"/>
            <w:hideMark/>
          </w:tcPr>
          <w:p w14:paraId="1ADD9E67"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20</w:t>
            </w:r>
          </w:p>
        </w:tc>
        <w:tc>
          <w:tcPr>
            <w:tcW w:w="3126" w:type="dxa"/>
            <w:tcBorders>
              <w:top w:val="nil"/>
              <w:left w:val="nil"/>
              <w:bottom w:val="nil"/>
              <w:right w:val="nil"/>
            </w:tcBorders>
            <w:shd w:val="clear" w:color="auto" w:fill="auto"/>
            <w:noWrap/>
            <w:vAlign w:val="bottom"/>
            <w:hideMark/>
          </w:tcPr>
          <w:p w14:paraId="431286A5"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Guinea</w:t>
            </w:r>
            <w:proofErr w:type="spellEnd"/>
            <w:r w:rsidRPr="00754404">
              <w:rPr>
                <w:rFonts w:eastAsia="Times New Roman" w:cs="Times New Roman"/>
                <w:color w:val="000000"/>
                <w:sz w:val="20"/>
                <w:szCs w:val="20"/>
                <w:lang w:eastAsia="pt-PT"/>
              </w:rPr>
              <w:t xml:space="preserve"> Bissau</w:t>
            </w:r>
          </w:p>
        </w:tc>
        <w:tc>
          <w:tcPr>
            <w:tcW w:w="976" w:type="dxa"/>
            <w:tcBorders>
              <w:top w:val="nil"/>
              <w:left w:val="nil"/>
              <w:bottom w:val="nil"/>
              <w:right w:val="nil"/>
            </w:tcBorders>
            <w:shd w:val="clear" w:color="auto" w:fill="auto"/>
            <w:noWrap/>
            <w:vAlign w:val="bottom"/>
            <w:hideMark/>
          </w:tcPr>
          <w:p w14:paraId="38C44EBE"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w:t>
            </w:r>
          </w:p>
        </w:tc>
      </w:tr>
      <w:tr w:rsidR="00754404" w:rsidRPr="00754404" w14:paraId="665DCF7F" w14:textId="77777777" w:rsidTr="007C6163">
        <w:trPr>
          <w:trHeight w:val="227"/>
        </w:trPr>
        <w:tc>
          <w:tcPr>
            <w:tcW w:w="3040" w:type="dxa"/>
            <w:tcBorders>
              <w:top w:val="nil"/>
              <w:left w:val="nil"/>
              <w:bottom w:val="nil"/>
              <w:right w:val="nil"/>
            </w:tcBorders>
            <w:shd w:val="clear" w:color="auto" w:fill="auto"/>
            <w:noWrap/>
            <w:vAlign w:val="bottom"/>
            <w:hideMark/>
          </w:tcPr>
          <w:p w14:paraId="4E4A69FD"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Zimbabwe</w:t>
            </w:r>
          </w:p>
        </w:tc>
        <w:tc>
          <w:tcPr>
            <w:tcW w:w="976" w:type="dxa"/>
            <w:tcBorders>
              <w:top w:val="nil"/>
              <w:left w:val="nil"/>
              <w:bottom w:val="nil"/>
              <w:right w:val="nil"/>
            </w:tcBorders>
            <w:shd w:val="clear" w:color="auto" w:fill="auto"/>
            <w:noWrap/>
            <w:vAlign w:val="bottom"/>
            <w:hideMark/>
          </w:tcPr>
          <w:p w14:paraId="17D0F796"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20</w:t>
            </w:r>
          </w:p>
        </w:tc>
        <w:tc>
          <w:tcPr>
            <w:tcW w:w="3126" w:type="dxa"/>
            <w:tcBorders>
              <w:top w:val="nil"/>
              <w:left w:val="nil"/>
              <w:bottom w:val="nil"/>
              <w:right w:val="nil"/>
            </w:tcBorders>
            <w:shd w:val="clear" w:color="auto" w:fill="auto"/>
            <w:noWrap/>
            <w:vAlign w:val="bottom"/>
            <w:hideMark/>
          </w:tcPr>
          <w:p w14:paraId="46B705D1"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South</w:t>
            </w:r>
            <w:proofErr w:type="spellEnd"/>
            <w:r w:rsidRPr="00754404">
              <w:rPr>
                <w:rFonts w:eastAsia="Times New Roman" w:cs="Times New Roman"/>
                <w:color w:val="000000"/>
                <w:sz w:val="20"/>
                <w:szCs w:val="20"/>
                <w:lang w:eastAsia="pt-PT"/>
              </w:rPr>
              <w:t xml:space="preserve"> </w:t>
            </w:r>
            <w:proofErr w:type="spellStart"/>
            <w:r w:rsidRPr="00754404">
              <w:rPr>
                <w:rFonts w:eastAsia="Times New Roman" w:cs="Times New Roman"/>
                <w:color w:val="000000"/>
                <w:sz w:val="20"/>
                <w:szCs w:val="20"/>
                <w:lang w:eastAsia="pt-PT"/>
              </w:rPr>
              <w:t>Sudan</w:t>
            </w:r>
            <w:proofErr w:type="spellEnd"/>
          </w:p>
        </w:tc>
        <w:tc>
          <w:tcPr>
            <w:tcW w:w="976" w:type="dxa"/>
            <w:tcBorders>
              <w:top w:val="nil"/>
              <w:left w:val="nil"/>
              <w:bottom w:val="nil"/>
              <w:right w:val="nil"/>
            </w:tcBorders>
            <w:shd w:val="clear" w:color="auto" w:fill="auto"/>
            <w:noWrap/>
            <w:vAlign w:val="bottom"/>
            <w:hideMark/>
          </w:tcPr>
          <w:p w14:paraId="7666F1F9"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w:t>
            </w:r>
          </w:p>
        </w:tc>
      </w:tr>
      <w:tr w:rsidR="00754404" w:rsidRPr="00754404" w14:paraId="3CAA8FE2" w14:textId="77777777" w:rsidTr="007C6163">
        <w:trPr>
          <w:trHeight w:val="227"/>
        </w:trPr>
        <w:tc>
          <w:tcPr>
            <w:tcW w:w="3040" w:type="dxa"/>
            <w:tcBorders>
              <w:top w:val="nil"/>
              <w:left w:val="nil"/>
              <w:bottom w:val="nil"/>
              <w:right w:val="nil"/>
            </w:tcBorders>
            <w:shd w:val="clear" w:color="auto" w:fill="auto"/>
            <w:noWrap/>
            <w:vAlign w:val="bottom"/>
            <w:hideMark/>
          </w:tcPr>
          <w:p w14:paraId="37EE26A9"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Sudan</w:t>
            </w:r>
            <w:proofErr w:type="spellEnd"/>
          </w:p>
        </w:tc>
        <w:tc>
          <w:tcPr>
            <w:tcW w:w="976" w:type="dxa"/>
            <w:tcBorders>
              <w:top w:val="nil"/>
              <w:left w:val="nil"/>
              <w:bottom w:val="nil"/>
              <w:right w:val="nil"/>
            </w:tcBorders>
            <w:shd w:val="clear" w:color="auto" w:fill="auto"/>
            <w:noWrap/>
            <w:vAlign w:val="bottom"/>
            <w:hideMark/>
          </w:tcPr>
          <w:p w14:paraId="464DEDF9"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19</w:t>
            </w:r>
          </w:p>
        </w:tc>
        <w:tc>
          <w:tcPr>
            <w:tcW w:w="3126" w:type="dxa"/>
            <w:tcBorders>
              <w:top w:val="nil"/>
              <w:left w:val="nil"/>
              <w:bottom w:val="nil"/>
              <w:right w:val="nil"/>
            </w:tcBorders>
            <w:shd w:val="clear" w:color="auto" w:fill="auto"/>
            <w:noWrap/>
            <w:vAlign w:val="bottom"/>
            <w:hideMark/>
          </w:tcPr>
          <w:p w14:paraId="36AF355C"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Angola</w:t>
            </w:r>
          </w:p>
        </w:tc>
        <w:tc>
          <w:tcPr>
            <w:tcW w:w="976" w:type="dxa"/>
            <w:tcBorders>
              <w:top w:val="nil"/>
              <w:left w:val="nil"/>
              <w:bottom w:val="nil"/>
              <w:right w:val="nil"/>
            </w:tcBorders>
            <w:shd w:val="clear" w:color="auto" w:fill="auto"/>
            <w:noWrap/>
            <w:vAlign w:val="bottom"/>
            <w:hideMark/>
          </w:tcPr>
          <w:p w14:paraId="7A9EE455"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w:t>
            </w:r>
          </w:p>
        </w:tc>
      </w:tr>
      <w:tr w:rsidR="00754404" w:rsidRPr="00754404" w14:paraId="17DF2E19" w14:textId="77777777" w:rsidTr="007C6163">
        <w:trPr>
          <w:trHeight w:val="227"/>
        </w:trPr>
        <w:tc>
          <w:tcPr>
            <w:tcW w:w="3040" w:type="dxa"/>
            <w:tcBorders>
              <w:top w:val="nil"/>
              <w:left w:val="nil"/>
              <w:bottom w:val="nil"/>
              <w:right w:val="nil"/>
            </w:tcBorders>
            <w:shd w:val="clear" w:color="auto" w:fill="auto"/>
            <w:noWrap/>
            <w:vAlign w:val="bottom"/>
            <w:hideMark/>
          </w:tcPr>
          <w:p w14:paraId="765EA671" w14:textId="77777777" w:rsidR="00754404" w:rsidRPr="00754404" w:rsidRDefault="00754404" w:rsidP="00754404">
            <w:pPr>
              <w:spacing w:after="0" w:line="240" w:lineRule="auto"/>
              <w:rPr>
                <w:rFonts w:eastAsia="Times New Roman" w:cs="Times New Roman"/>
                <w:color w:val="000000"/>
                <w:sz w:val="20"/>
                <w:szCs w:val="20"/>
                <w:lang w:eastAsia="pt-PT"/>
              </w:rPr>
            </w:pPr>
            <w:r w:rsidRPr="00754404">
              <w:rPr>
                <w:rFonts w:eastAsia="Times New Roman" w:cs="Times New Roman"/>
                <w:color w:val="000000"/>
                <w:sz w:val="20"/>
                <w:szCs w:val="20"/>
                <w:lang w:eastAsia="pt-PT"/>
              </w:rPr>
              <w:t>Senegal</w:t>
            </w:r>
          </w:p>
        </w:tc>
        <w:tc>
          <w:tcPr>
            <w:tcW w:w="976" w:type="dxa"/>
            <w:tcBorders>
              <w:top w:val="nil"/>
              <w:left w:val="nil"/>
              <w:bottom w:val="nil"/>
              <w:right w:val="nil"/>
            </w:tcBorders>
            <w:shd w:val="clear" w:color="auto" w:fill="auto"/>
            <w:noWrap/>
            <w:vAlign w:val="bottom"/>
            <w:hideMark/>
          </w:tcPr>
          <w:p w14:paraId="282438FC"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19</w:t>
            </w:r>
          </w:p>
        </w:tc>
        <w:tc>
          <w:tcPr>
            <w:tcW w:w="3126" w:type="dxa"/>
            <w:tcBorders>
              <w:top w:val="nil"/>
              <w:left w:val="nil"/>
              <w:bottom w:val="nil"/>
              <w:right w:val="nil"/>
            </w:tcBorders>
            <w:shd w:val="clear" w:color="auto" w:fill="auto"/>
            <w:noWrap/>
            <w:vAlign w:val="bottom"/>
            <w:hideMark/>
          </w:tcPr>
          <w:p w14:paraId="10AADFCF"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Chad</w:t>
            </w:r>
            <w:proofErr w:type="spellEnd"/>
          </w:p>
        </w:tc>
        <w:tc>
          <w:tcPr>
            <w:tcW w:w="976" w:type="dxa"/>
            <w:tcBorders>
              <w:top w:val="nil"/>
              <w:left w:val="nil"/>
              <w:bottom w:val="nil"/>
              <w:right w:val="nil"/>
            </w:tcBorders>
            <w:shd w:val="clear" w:color="auto" w:fill="auto"/>
            <w:noWrap/>
            <w:vAlign w:val="bottom"/>
            <w:hideMark/>
          </w:tcPr>
          <w:p w14:paraId="0658CDE3"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2</w:t>
            </w:r>
          </w:p>
        </w:tc>
      </w:tr>
      <w:tr w:rsidR="00754404" w:rsidRPr="00754404" w14:paraId="148D51AD" w14:textId="77777777" w:rsidTr="007C6163">
        <w:trPr>
          <w:trHeight w:val="227"/>
        </w:trPr>
        <w:tc>
          <w:tcPr>
            <w:tcW w:w="3040" w:type="dxa"/>
            <w:tcBorders>
              <w:top w:val="nil"/>
              <w:left w:val="nil"/>
              <w:bottom w:val="single" w:sz="4" w:space="0" w:color="auto"/>
              <w:right w:val="nil"/>
            </w:tcBorders>
            <w:shd w:val="clear" w:color="auto" w:fill="auto"/>
            <w:noWrap/>
            <w:vAlign w:val="bottom"/>
            <w:hideMark/>
          </w:tcPr>
          <w:p w14:paraId="67F82423"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Benin</w:t>
            </w:r>
            <w:proofErr w:type="spellEnd"/>
          </w:p>
        </w:tc>
        <w:tc>
          <w:tcPr>
            <w:tcW w:w="976" w:type="dxa"/>
            <w:tcBorders>
              <w:top w:val="nil"/>
              <w:left w:val="nil"/>
              <w:bottom w:val="single" w:sz="4" w:space="0" w:color="auto"/>
              <w:right w:val="nil"/>
            </w:tcBorders>
            <w:shd w:val="clear" w:color="auto" w:fill="auto"/>
            <w:noWrap/>
            <w:vAlign w:val="bottom"/>
            <w:hideMark/>
          </w:tcPr>
          <w:p w14:paraId="358F2F41"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14</w:t>
            </w:r>
          </w:p>
        </w:tc>
        <w:tc>
          <w:tcPr>
            <w:tcW w:w="3126" w:type="dxa"/>
            <w:tcBorders>
              <w:top w:val="nil"/>
              <w:left w:val="nil"/>
              <w:bottom w:val="single" w:sz="4" w:space="0" w:color="auto"/>
              <w:right w:val="nil"/>
            </w:tcBorders>
            <w:shd w:val="clear" w:color="auto" w:fill="auto"/>
            <w:noWrap/>
            <w:vAlign w:val="bottom"/>
            <w:hideMark/>
          </w:tcPr>
          <w:p w14:paraId="5114909A" w14:textId="77777777" w:rsidR="00754404" w:rsidRPr="00754404" w:rsidRDefault="00754404" w:rsidP="00754404">
            <w:pPr>
              <w:spacing w:after="0" w:line="240" w:lineRule="auto"/>
              <w:rPr>
                <w:rFonts w:eastAsia="Times New Roman" w:cs="Times New Roman"/>
                <w:color w:val="000000"/>
                <w:sz w:val="20"/>
                <w:szCs w:val="20"/>
                <w:lang w:eastAsia="pt-PT"/>
              </w:rPr>
            </w:pPr>
            <w:proofErr w:type="spellStart"/>
            <w:r w:rsidRPr="00754404">
              <w:rPr>
                <w:rFonts w:eastAsia="Times New Roman" w:cs="Times New Roman"/>
                <w:color w:val="000000"/>
                <w:sz w:val="20"/>
                <w:szCs w:val="20"/>
                <w:lang w:eastAsia="pt-PT"/>
              </w:rPr>
              <w:t>Eritrea</w:t>
            </w:r>
            <w:proofErr w:type="spellEnd"/>
          </w:p>
        </w:tc>
        <w:tc>
          <w:tcPr>
            <w:tcW w:w="976" w:type="dxa"/>
            <w:tcBorders>
              <w:top w:val="nil"/>
              <w:left w:val="nil"/>
              <w:bottom w:val="single" w:sz="4" w:space="0" w:color="auto"/>
              <w:right w:val="nil"/>
            </w:tcBorders>
            <w:shd w:val="clear" w:color="auto" w:fill="auto"/>
            <w:noWrap/>
            <w:vAlign w:val="bottom"/>
            <w:hideMark/>
          </w:tcPr>
          <w:p w14:paraId="1CFC426F" w14:textId="77777777" w:rsidR="00754404" w:rsidRPr="00754404" w:rsidRDefault="00754404" w:rsidP="00C31599">
            <w:pPr>
              <w:spacing w:after="0" w:line="240" w:lineRule="auto"/>
              <w:jc w:val="center"/>
              <w:rPr>
                <w:rFonts w:eastAsia="Times New Roman" w:cs="Times New Roman"/>
                <w:color w:val="000000"/>
                <w:sz w:val="20"/>
                <w:szCs w:val="20"/>
                <w:lang w:eastAsia="pt-PT"/>
              </w:rPr>
            </w:pPr>
            <w:r w:rsidRPr="00754404">
              <w:rPr>
                <w:rFonts w:eastAsia="Times New Roman" w:cs="Times New Roman"/>
                <w:color w:val="000000"/>
                <w:sz w:val="20"/>
                <w:szCs w:val="20"/>
                <w:lang w:eastAsia="pt-PT"/>
              </w:rPr>
              <w:t>1</w:t>
            </w:r>
          </w:p>
        </w:tc>
      </w:tr>
    </w:tbl>
    <w:p w14:paraId="5839FE48" w14:textId="77777777" w:rsidR="00754404" w:rsidRDefault="00754404" w:rsidP="00754404">
      <w:pPr>
        <w:rPr>
          <w:lang w:val="en-US"/>
        </w:rPr>
      </w:pPr>
    </w:p>
    <w:p w14:paraId="10DB0157" w14:textId="77777777" w:rsidR="00754404" w:rsidRDefault="00754404" w:rsidP="00754404">
      <w:pPr>
        <w:rPr>
          <w:lang w:val="en-US"/>
        </w:rPr>
      </w:pPr>
    </w:p>
    <w:p w14:paraId="10933629" w14:textId="77777777" w:rsidR="0036233B" w:rsidRDefault="0036233B" w:rsidP="00754404">
      <w:pPr>
        <w:rPr>
          <w:lang w:val="en-US"/>
        </w:rPr>
        <w:sectPr w:rsidR="0036233B">
          <w:footerReference w:type="default" r:id="rId8"/>
          <w:pgSz w:w="11906" w:h="16838"/>
          <w:pgMar w:top="1417" w:right="1701" w:bottom="1417" w:left="1701" w:header="708" w:footer="708" w:gutter="0"/>
          <w:cols w:space="708"/>
          <w:docGrid w:linePitch="360"/>
        </w:sectPr>
      </w:pPr>
    </w:p>
    <w:p w14:paraId="17AA6CB2" w14:textId="3842A20D" w:rsidR="0036233B" w:rsidRPr="00D34106" w:rsidRDefault="0036233B" w:rsidP="0036233B">
      <w:pPr>
        <w:pStyle w:val="Caption"/>
        <w:keepNext/>
        <w:rPr>
          <w:i w:val="0"/>
          <w:iCs w:val="0"/>
          <w:color w:val="auto"/>
          <w:lang w:val="en-US"/>
        </w:rPr>
      </w:pPr>
      <w:r w:rsidRPr="00D34106">
        <w:rPr>
          <w:i w:val="0"/>
          <w:iCs w:val="0"/>
          <w:color w:val="auto"/>
          <w:lang w:val="en-GB"/>
        </w:rPr>
        <w:lastRenderedPageBreak/>
        <w:t xml:space="preserve">Table </w:t>
      </w:r>
      <w:r w:rsidR="00D34106">
        <w:rPr>
          <w:i w:val="0"/>
          <w:iCs w:val="0"/>
          <w:color w:val="auto"/>
          <w:lang w:val="en-GB"/>
        </w:rPr>
        <w:t>A</w:t>
      </w:r>
      <w:r w:rsidRPr="00D34106">
        <w:rPr>
          <w:i w:val="0"/>
          <w:iCs w:val="0"/>
          <w:color w:val="auto"/>
        </w:rPr>
        <w:fldChar w:fldCharType="begin"/>
      </w:r>
      <w:r w:rsidRPr="00D34106">
        <w:rPr>
          <w:i w:val="0"/>
          <w:iCs w:val="0"/>
          <w:color w:val="auto"/>
          <w:lang w:val="en-GB"/>
        </w:rPr>
        <w:instrText xml:space="preserve"> SEQ Table \* ARABIC </w:instrText>
      </w:r>
      <w:r w:rsidRPr="00D34106">
        <w:rPr>
          <w:i w:val="0"/>
          <w:iCs w:val="0"/>
          <w:color w:val="auto"/>
        </w:rPr>
        <w:fldChar w:fldCharType="separate"/>
      </w:r>
      <w:r w:rsidRPr="00D34106">
        <w:rPr>
          <w:i w:val="0"/>
          <w:iCs w:val="0"/>
          <w:noProof/>
          <w:color w:val="auto"/>
          <w:lang w:val="en-GB"/>
        </w:rPr>
        <w:t>2</w:t>
      </w:r>
      <w:r w:rsidRPr="00D34106">
        <w:rPr>
          <w:i w:val="0"/>
          <w:iCs w:val="0"/>
          <w:color w:val="auto"/>
        </w:rPr>
        <w:fldChar w:fldCharType="end"/>
      </w:r>
      <w:r w:rsidRPr="00D34106">
        <w:rPr>
          <w:i w:val="0"/>
          <w:iCs w:val="0"/>
          <w:color w:val="auto"/>
          <w:lang w:val="en-GB"/>
        </w:rPr>
        <w:t xml:space="preserve">. </w:t>
      </w:r>
      <w:r w:rsidRPr="00D34106">
        <w:rPr>
          <w:i w:val="0"/>
          <w:iCs w:val="0"/>
          <w:color w:val="auto"/>
          <w:lang w:val="en-US"/>
        </w:rPr>
        <w:t xml:space="preserve">The participation of </w:t>
      </w:r>
      <w:r w:rsidR="007C6163">
        <w:rPr>
          <w:i w:val="0"/>
          <w:iCs w:val="0"/>
          <w:color w:val="auto"/>
          <w:lang w:val="en-US"/>
        </w:rPr>
        <w:t xml:space="preserve">scientists from </w:t>
      </w:r>
      <w:r w:rsidRPr="00D34106">
        <w:rPr>
          <w:i w:val="0"/>
          <w:iCs w:val="0"/>
          <w:color w:val="auto"/>
          <w:lang w:val="en-US"/>
        </w:rPr>
        <w:t xml:space="preserve">non-African countries in the articles, published between 2000 and 2019, on </w:t>
      </w:r>
      <w:proofErr w:type="gramStart"/>
      <w:r w:rsidRPr="00D34106">
        <w:rPr>
          <w:i w:val="0"/>
          <w:iCs w:val="0"/>
          <w:color w:val="auto"/>
          <w:lang w:val="en-US"/>
        </w:rPr>
        <w:t>NC</w:t>
      </w:r>
      <w:proofErr w:type="gramEnd"/>
      <w:r w:rsidRPr="00D34106">
        <w:rPr>
          <w:i w:val="0"/>
          <w:iCs w:val="0"/>
          <w:color w:val="auto"/>
          <w:lang w:val="en-US"/>
        </w:rPr>
        <w:t xml:space="preserve"> </w:t>
      </w:r>
    </w:p>
    <w:tbl>
      <w:tblPr>
        <w:tblW w:w="6154" w:type="dxa"/>
        <w:tblCellMar>
          <w:left w:w="70" w:type="dxa"/>
          <w:right w:w="70" w:type="dxa"/>
        </w:tblCellMar>
        <w:tblLook w:val="04A0" w:firstRow="1" w:lastRow="0" w:firstColumn="1" w:lastColumn="0" w:noHBand="0" w:noVBand="1"/>
      </w:tblPr>
      <w:tblGrid>
        <w:gridCol w:w="1995"/>
        <w:gridCol w:w="976"/>
        <w:gridCol w:w="2207"/>
        <w:gridCol w:w="976"/>
      </w:tblGrid>
      <w:tr w:rsidR="0036233B" w:rsidRPr="0036233B" w14:paraId="5CE2AD48" w14:textId="77777777" w:rsidTr="007C6163">
        <w:trPr>
          <w:trHeight w:val="227"/>
        </w:trPr>
        <w:tc>
          <w:tcPr>
            <w:tcW w:w="1995" w:type="dxa"/>
            <w:tcBorders>
              <w:top w:val="single" w:sz="4" w:space="0" w:color="auto"/>
              <w:left w:val="nil"/>
              <w:bottom w:val="single" w:sz="4" w:space="0" w:color="auto"/>
              <w:right w:val="nil"/>
            </w:tcBorders>
            <w:shd w:val="clear" w:color="auto" w:fill="auto"/>
            <w:noWrap/>
            <w:vAlign w:val="bottom"/>
            <w:hideMark/>
          </w:tcPr>
          <w:p w14:paraId="7A4641FB" w14:textId="77777777" w:rsidR="0036233B" w:rsidRPr="0036233B" w:rsidRDefault="0036233B" w:rsidP="0036233B">
            <w:pPr>
              <w:spacing w:after="0" w:line="240" w:lineRule="auto"/>
              <w:jc w:val="center"/>
              <w:rPr>
                <w:rFonts w:eastAsia="Times New Roman" w:cs="Times New Roman"/>
                <w:b/>
                <w:bCs/>
                <w:color w:val="000000"/>
                <w:sz w:val="20"/>
                <w:szCs w:val="20"/>
                <w:lang w:eastAsia="pt-PT"/>
              </w:rPr>
            </w:pPr>
            <w:r w:rsidRPr="0036233B">
              <w:rPr>
                <w:rFonts w:eastAsia="Times New Roman" w:cs="Times New Roman"/>
                <w:b/>
                <w:bCs/>
                <w:color w:val="000000"/>
                <w:sz w:val="20"/>
                <w:szCs w:val="20"/>
                <w:lang w:eastAsia="pt-PT"/>
              </w:rPr>
              <w:t>Country</w:t>
            </w:r>
          </w:p>
        </w:tc>
        <w:tc>
          <w:tcPr>
            <w:tcW w:w="976" w:type="dxa"/>
            <w:tcBorders>
              <w:top w:val="single" w:sz="4" w:space="0" w:color="auto"/>
              <w:left w:val="nil"/>
              <w:bottom w:val="single" w:sz="4" w:space="0" w:color="auto"/>
              <w:right w:val="nil"/>
            </w:tcBorders>
            <w:shd w:val="clear" w:color="auto" w:fill="auto"/>
            <w:noWrap/>
            <w:vAlign w:val="bottom"/>
            <w:hideMark/>
          </w:tcPr>
          <w:p w14:paraId="745E3C8E" w14:textId="77777777" w:rsidR="0036233B" w:rsidRPr="0036233B" w:rsidRDefault="0036233B" w:rsidP="0036233B">
            <w:pPr>
              <w:spacing w:after="0" w:line="240" w:lineRule="auto"/>
              <w:jc w:val="center"/>
              <w:rPr>
                <w:rFonts w:eastAsia="Times New Roman" w:cs="Times New Roman"/>
                <w:b/>
                <w:bCs/>
                <w:color w:val="000000"/>
                <w:sz w:val="20"/>
                <w:szCs w:val="20"/>
                <w:lang w:eastAsia="pt-PT"/>
              </w:rPr>
            </w:pPr>
            <w:r w:rsidRPr="0036233B">
              <w:rPr>
                <w:rFonts w:eastAsia="Times New Roman" w:cs="Times New Roman"/>
                <w:b/>
                <w:bCs/>
                <w:color w:val="000000"/>
                <w:sz w:val="20"/>
                <w:szCs w:val="20"/>
                <w:lang w:eastAsia="pt-PT"/>
              </w:rPr>
              <w:t>Pub (nº)</w:t>
            </w:r>
          </w:p>
        </w:tc>
        <w:tc>
          <w:tcPr>
            <w:tcW w:w="2207" w:type="dxa"/>
            <w:tcBorders>
              <w:top w:val="single" w:sz="4" w:space="0" w:color="auto"/>
              <w:left w:val="nil"/>
              <w:bottom w:val="single" w:sz="4" w:space="0" w:color="auto"/>
              <w:right w:val="nil"/>
            </w:tcBorders>
            <w:shd w:val="clear" w:color="auto" w:fill="auto"/>
            <w:noWrap/>
            <w:vAlign w:val="bottom"/>
            <w:hideMark/>
          </w:tcPr>
          <w:p w14:paraId="5E4615E2" w14:textId="77777777" w:rsidR="0036233B" w:rsidRPr="0036233B" w:rsidRDefault="0036233B" w:rsidP="0036233B">
            <w:pPr>
              <w:spacing w:after="0" w:line="240" w:lineRule="auto"/>
              <w:jc w:val="center"/>
              <w:rPr>
                <w:rFonts w:eastAsia="Times New Roman" w:cs="Times New Roman"/>
                <w:b/>
                <w:bCs/>
                <w:color w:val="000000"/>
                <w:sz w:val="20"/>
                <w:szCs w:val="20"/>
                <w:lang w:eastAsia="pt-PT"/>
              </w:rPr>
            </w:pPr>
            <w:r w:rsidRPr="0036233B">
              <w:rPr>
                <w:rFonts w:eastAsia="Times New Roman" w:cs="Times New Roman"/>
                <w:b/>
                <w:bCs/>
                <w:color w:val="000000"/>
                <w:sz w:val="20"/>
                <w:szCs w:val="20"/>
                <w:lang w:eastAsia="pt-PT"/>
              </w:rPr>
              <w:t>Country</w:t>
            </w:r>
          </w:p>
        </w:tc>
        <w:tc>
          <w:tcPr>
            <w:tcW w:w="976" w:type="dxa"/>
            <w:tcBorders>
              <w:top w:val="single" w:sz="4" w:space="0" w:color="auto"/>
              <w:left w:val="nil"/>
              <w:bottom w:val="single" w:sz="4" w:space="0" w:color="auto"/>
              <w:right w:val="nil"/>
            </w:tcBorders>
            <w:shd w:val="clear" w:color="auto" w:fill="auto"/>
            <w:noWrap/>
            <w:vAlign w:val="bottom"/>
            <w:hideMark/>
          </w:tcPr>
          <w:p w14:paraId="41C27A82" w14:textId="77777777" w:rsidR="0036233B" w:rsidRPr="0036233B" w:rsidRDefault="0036233B" w:rsidP="0036233B">
            <w:pPr>
              <w:spacing w:after="0" w:line="240" w:lineRule="auto"/>
              <w:jc w:val="center"/>
              <w:rPr>
                <w:rFonts w:eastAsia="Times New Roman" w:cs="Times New Roman"/>
                <w:b/>
                <w:bCs/>
                <w:color w:val="000000"/>
                <w:sz w:val="20"/>
                <w:szCs w:val="20"/>
                <w:lang w:eastAsia="pt-PT"/>
              </w:rPr>
            </w:pPr>
            <w:r w:rsidRPr="0036233B">
              <w:rPr>
                <w:rFonts w:eastAsia="Times New Roman" w:cs="Times New Roman"/>
                <w:b/>
                <w:bCs/>
                <w:color w:val="000000"/>
                <w:sz w:val="20"/>
                <w:szCs w:val="20"/>
                <w:lang w:eastAsia="pt-PT"/>
              </w:rPr>
              <w:t>Pub (nº)</w:t>
            </w:r>
          </w:p>
        </w:tc>
      </w:tr>
      <w:tr w:rsidR="0036233B" w:rsidRPr="0036233B" w14:paraId="2596CCFB" w14:textId="77777777" w:rsidTr="007C6163">
        <w:trPr>
          <w:trHeight w:val="227"/>
        </w:trPr>
        <w:tc>
          <w:tcPr>
            <w:tcW w:w="1995" w:type="dxa"/>
            <w:tcBorders>
              <w:top w:val="nil"/>
              <w:left w:val="nil"/>
              <w:bottom w:val="nil"/>
              <w:right w:val="nil"/>
            </w:tcBorders>
            <w:shd w:val="clear" w:color="auto" w:fill="auto"/>
            <w:noWrap/>
            <w:vAlign w:val="bottom"/>
            <w:hideMark/>
          </w:tcPr>
          <w:p w14:paraId="7F1E9E1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USA</w:t>
            </w:r>
          </w:p>
        </w:tc>
        <w:tc>
          <w:tcPr>
            <w:tcW w:w="976" w:type="dxa"/>
            <w:tcBorders>
              <w:top w:val="nil"/>
              <w:left w:val="nil"/>
              <w:bottom w:val="nil"/>
              <w:right w:val="nil"/>
            </w:tcBorders>
            <w:shd w:val="clear" w:color="auto" w:fill="auto"/>
            <w:noWrap/>
            <w:vAlign w:val="bottom"/>
            <w:hideMark/>
          </w:tcPr>
          <w:p w14:paraId="54A49B2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384</w:t>
            </w:r>
          </w:p>
        </w:tc>
        <w:tc>
          <w:tcPr>
            <w:tcW w:w="2207" w:type="dxa"/>
            <w:tcBorders>
              <w:top w:val="nil"/>
              <w:left w:val="nil"/>
              <w:bottom w:val="nil"/>
              <w:right w:val="nil"/>
            </w:tcBorders>
            <w:shd w:val="clear" w:color="auto" w:fill="auto"/>
            <w:noWrap/>
            <w:vAlign w:val="bottom"/>
            <w:hideMark/>
          </w:tcPr>
          <w:p w14:paraId="49E0C7C3"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South</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Korea</w:t>
            </w:r>
            <w:proofErr w:type="spellEnd"/>
          </w:p>
        </w:tc>
        <w:tc>
          <w:tcPr>
            <w:tcW w:w="976" w:type="dxa"/>
            <w:tcBorders>
              <w:top w:val="nil"/>
              <w:left w:val="nil"/>
              <w:bottom w:val="nil"/>
              <w:right w:val="nil"/>
            </w:tcBorders>
            <w:shd w:val="clear" w:color="auto" w:fill="auto"/>
            <w:noWrap/>
            <w:vAlign w:val="bottom"/>
            <w:hideMark/>
          </w:tcPr>
          <w:p w14:paraId="4F5C5E3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r>
      <w:tr w:rsidR="0036233B" w:rsidRPr="0036233B" w14:paraId="28ECE653" w14:textId="77777777" w:rsidTr="007C6163">
        <w:trPr>
          <w:trHeight w:val="227"/>
        </w:trPr>
        <w:tc>
          <w:tcPr>
            <w:tcW w:w="1995" w:type="dxa"/>
            <w:tcBorders>
              <w:top w:val="nil"/>
              <w:left w:val="nil"/>
              <w:bottom w:val="nil"/>
              <w:right w:val="nil"/>
            </w:tcBorders>
            <w:shd w:val="clear" w:color="auto" w:fill="auto"/>
            <w:noWrap/>
            <w:vAlign w:val="bottom"/>
            <w:hideMark/>
          </w:tcPr>
          <w:p w14:paraId="254275BA"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UK</w:t>
            </w:r>
          </w:p>
        </w:tc>
        <w:tc>
          <w:tcPr>
            <w:tcW w:w="976" w:type="dxa"/>
            <w:tcBorders>
              <w:top w:val="nil"/>
              <w:left w:val="nil"/>
              <w:bottom w:val="nil"/>
              <w:right w:val="nil"/>
            </w:tcBorders>
            <w:shd w:val="clear" w:color="auto" w:fill="auto"/>
            <w:noWrap/>
            <w:vAlign w:val="bottom"/>
            <w:hideMark/>
          </w:tcPr>
          <w:p w14:paraId="01AB316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188</w:t>
            </w:r>
          </w:p>
        </w:tc>
        <w:tc>
          <w:tcPr>
            <w:tcW w:w="2207" w:type="dxa"/>
            <w:tcBorders>
              <w:top w:val="nil"/>
              <w:left w:val="nil"/>
              <w:bottom w:val="nil"/>
              <w:right w:val="nil"/>
            </w:tcBorders>
            <w:shd w:val="clear" w:color="auto" w:fill="auto"/>
            <w:noWrap/>
            <w:vAlign w:val="bottom"/>
            <w:hideMark/>
          </w:tcPr>
          <w:p w14:paraId="1F93AF56"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Portugal</w:t>
            </w:r>
          </w:p>
        </w:tc>
        <w:tc>
          <w:tcPr>
            <w:tcW w:w="976" w:type="dxa"/>
            <w:tcBorders>
              <w:top w:val="nil"/>
              <w:left w:val="nil"/>
              <w:bottom w:val="nil"/>
              <w:right w:val="nil"/>
            </w:tcBorders>
            <w:shd w:val="clear" w:color="auto" w:fill="auto"/>
            <w:noWrap/>
            <w:vAlign w:val="bottom"/>
            <w:hideMark/>
          </w:tcPr>
          <w:p w14:paraId="7FBA4B6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r>
      <w:tr w:rsidR="0036233B" w:rsidRPr="0036233B" w14:paraId="673B745D" w14:textId="77777777" w:rsidTr="007C6163">
        <w:trPr>
          <w:trHeight w:val="227"/>
        </w:trPr>
        <w:tc>
          <w:tcPr>
            <w:tcW w:w="1995" w:type="dxa"/>
            <w:tcBorders>
              <w:top w:val="nil"/>
              <w:left w:val="nil"/>
              <w:bottom w:val="nil"/>
              <w:right w:val="nil"/>
            </w:tcBorders>
            <w:shd w:val="clear" w:color="auto" w:fill="auto"/>
            <w:noWrap/>
            <w:vAlign w:val="bottom"/>
            <w:hideMark/>
          </w:tcPr>
          <w:p w14:paraId="234CC184"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India</w:t>
            </w:r>
          </w:p>
        </w:tc>
        <w:tc>
          <w:tcPr>
            <w:tcW w:w="976" w:type="dxa"/>
            <w:tcBorders>
              <w:top w:val="nil"/>
              <w:left w:val="nil"/>
              <w:bottom w:val="nil"/>
              <w:right w:val="nil"/>
            </w:tcBorders>
            <w:shd w:val="clear" w:color="auto" w:fill="auto"/>
            <w:noWrap/>
            <w:vAlign w:val="bottom"/>
            <w:hideMark/>
          </w:tcPr>
          <w:p w14:paraId="52A8A3B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63</w:t>
            </w:r>
          </w:p>
        </w:tc>
        <w:tc>
          <w:tcPr>
            <w:tcW w:w="2207" w:type="dxa"/>
            <w:tcBorders>
              <w:top w:val="nil"/>
              <w:left w:val="nil"/>
              <w:bottom w:val="nil"/>
              <w:right w:val="nil"/>
            </w:tcBorders>
            <w:shd w:val="clear" w:color="auto" w:fill="auto"/>
            <w:noWrap/>
            <w:vAlign w:val="bottom"/>
            <w:hideMark/>
          </w:tcPr>
          <w:p w14:paraId="2A9E921B"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Czech</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Republic</w:t>
            </w:r>
            <w:proofErr w:type="spellEnd"/>
          </w:p>
        </w:tc>
        <w:tc>
          <w:tcPr>
            <w:tcW w:w="976" w:type="dxa"/>
            <w:tcBorders>
              <w:top w:val="nil"/>
              <w:left w:val="nil"/>
              <w:bottom w:val="nil"/>
              <w:right w:val="nil"/>
            </w:tcBorders>
            <w:shd w:val="clear" w:color="auto" w:fill="auto"/>
            <w:noWrap/>
            <w:vAlign w:val="bottom"/>
            <w:hideMark/>
          </w:tcPr>
          <w:p w14:paraId="2057E6B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r>
      <w:tr w:rsidR="0036233B" w:rsidRPr="0036233B" w14:paraId="480246D6" w14:textId="77777777" w:rsidTr="007C6163">
        <w:trPr>
          <w:trHeight w:val="227"/>
        </w:trPr>
        <w:tc>
          <w:tcPr>
            <w:tcW w:w="1995" w:type="dxa"/>
            <w:tcBorders>
              <w:top w:val="nil"/>
              <w:left w:val="nil"/>
              <w:bottom w:val="nil"/>
              <w:right w:val="nil"/>
            </w:tcBorders>
            <w:shd w:val="clear" w:color="auto" w:fill="auto"/>
            <w:noWrap/>
            <w:vAlign w:val="bottom"/>
            <w:hideMark/>
          </w:tcPr>
          <w:p w14:paraId="6EEC0B38"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Australia</w:t>
            </w:r>
            <w:proofErr w:type="spellEnd"/>
          </w:p>
        </w:tc>
        <w:tc>
          <w:tcPr>
            <w:tcW w:w="976" w:type="dxa"/>
            <w:tcBorders>
              <w:top w:val="nil"/>
              <w:left w:val="nil"/>
              <w:bottom w:val="nil"/>
              <w:right w:val="nil"/>
            </w:tcBorders>
            <w:shd w:val="clear" w:color="auto" w:fill="auto"/>
            <w:noWrap/>
            <w:vAlign w:val="bottom"/>
            <w:hideMark/>
          </w:tcPr>
          <w:p w14:paraId="707751B6"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55</w:t>
            </w:r>
          </w:p>
        </w:tc>
        <w:tc>
          <w:tcPr>
            <w:tcW w:w="2207" w:type="dxa"/>
            <w:tcBorders>
              <w:top w:val="nil"/>
              <w:left w:val="nil"/>
              <w:bottom w:val="nil"/>
              <w:right w:val="nil"/>
            </w:tcBorders>
            <w:shd w:val="clear" w:color="auto" w:fill="auto"/>
            <w:noWrap/>
            <w:vAlign w:val="bottom"/>
            <w:hideMark/>
          </w:tcPr>
          <w:p w14:paraId="2C86A263"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Bolivia</w:t>
            </w:r>
            <w:proofErr w:type="spellEnd"/>
          </w:p>
        </w:tc>
        <w:tc>
          <w:tcPr>
            <w:tcW w:w="976" w:type="dxa"/>
            <w:tcBorders>
              <w:top w:val="nil"/>
              <w:left w:val="nil"/>
              <w:bottom w:val="nil"/>
              <w:right w:val="nil"/>
            </w:tcBorders>
            <w:shd w:val="clear" w:color="auto" w:fill="auto"/>
            <w:noWrap/>
            <w:vAlign w:val="bottom"/>
            <w:hideMark/>
          </w:tcPr>
          <w:p w14:paraId="44107FC3"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r>
      <w:tr w:rsidR="0036233B" w:rsidRPr="0036233B" w14:paraId="149148AB" w14:textId="77777777" w:rsidTr="007C6163">
        <w:trPr>
          <w:trHeight w:val="227"/>
        </w:trPr>
        <w:tc>
          <w:tcPr>
            <w:tcW w:w="1995" w:type="dxa"/>
            <w:tcBorders>
              <w:top w:val="nil"/>
              <w:left w:val="nil"/>
              <w:bottom w:val="nil"/>
              <w:right w:val="nil"/>
            </w:tcBorders>
            <w:shd w:val="clear" w:color="auto" w:fill="auto"/>
            <w:noWrap/>
            <w:vAlign w:val="bottom"/>
            <w:hideMark/>
          </w:tcPr>
          <w:p w14:paraId="1A646845"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Switzerland</w:t>
            </w:r>
            <w:proofErr w:type="spellEnd"/>
          </w:p>
        </w:tc>
        <w:tc>
          <w:tcPr>
            <w:tcW w:w="976" w:type="dxa"/>
            <w:tcBorders>
              <w:top w:val="nil"/>
              <w:left w:val="nil"/>
              <w:bottom w:val="nil"/>
              <w:right w:val="nil"/>
            </w:tcBorders>
            <w:shd w:val="clear" w:color="auto" w:fill="auto"/>
            <w:noWrap/>
            <w:vAlign w:val="bottom"/>
            <w:hideMark/>
          </w:tcPr>
          <w:p w14:paraId="1900E17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52</w:t>
            </w:r>
          </w:p>
        </w:tc>
        <w:tc>
          <w:tcPr>
            <w:tcW w:w="2207" w:type="dxa"/>
            <w:tcBorders>
              <w:top w:val="nil"/>
              <w:left w:val="nil"/>
              <w:bottom w:val="nil"/>
              <w:right w:val="nil"/>
            </w:tcBorders>
            <w:shd w:val="clear" w:color="auto" w:fill="auto"/>
            <w:noWrap/>
            <w:vAlign w:val="bottom"/>
            <w:hideMark/>
          </w:tcPr>
          <w:p w14:paraId="51D5F66E"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Costa Rica</w:t>
            </w:r>
          </w:p>
        </w:tc>
        <w:tc>
          <w:tcPr>
            <w:tcW w:w="976" w:type="dxa"/>
            <w:tcBorders>
              <w:top w:val="nil"/>
              <w:left w:val="nil"/>
              <w:bottom w:val="nil"/>
              <w:right w:val="nil"/>
            </w:tcBorders>
            <w:shd w:val="clear" w:color="auto" w:fill="auto"/>
            <w:noWrap/>
            <w:vAlign w:val="bottom"/>
            <w:hideMark/>
          </w:tcPr>
          <w:p w14:paraId="185BCB4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50BE179C" w14:textId="77777777" w:rsidTr="007C6163">
        <w:trPr>
          <w:trHeight w:val="227"/>
        </w:trPr>
        <w:tc>
          <w:tcPr>
            <w:tcW w:w="1995" w:type="dxa"/>
            <w:tcBorders>
              <w:top w:val="nil"/>
              <w:left w:val="nil"/>
              <w:bottom w:val="nil"/>
              <w:right w:val="nil"/>
            </w:tcBorders>
            <w:shd w:val="clear" w:color="auto" w:fill="auto"/>
            <w:noWrap/>
            <w:vAlign w:val="bottom"/>
            <w:hideMark/>
          </w:tcPr>
          <w:p w14:paraId="249D899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Canada</w:t>
            </w:r>
          </w:p>
        </w:tc>
        <w:tc>
          <w:tcPr>
            <w:tcW w:w="976" w:type="dxa"/>
            <w:tcBorders>
              <w:top w:val="nil"/>
              <w:left w:val="nil"/>
              <w:bottom w:val="nil"/>
              <w:right w:val="nil"/>
            </w:tcBorders>
            <w:shd w:val="clear" w:color="auto" w:fill="auto"/>
            <w:noWrap/>
            <w:vAlign w:val="bottom"/>
            <w:hideMark/>
          </w:tcPr>
          <w:p w14:paraId="4AB4F61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51</w:t>
            </w:r>
          </w:p>
        </w:tc>
        <w:tc>
          <w:tcPr>
            <w:tcW w:w="2207" w:type="dxa"/>
            <w:tcBorders>
              <w:top w:val="nil"/>
              <w:left w:val="nil"/>
              <w:bottom w:val="nil"/>
              <w:right w:val="nil"/>
            </w:tcBorders>
            <w:shd w:val="clear" w:color="auto" w:fill="auto"/>
            <w:noWrap/>
            <w:vAlign w:val="bottom"/>
            <w:hideMark/>
          </w:tcPr>
          <w:p w14:paraId="1B50E68F"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Bahrain</w:t>
            </w:r>
          </w:p>
        </w:tc>
        <w:tc>
          <w:tcPr>
            <w:tcW w:w="976" w:type="dxa"/>
            <w:tcBorders>
              <w:top w:val="nil"/>
              <w:left w:val="nil"/>
              <w:bottom w:val="nil"/>
              <w:right w:val="nil"/>
            </w:tcBorders>
            <w:shd w:val="clear" w:color="auto" w:fill="auto"/>
            <w:noWrap/>
            <w:vAlign w:val="bottom"/>
            <w:hideMark/>
          </w:tcPr>
          <w:p w14:paraId="09A9C38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5547E349" w14:textId="77777777" w:rsidTr="007C6163">
        <w:trPr>
          <w:trHeight w:val="227"/>
        </w:trPr>
        <w:tc>
          <w:tcPr>
            <w:tcW w:w="1995" w:type="dxa"/>
            <w:tcBorders>
              <w:top w:val="nil"/>
              <w:left w:val="nil"/>
              <w:bottom w:val="nil"/>
              <w:right w:val="nil"/>
            </w:tcBorders>
            <w:shd w:val="clear" w:color="auto" w:fill="auto"/>
            <w:noWrap/>
            <w:vAlign w:val="bottom"/>
            <w:hideMark/>
          </w:tcPr>
          <w:p w14:paraId="279C9D28"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Pakistan</w:t>
            </w:r>
            <w:proofErr w:type="spellEnd"/>
          </w:p>
        </w:tc>
        <w:tc>
          <w:tcPr>
            <w:tcW w:w="976" w:type="dxa"/>
            <w:tcBorders>
              <w:top w:val="nil"/>
              <w:left w:val="nil"/>
              <w:bottom w:val="nil"/>
              <w:right w:val="nil"/>
            </w:tcBorders>
            <w:shd w:val="clear" w:color="auto" w:fill="auto"/>
            <w:noWrap/>
            <w:vAlign w:val="bottom"/>
            <w:hideMark/>
          </w:tcPr>
          <w:p w14:paraId="3E45C71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51</w:t>
            </w:r>
          </w:p>
        </w:tc>
        <w:tc>
          <w:tcPr>
            <w:tcW w:w="2207" w:type="dxa"/>
            <w:tcBorders>
              <w:top w:val="nil"/>
              <w:left w:val="nil"/>
              <w:bottom w:val="nil"/>
              <w:right w:val="nil"/>
            </w:tcBorders>
            <w:shd w:val="clear" w:color="auto" w:fill="auto"/>
            <w:noWrap/>
            <w:vAlign w:val="bottom"/>
            <w:hideMark/>
          </w:tcPr>
          <w:p w14:paraId="15F2D894"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Greece</w:t>
            </w:r>
            <w:proofErr w:type="spellEnd"/>
          </w:p>
        </w:tc>
        <w:tc>
          <w:tcPr>
            <w:tcW w:w="976" w:type="dxa"/>
            <w:tcBorders>
              <w:top w:val="nil"/>
              <w:left w:val="nil"/>
              <w:bottom w:val="nil"/>
              <w:right w:val="nil"/>
            </w:tcBorders>
            <w:shd w:val="clear" w:color="auto" w:fill="auto"/>
            <w:noWrap/>
            <w:vAlign w:val="bottom"/>
            <w:hideMark/>
          </w:tcPr>
          <w:p w14:paraId="206B73D8"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01CD9623" w14:textId="77777777" w:rsidTr="007C6163">
        <w:trPr>
          <w:trHeight w:val="227"/>
        </w:trPr>
        <w:tc>
          <w:tcPr>
            <w:tcW w:w="1995" w:type="dxa"/>
            <w:tcBorders>
              <w:top w:val="nil"/>
              <w:left w:val="nil"/>
              <w:bottom w:val="nil"/>
              <w:right w:val="nil"/>
            </w:tcBorders>
            <w:shd w:val="clear" w:color="auto" w:fill="auto"/>
            <w:noWrap/>
            <w:vAlign w:val="bottom"/>
            <w:hideMark/>
          </w:tcPr>
          <w:p w14:paraId="41E73BBD"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France</w:t>
            </w:r>
          </w:p>
        </w:tc>
        <w:tc>
          <w:tcPr>
            <w:tcW w:w="976" w:type="dxa"/>
            <w:tcBorders>
              <w:top w:val="nil"/>
              <w:left w:val="nil"/>
              <w:bottom w:val="nil"/>
              <w:right w:val="nil"/>
            </w:tcBorders>
            <w:shd w:val="clear" w:color="auto" w:fill="auto"/>
            <w:noWrap/>
            <w:vAlign w:val="bottom"/>
            <w:hideMark/>
          </w:tcPr>
          <w:p w14:paraId="5EEBA1CB"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47</w:t>
            </w:r>
          </w:p>
        </w:tc>
        <w:tc>
          <w:tcPr>
            <w:tcW w:w="2207" w:type="dxa"/>
            <w:tcBorders>
              <w:top w:val="nil"/>
              <w:left w:val="nil"/>
              <w:bottom w:val="nil"/>
              <w:right w:val="nil"/>
            </w:tcBorders>
            <w:shd w:val="clear" w:color="auto" w:fill="auto"/>
            <w:noWrap/>
            <w:vAlign w:val="bottom"/>
            <w:hideMark/>
          </w:tcPr>
          <w:p w14:paraId="10AAC450"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Poland</w:t>
            </w:r>
            <w:proofErr w:type="spellEnd"/>
          </w:p>
        </w:tc>
        <w:tc>
          <w:tcPr>
            <w:tcW w:w="976" w:type="dxa"/>
            <w:tcBorders>
              <w:top w:val="nil"/>
              <w:left w:val="nil"/>
              <w:bottom w:val="nil"/>
              <w:right w:val="nil"/>
            </w:tcBorders>
            <w:shd w:val="clear" w:color="auto" w:fill="auto"/>
            <w:noWrap/>
            <w:vAlign w:val="bottom"/>
            <w:hideMark/>
          </w:tcPr>
          <w:p w14:paraId="0239E33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71092C52" w14:textId="77777777" w:rsidTr="007C6163">
        <w:trPr>
          <w:trHeight w:val="227"/>
        </w:trPr>
        <w:tc>
          <w:tcPr>
            <w:tcW w:w="1995" w:type="dxa"/>
            <w:tcBorders>
              <w:top w:val="nil"/>
              <w:left w:val="nil"/>
              <w:bottom w:val="nil"/>
              <w:right w:val="nil"/>
            </w:tcBorders>
            <w:shd w:val="clear" w:color="auto" w:fill="auto"/>
            <w:noWrap/>
            <w:vAlign w:val="bottom"/>
            <w:hideMark/>
          </w:tcPr>
          <w:p w14:paraId="47056D32"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The</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Netherlands</w:t>
            </w:r>
            <w:proofErr w:type="spellEnd"/>
          </w:p>
        </w:tc>
        <w:tc>
          <w:tcPr>
            <w:tcW w:w="976" w:type="dxa"/>
            <w:tcBorders>
              <w:top w:val="nil"/>
              <w:left w:val="nil"/>
              <w:bottom w:val="nil"/>
              <w:right w:val="nil"/>
            </w:tcBorders>
            <w:shd w:val="clear" w:color="auto" w:fill="auto"/>
            <w:noWrap/>
            <w:vAlign w:val="bottom"/>
            <w:hideMark/>
          </w:tcPr>
          <w:p w14:paraId="363AF5A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43</w:t>
            </w:r>
          </w:p>
        </w:tc>
        <w:tc>
          <w:tcPr>
            <w:tcW w:w="2207" w:type="dxa"/>
            <w:tcBorders>
              <w:top w:val="nil"/>
              <w:left w:val="nil"/>
              <w:bottom w:val="nil"/>
              <w:right w:val="nil"/>
            </w:tcBorders>
            <w:shd w:val="clear" w:color="auto" w:fill="auto"/>
            <w:noWrap/>
            <w:vAlign w:val="bottom"/>
            <w:hideMark/>
          </w:tcPr>
          <w:p w14:paraId="0EEE8F04"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Iran</w:t>
            </w:r>
            <w:proofErr w:type="spellEnd"/>
          </w:p>
        </w:tc>
        <w:tc>
          <w:tcPr>
            <w:tcW w:w="976" w:type="dxa"/>
            <w:tcBorders>
              <w:top w:val="nil"/>
              <w:left w:val="nil"/>
              <w:bottom w:val="nil"/>
              <w:right w:val="nil"/>
            </w:tcBorders>
            <w:shd w:val="clear" w:color="auto" w:fill="auto"/>
            <w:noWrap/>
            <w:vAlign w:val="bottom"/>
            <w:hideMark/>
          </w:tcPr>
          <w:p w14:paraId="70F13849"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0F0166F0" w14:textId="77777777" w:rsidTr="007C6163">
        <w:trPr>
          <w:trHeight w:val="227"/>
        </w:trPr>
        <w:tc>
          <w:tcPr>
            <w:tcW w:w="1995" w:type="dxa"/>
            <w:tcBorders>
              <w:top w:val="nil"/>
              <w:left w:val="nil"/>
              <w:bottom w:val="nil"/>
              <w:right w:val="nil"/>
            </w:tcBorders>
            <w:shd w:val="clear" w:color="auto" w:fill="auto"/>
            <w:noWrap/>
            <w:vAlign w:val="bottom"/>
            <w:hideMark/>
          </w:tcPr>
          <w:p w14:paraId="07F643E6"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Norway</w:t>
            </w:r>
            <w:proofErr w:type="spellEnd"/>
          </w:p>
        </w:tc>
        <w:tc>
          <w:tcPr>
            <w:tcW w:w="976" w:type="dxa"/>
            <w:tcBorders>
              <w:top w:val="nil"/>
              <w:left w:val="nil"/>
              <w:bottom w:val="nil"/>
              <w:right w:val="nil"/>
            </w:tcBorders>
            <w:shd w:val="clear" w:color="auto" w:fill="auto"/>
            <w:noWrap/>
            <w:vAlign w:val="bottom"/>
            <w:hideMark/>
          </w:tcPr>
          <w:p w14:paraId="0D9776A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42</w:t>
            </w:r>
          </w:p>
        </w:tc>
        <w:tc>
          <w:tcPr>
            <w:tcW w:w="2207" w:type="dxa"/>
            <w:tcBorders>
              <w:top w:val="nil"/>
              <w:left w:val="nil"/>
              <w:bottom w:val="nil"/>
              <w:right w:val="nil"/>
            </w:tcBorders>
            <w:shd w:val="clear" w:color="auto" w:fill="auto"/>
            <w:noWrap/>
            <w:vAlign w:val="bottom"/>
            <w:hideMark/>
          </w:tcPr>
          <w:p w14:paraId="06AF523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Serbia</w:t>
            </w:r>
            <w:proofErr w:type="spellEnd"/>
          </w:p>
        </w:tc>
        <w:tc>
          <w:tcPr>
            <w:tcW w:w="976" w:type="dxa"/>
            <w:tcBorders>
              <w:top w:val="nil"/>
              <w:left w:val="nil"/>
              <w:bottom w:val="nil"/>
              <w:right w:val="nil"/>
            </w:tcBorders>
            <w:shd w:val="clear" w:color="auto" w:fill="auto"/>
            <w:noWrap/>
            <w:vAlign w:val="bottom"/>
            <w:hideMark/>
          </w:tcPr>
          <w:p w14:paraId="0EF2ADC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05A9DA31" w14:textId="77777777" w:rsidTr="007C6163">
        <w:trPr>
          <w:trHeight w:val="227"/>
        </w:trPr>
        <w:tc>
          <w:tcPr>
            <w:tcW w:w="1995" w:type="dxa"/>
            <w:tcBorders>
              <w:top w:val="nil"/>
              <w:left w:val="nil"/>
              <w:bottom w:val="nil"/>
              <w:right w:val="nil"/>
            </w:tcBorders>
            <w:shd w:val="clear" w:color="auto" w:fill="auto"/>
            <w:noWrap/>
            <w:vAlign w:val="bottom"/>
            <w:hideMark/>
          </w:tcPr>
          <w:p w14:paraId="43D6CF24"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Finland</w:t>
            </w:r>
            <w:proofErr w:type="spellEnd"/>
          </w:p>
        </w:tc>
        <w:tc>
          <w:tcPr>
            <w:tcW w:w="976" w:type="dxa"/>
            <w:tcBorders>
              <w:top w:val="nil"/>
              <w:left w:val="nil"/>
              <w:bottom w:val="nil"/>
              <w:right w:val="nil"/>
            </w:tcBorders>
            <w:shd w:val="clear" w:color="auto" w:fill="auto"/>
            <w:noWrap/>
            <w:vAlign w:val="bottom"/>
            <w:hideMark/>
          </w:tcPr>
          <w:p w14:paraId="22D57CA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33</w:t>
            </w:r>
          </w:p>
        </w:tc>
        <w:tc>
          <w:tcPr>
            <w:tcW w:w="2207" w:type="dxa"/>
            <w:tcBorders>
              <w:top w:val="nil"/>
              <w:left w:val="nil"/>
              <w:bottom w:val="nil"/>
              <w:right w:val="nil"/>
            </w:tcBorders>
            <w:shd w:val="clear" w:color="auto" w:fill="auto"/>
            <w:noWrap/>
            <w:vAlign w:val="bottom"/>
            <w:hideMark/>
          </w:tcPr>
          <w:p w14:paraId="731B238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 xml:space="preserve">Papua New </w:t>
            </w:r>
            <w:proofErr w:type="spellStart"/>
            <w:r w:rsidRPr="0036233B">
              <w:rPr>
                <w:rFonts w:eastAsia="Times New Roman" w:cs="Times New Roman"/>
                <w:color w:val="000000"/>
                <w:sz w:val="20"/>
                <w:szCs w:val="20"/>
                <w:lang w:eastAsia="pt-PT"/>
              </w:rPr>
              <w:t>Guinea</w:t>
            </w:r>
            <w:proofErr w:type="spellEnd"/>
          </w:p>
        </w:tc>
        <w:tc>
          <w:tcPr>
            <w:tcW w:w="976" w:type="dxa"/>
            <w:tcBorders>
              <w:top w:val="nil"/>
              <w:left w:val="nil"/>
              <w:bottom w:val="nil"/>
              <w:right w:val="nil"/>
            </w:tcBorders>
            <w:shd w:val="clear" w:color="auto" w:fill="auto"/>
            <w:noWrap/>
            <w:vAlign w:val="bottom"/>
            <w:hideMark/>
          </w:tcPr>
          <w:p w14:paraId="732FA3B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209DE5AE" w14:textId="77777777" w:rsidTr="007C6163">
        <w:trPr>
          <w:trHeight w:val="227"/>
        </w:trPr>
        <w:tc>
          <w:tcPr>
            <w:tcW w:w="1995" w:type="dxa"/>
            <w:tcBorders>
              <w:top w:val="nil"/>
              <w:left w:val="nil"/>
              <w:bottom w:val="nil"/>
              <w:right w:val="nil"/>
            </w:tcBorders>
            <w:shd w:val="clear" w:color="auto" w:fill="auto"/>
            <w:noWrap/>
            <w:vAlign w:val="bottom"/>
            <w:hideMark/>
          </w:tcPr>
          <w:p w14:paraId="60242A65"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Germany</w:t>
            </w:r>
            <w:proofErr w:type="spellEnd"/>
          </w:p>
        </w:tc>
        <w:tc>
          <w:tcPr>
            <w:tcW w:w="976" w:type="dxa"/>
            <w:tcBorders>
              <w:top w:val="nil"/>
              <w:left w:val="nil"/>
              <w:bottom w:val="nil"/>
              <w:right w:val="nil"/>
            </w:tcBorders>
            <w:shd w:val="clear" w:color="auto" w:fill="auto"/>
            <w:noWrap/>
            <w:vAlign w:val="bottom"/>
            <w:hideMark/>
          </w:tcPr>
          <w:p w14:paraId="667B3F0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33</w:t>
            </w:r>
          </w:p>
        </w:tc>
        <w:tc>
          <w:tcPr>
            <w:tcW w:w="2207" w:type="dxa"/>
            <w:tcBorders>
              <w:top w:val="nil"/>
              <w:left w:val="nil"/>
              <w:bottom w:val="nil"/>
              <w:right w:val="nil"/>
            </w:tcBorders>
            <w:shd w:val="clear" w:color="auto" w:fill="auto"/>
            <w:noWrap/>
            <w:vAlign w:val="bottom"/>
            <w:hideMark/>
          </w:tcPr>
          <w:p w14:paraId="212ED82D"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Romania</w:t>
            </w:r>
          </w:p>
        </w:tc>
        <w:tc>
          <w:tcPr>
            <w:tcW w:w="976" w:type="dxa"/>
            <w:tcBorders>
              <w:top w:val="nil"/>
              <w:left w:val="nil"/>
              <w:bottom w:val="nil"/>
              <w:right w:val="nil"/>
            </w:tcBorders>
            <w:shd w:val="clear" w:color="auto" w:fill="auto"/>
            <w:noWrap/>
            <w:vAlign w:val="bottom"/>
            <w:hideMark/>
          </w:tcPr>
          <w:p w14:paraId="1D27F2E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3E22208A" w14:textId="77777777" w:rsidTr="007C6163">
        <w:trPr>
          <w:trHeight w:val="227"/>
        </w:trPr>
        <w:tc>
          <w:tcPr>
            <w:tcW w:w="1995" w:type="dxa"/>
            <w:tcBorders>
              <w:top w:val="nil"/>
              <w:left w:val="nil"/>
              <w:bottom w:val="nil"/>
              <w:right w:val="nil"/>
            </w:tcBorders>
            <w:shd w:val="clear" w:color="auto" w:fill="auto"/>
            <w:noWrap/>
            <w:vAlign w:val="bottom"/>
            <w:hideMark/>
          </w:tcPr>
          <w:p w14:paraId="6480F74F"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Brazil</w:t>
            </w:r>
            <w:proofErr w:type="spellEnd"/>
          </w:p>
        </w:tc>
        <w:tc>
          <w:tcPr>
            <w:tcW w:w="976" w:type="dxa"/>
            <w:tcBorders>
              <w:top w:val="nil"/>
              <w:left w:val="nil"/>
              <w:bottom w:val="nil"/>
              <w:right w:val="nil"/>
            </w:tcBorders>
            <w:shd w:val="clear" w:color="auto" w:fill="auto"/>
            <w:noWrap/>
            <w:vAlign w:val="bottom"/>
            <w:hideMark/>
          </w:tcPr>
          <w:p w14:paraId="429C8D4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32</w:t>
            </w:r>
          </w:p>
        </w:tc>
        <w:tc>
          <w:tcPr>
            <w:tcW w:w="2207" w:type="dxa"/>
            <w:tcBorders>
              <w:top w:val="nil"/>
              <w:left w:val="nil"/>
              <w:bottom w:val="nil"/>
              <w:right w:val="nil"/>
            </w:tcBorders>
            <w:shd w:val="clear" w:color="auto" w:fill="auto"/>
            <w:noWrap/>
            <w:vAlign w:val="bottom"/>
            <w:hideMark/>
          </w:tcPr>
          <w:p w14:paraId="0AE3E49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Luxembourg</w:t>
            </w:r>
            <w:proofErr w:type="spellEnd"/>
          </w:p>
        </w:tc>
        <w:tc>
          <w:tcPr>
            <w:tcW w:w="976" w:type="dxa"/>
            <w:tcBorders>
              <w:top w:val="nil"/>
              <w:left w:val="nil"/>
              <w:bottom w:val="nil"/>
              <w:right w:val="nil"/>
            </w:tcBorders>
            <w:shd w:val="clear" w:color="auto" w:fill="auto"/>
            <w:noWrap/>
            <w:vAlign w:val="bottom"/>
            <w:hideMark/>
          </w:tcPr>
          <w:p w14:paraId="63C60106"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396CC763" w14:textId="77777777" w:rsidTr="007C6163">
        <w:trPr>
          <w:trHeight w:val="227"/>
        </w:trPr>
        <w:tc>
          <w:tcPr>
            <w:tcW w:w="1995" w:type="dxa"/>
            <w:tcBorders>
              <w:top w:val="nil"/>
              <w:left w:val="nil"/>
              <w:bottom w:val="nil"/>
              <w:right w:val="nil"/>
            </w:tcBorders>
            <w:shd w:val="clear" w:color="auto" w:fill="auto"/>
            <w:noWrap/>
            <w:vAlign w:val="bottom"/>
            <w:hideMark/>
          </w:tcPr>
          <w:p w14:paraId="3E473469"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Sweden</w:t>
            </w:r>
            <w:proofErr w:type="spellEnd"/>
          </w:p>
        </w:tc>
        <w:tc>
          <w:tcPr>
            <w:tcW w:w="976" w:type="dxa"/>
            <w:tcBorders>
              <w:top w:val="nil"/>
              <w:left w:val="nil"/>
              <w:bottom w:val="nil"/>
              <w:right w:val="nil"/>
            </w:tcBorders>
            <w:shd w:val="clear" w:color="auto" w:fill="auto"/>
            <w:noWrap/>
            <w:vAlign w:val="bottom"/>
            <w:hideMark/>
          </w:tcPr>
          <w:p w14:paraId="4CB277A9"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32</w:t>
            </w:r>
          </w:p>
        </w:tc>
        <w:tc>
          <w:tcPr>
            <w:tcW w:w="2207" w:type="dxa"/>
            <w:tcBorders>
              <w:top w:val="nil"/>
              <w:left w:val="nil"/>
              <w:bottom w:val="nil"/>
              <w:right w:val="nil"/>
            </w:tcBorders>
            <w:shd w:val="clear" w:color="auto" w:fill="auto"/>
            <w:noWrap/>
            <w:vAlign w:val="bottom"/>
            <w:hideMark/>
          </w:tcPr>
          <w:p w14:paraId="75A56E3A"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Slovakia</w:t>
            </w:r>
            <w:proofErr w:type="spellEnd"/>
          </w:p>
        </w:tc>
        <w:tc>
          <w:tcPr>
            <w:tcW w:w="976" w:type="dxa"/>
            <w:tcBorders>
              <w:top w:val="nil"/>
              <w:left w:val="nil"/>
              <w:bottom w:val="nil"/>
              <w:right w:val="nil"/>
            </w:tcBorders>
            <w:shd w:val="clear" w:color="auto" w:fill="auto"/>
            <w:noWrap/>
            <w:vAlign w:val="bottom"/>
            <w:hideMark/>
          </w:tcPr>
          <w:p w14:paraId="66828D1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4B5ECE10" w14:textId="77777777" w:rsidTr="007C6163">
        <w:trPr>
          <w:trHeight w:val="227"/>
        </w:trPr>
        <w:tc>
          <w:tcPr>
            <w:tcW w:w="1995" w:type="dxa"/>
            <w:tcBorders>
              <w:top w:val="nil"/>
              <w:left w:val="nil"/>
              <w:bottom w:val="nil"/>
              <w:right w:val="nil"/>
            </w:tcBorders>
            <w:shd w:val="clear" w:color="auto" w:fill="auto"/>
            <w:noWrap/>
            <w:vAlign w:val="bottom"/>
            <w:hideMark/>
          </w:tcPr>
          <w:p w14:paraId="1D29F4B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Belgium</w:t>
            </w:r>
            <w:proofErr w:type="spellEnd"/>
          </w:p>
        </w:tc>
        <w:tc>
          <w:tcPr>
            <w:tcW w:w="976" w:type="dxa"/>
            <w:tcBorders>
              <w:top w:val="nil"/>
              <w:left w:val="nil"/>
              <w:bottom w:val="nil"/>
              <w:right w:val="nil"/>
            </w:tcBorders>
            <w:shd w:val="clear" w:color="auto" w:fill="auto"/>
            <w:noWrap/>
            <w:vAlign w:val="bottom"/>
            <w:hideMark/>
          </w:tcPr>
          <w:p w14:paraId="6D9EACFB"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32</w:t>
            </w:r>
          </w:p>
        </w:tc>
        <w:tc>
          <w:tcPr>
            <w:tcW w:w="2207" w:type="dxa"/>
            <w:tcBorders>
              <w:top w:val="nil"/>
              <w:left w:val="nil"/>
              <w:bottom w:val="nil"/>
              <w:right w:val="nil"/>
            </w:tcBorders>
            <w:shd w:val="clear" w:color="auto" w:fill="auto"/>
            <w:noWrap/>
            <w:vAlign w:val="bottom"/>
            <w:hideMark/>
          </w:tcPr>
          <w:p w14:paraId="7B5F0D78"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Uruguai</w:t>
            </w:r>
          </w:p>
        </w:tc>
        <w:tc>
          <w:tcPr>
            <w:tcW w:w="976" w:type="dxa"/>
            <w:tcBorders>
              <w:top w:val="nil"/>
              <w:left w:val="nil"/>
              <w:bottom w:val="nil"/>
              <w:right w:val="nil"/>
            </w:tcBorders>
            <w:shd w:val="clear" w:color="auto" w:fill="auto"/>
            <w:noWrap/>
            <w:vAlign w:val="bottom"/>
            <w:hideMark/>
          </w:tcPr>
          <w:p w14:paraId="0894B13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07BCABAA" w14:textId="77777777" w:rsidTr="007C6163">
        <w:trPr>
          <w:trHeight w:val="227"/>
        </w:trPr>
        <w:tc>
          <w:tcPr>
            <w:tcW w:w="1995" w:type="dxa"/>
            <w:tcBorders>
              <w:top w:val="nil"/>
              <w:left w:val="nil"/>
              <w:bottom w:val="nil"/>
              <w:right w:val="nil"/>
            </w:tcBorders>
            <w:shd w:val="clear" w:color="auto" w:fill="auto"/>
            <w:noWrap/>
            <w:vAlign w:val="bottom"/>
            <w:hideMark/>
          </w:tcPr>
          <w:p w14:paraId="0F14222B"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Spain</w:t>
            </w:r>
            <w:proofErr w:type="spellEnd"/>
          </w:p>
        </w:tc>
        <w:tc>
          <w:tcPr>
            <w:tcW w:w="976" w:type="dxa"/>
            <w:tcBorders>
              <w:top w:val="nil"/>
              <w:left w:val="nil"/>
              <w:bottom w:val="nil"/>
              <w:right w:val="nil"/>
            </w:tcBorders>
            <w:shd w:val="clear" w:color="auto" w:fill="auto"/>
            <w:noWrap/>
            <w:vAlign w:val="bottom"/>
            <w:hideMark/>
          </w:tcPr>
          <w:p w14:paraId="126F83B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24</w:t>
            </w:r>
          </w:p>
        </w:tc>
        <w:tc>
          <w:tcPr>
            <w:tcW w:w="2207" w:type="dxa"/>
            <w:tcBorders>
              <w:top w:val="nil"/>
              <w:left w:val="nil"/>
              <w:bottom w:val="nil"/>
              <w:right w:val="nil"/>
            </w:tcBorders>
            <w:shd w:val="clear" w:color="auto" w:fill="auto"/>
            <w:noWrap/>
            <w:vAlign w:val="bottom"/>
            <w:hideMark/>
          </w:tcPr>
          <w:p w14:paraId="5B1DEBB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Qatar</w:t>
            </w:r>
          </w:p>
        </w:tc>
        <w:tc>
          <w:tcPr>
            <w:tcW w:w="976" w:type="dxa"/>
            <w:tcBorders>
              <w:top w:val="nil"/>
              <w:left w:val="nil"/>
              <w:bottom w:val="nil"/>
              <w:right w:val="nil"/>
            </w:tcBorders>
            <w:shd w:val="clear" w:color="auto" w:fill="auto"/>
            <w:noWrap/>
            <w:vAlign w:val="bottom"/>
            <w:hideMark/>
          </w:tcPr>
          <w:p w14:paraId="25E971B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3697729D" w14:textId="77777777" w:rsidTr="007C6163">
        <w:trPr>
          <w:trHeight w:val="227"/>
        </w:trPr>
        <w:tc>
          <w:tcPr>
            <w:tcW w:w="1995" w:type="dxa"/>
            <w:tcBorders>
              <w:top w:val="nil"/>
              <w:left w:val="nil"/>
              <w:bottom w:val="nil"/>
              <w:right w:val="nil"/>
            </w:tcBorders>
            <w:shd w:val="clear" w:color="auto" w:fill="auto"/>
            <w:noWrap/>
            <w:vAlign w:val="bottom"/>
            <w:hideMark/>
          </w:tcPr>
          <w:p w14:paraId="6C1249F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Bangladesh</w:t>
            </w:r>
          </w:p>
        </w:tc>
        <w:tc>
          <w:tcPr>
            <w:tcW w:w="976" w:type="dxa"/>
            <w:tcBorders>
              <w:top w:val="nil"/>
              <w:left w:val="nil"/>
              <w:bottom w:val="nil"/>
              <w:right w:val="nil"/>
            </w:tcBorders>
            <w:shd w:val="clear" w:color="auto" w:fill="auto"/>
            <w:noWrap/>
            <w:vAlign w:val="bottom"/>
            <w:hideMark/>
          </w:tcPr>
          <w:p w14:paraId="14AD2F5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22</w:t>
            </w:r>
          </w:p>
        </w:tc>
        <w:tc>
          <w:tcPr>
            <w:tcW w:w="2207" w:type="dxa"/>
            <w:tcBorders>
              <w:top w:val="nil"/>
              <w:left w:val="nil"/>
              <w:bottom w:val="nil"/>
              <w:right w:val="nil"/>
            </w:tcBorders>
            <w:shd w:val="clear" w:color="auto" w:fill="auto"/>
            <w:noWrap/>
            <w:vAlign w:val="bottom"/>
            <w:hideMark/>
          </w:tcPr>
          <w:p w14:paraId="52FE4B43"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Sri Lanka</w:t>
            </w:r>
          </w:p>
        </w:tc>
        <w:tc>
          <w:tcPr>
            <w:tcW w:w="976" w:type="dxa"/>
            <w:tcBorders>
              <w:top w:val="nil"/>
              <w:left w:val="nil"/>
              <w:bottom w:val="nil"/>
              <w:right w:val="nil"/>
            </w:tcBorders>
            <w:shd w:val="clear" w:color="auto" w:fill="auto"/>
            <w:noWrap/>
            <w:vAlign w:val="bottom"/>
            <w:hideMark/>
          </w:tcPr>
          <w:p w14:paraId="009A32B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64BF26BB" w14:textId="77777777" w:rsidTr="007C6163">
        <w:trPr>
          <w:trHeight w:val="227"/>
        </w:trPr>
        <w:tc>
          <w:tcPr>
            <w:tcW w:w="1995" w:type="dxa"/>
            <w:tcBorders>
              <w:top w:val="nil"/>
              <w:left w:val="nil"/>
              <w:bottom w:val="nil"/>
              <w:right w:val="nil"/>
            </w:tcBorders>
            <w:shd w:val="clear" w:color="auto" w:fill="auto"/>
            <w:noWrap/>
            <w:vAlign w:val="bottom"/>
            <w:hideMark/>
          </w:tcPr>
          <w:p w14:paraId="6B14C15B"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Denmark</w:t>
            </w:r>
            <w:proofErr w:type="spellEnd"/>
          </w:p>
        </w:tc>
        <w:tc>
          <w:tcPr>
            <w:tcW w:w="976" w:type="dxa"/>
            <w:tcBorders>
              <w:top w:val="nil"/>
              <w:left w:val="nil"/>
              <w:bottom w:val="nil"/>
              <w:right w:val="nil"/>
            </w:tcBorders>
            <w:shd w:val="clear" w:color="auto" w:fill="auto"/>
            <w:noWrap/>
            <w:vAlign w:val="bottom"/>
            <w:hideMark/>
          </w:tcPr>
          <w:p w14:paraId="164AC0F0"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22</w:t>
            </w:r>
          </w:p>
        </w:tc>
        <w:tc>
          <w:tcPr>
            <w:tcW w:w="2207" w:type="dxa"/>
            <w:tcBorders>
              <w:top w:val="nil"/>
              <w:left w:val="nil"/>
              <w:bottom w:val="nil"/>
              <w:right w:val="nil"/>
            </w:tcBorders>
            <w:shd w:val="clear" w:color="auto" w:fill="auto"/>
            <w:noWrap/>
            <w:vAlign w:val="bottom"/>
            <w:hideMark/>
          </w:tcPr>
          <w:p w14:paraId="4CD87AD9"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Kyrgyzstan</w:t>
            </w:r>
            <w:proofErr w:type="spellEnd"/>
          </w:p>
        </w:tc>
        <w:tc>
          <w:tcPr>
            <w:tcW w:w="976" w:type="dxa"/>
            <w:tcBorders>
              <w:top w:val="nil"/>
              <w:left w:val="nil"/>
              <w:bottom w:val="nil"/>
              <w:right w:val="nil"/>
            </w:tcBorders>
            <w:shd w:val="clear" w:color="auto" w:fill="auto"/>
            <w:noWrap/>
            <w:vAlign w:val="bottom"/>
            <w:hideMark/>
          </w:tcPr>
          <w:p w14:paraId="27EDB17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54D54ABE" w14:textId="77777777" w:rsidTr="007C6163">
        <w:trPr>
          <w:trHeight w:val="227"/>
        </w:trPr>
        <w:tc>
          <w:tcPr>
            <w:tcW w:w="1995" w:type="dxa"/>
            <w:tcBorders>
              <w:top w:val="nil"/>
              <w:left w:val="nil"/>
              <w:bottom w:val="nil"/>
              <w:right w:val="nil"/>
            </w:tcBorders>
            <w:shd w:val="clear" w:color="auto" w:fill="auto"/>
            <w:noWrap/>
            <w:vAlign w:val="bottom"/>
            <w:hideMark/>
          </w:tcPr>
          <w:p w14:paraId="143DCCB9"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China</w:t>
            </w:r>
          </w:p>
        </w:tc>
        <w:tc>
          <w:tcPr>
            <w:tcW w:w="976" w:type="dxa"/>
            <w:tcBorders>
              <w:top w:val="nil"/>
              <w:left w:val="nil"/>
              <w:bottom w:val="nil"/>
              <w:right w:val="nil"/>
            </w:tcBorders>
            <w:shd w:val="clear" w:color="auto" w:fill="auto"/>
            <w:noWrap/>
            <w:vAlign w:val="bottom"/>
            <w:hideMark/>
          </w:tcPr>
          <w:p w14:paraId="21E3813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21</w:t>
            </w:r>
          </w:p>
        </w:tc>
        <w:tc>
          <w:tcPr>
            <w:tcW w:w="2207" w:type="dxa"/>
            <w:tcBorders>
              <w:top w:val="nil"/>
              <w:left w:val="nil"/>
              <w:bottom w:val="nil"/>
              <w:right w:val="nil"/>
            </w:tcBorders>
            <w:shd w:val="clear" w:color="auto" w:fill="auto"/>
            <w:noWrap/>
            <w:vAlign w:val="bottom"/>
            <w:hideMark/>
          </w:tcPr>
          <w:p w14:paraId="2FE0002E"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Croatia</w:t>
            </w:r>
            <w:proofErr w:type="spellEnd"/>
          </w:p>
        </w:tc>
        <w:tc>
          <w:tcPr>
            <w:tcW w:w="976" w:type="dxa"/>
            <w:tcBorders>
              <w:top w:val="nil"/>
              <w:left w:val="nil"/>
              <w:bottom w:val="nil"/>
              <w:right w:val="nil"/>
            </w:tcBorders>
            <w:shd w:val="clear" w:color="auto" w:fill="auto"/>
            <w:noWrap/>
            <w:vAlign w:val="bottom"/>
            <w:hideMark/>
          </w:tcPr>
          <w:p w14:paraId="3F73B436"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6B049EB3" w14:textId="77777777" w:rsidTr="007C6163">
        <w:trPr>
          <w:trHeight w:val="227"/>
        </w:trPr>
        <w:tc>
          <w:tcPr>
            <w:tcW w:w="1995" w:type="dxa"/>
            <w:tcBorders>
              <w:top w:val="nil"/>
              <w:left w:val="nil"/>
              <w:bottom w:val="nil"/>
              <w:right w:val="nil"/>
            </w:tcBorders>
            <w:shd w:val="clear" w:color="auto" w:fill="auto"/>
            <w:noWrap/>
            <w:vAlign w:val="bottom"/>
            <w:hideMark/>
          </w:tcPr>
          <w:p w14:paraId="15A12DA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Argentina</w:t>
            </w:r>
          </w:p>
        </w:tc>
        <w:tc>
          <w:tcPr>
            <w:tcW w:w="976" w:type="dxa"/>
            <w:tcBorders>
              <w:top w:val="nil"/>
              <w:left w:val="nil"/>
              <w:bottom w:val="nil"/>
              <w:right w:val="nil"/>
            </w:tcBorders>
            <w:shd w:val="clear" w:color="auto" w:fill="auto"/>
            <w:noWrap/>
            <w:vAlign w:val="bottom"/>
            <w:hideMark/>
          </w:tcPr>
          <w:p w14:paraId="6361E05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21</w:t>
            </w:r>
          </w:p>
        </w:tc>
        <w:tc>
          <w:tcPr>
            <w:tcW w:w="2207" w:type="dxa"/>
            <w:tcBorders>
              <w:top w:val="nil"/>
              <w:left w:val="nil"/>
              <w:bottom w:val="nil"/>
              <w:right w:val="nil"/>
            </w:tcBorders>
            <w:shd w:val="clear" w:color="auto" w:fill="auto"/>
            <w:noWrap/>
            <w:vAlign w:val="bottom"/>
            <w:hideMark/>
          </w:tcPr>
          <w:p w14:paraId="3CE981E4"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Lithuania</w:t>
            </w:r>
            <w:proofErr w:type="spellEnd"/>
          </w:p>
        </w:tc>
        <w:tc>
          <w:tcPr>
            <w:tcW w:w="976" w:type="dxa"/>
            <w:tcBorders>
              <w:top w:val="nil"/>
              <w:left w:val="nil"/>
              <w:bottom w:val="nil"/>
              <w:right w:val="nil"/>
            </w:tcBorders>
            <w:shd w:val="clear" w:color="auto" w:fill="auto"/>
            <w:noWrap/>
            <w:vAlign w:val="bottom"/>
            <w:hideMark/>
          </w:tcPr>
          <w:p w14:paraId="6528D873"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29A34F5B" w14:textId="77777777" w:rsidTr="007C6163">
        <w:trPr>
          <w:trHeight w:val="227"/>
        </w:trPr>
        <w:tc>
          <w:tcPr>
            <w:tcW w:w="1995" w:type="dxa"/>
            <w:tcBorders>
              <w:top w:val="nil"/>
              <w:left w:val="nil"/>
              <w:bottom w:val="nil"/>
              <w:right w:val="nil"/>
            </w:tcBorders>
            <w:shd w:val="clear" w:color="auto" w:fill="auto"/>
            <w:noWrap/>
            <w:vAlign w:val="bottom"/>
            <w:hideMark/>
          </w:tcPr>
          <w:p w14:paraId="2B491A96"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Italy</w:t>
            </w:r>
            <w:proofErr w:type="spellEnd"/>
          </w:p>
        </w:tc>
        <w:tc>
          <w:tcPr>
            <w:tcW w:w="976" w:type="dxa"/>
            <w:tcBorders>
              <w:top w:val="nil"/>
              <w:left w:val="nil"/>
              <w:bottom w:val="nil"/>
              <w:right w:val="nil"/>
            </w:tcBorders>
            <w:shd w:val="clear" w:color="auto" w:fill="auto"/>
            <w:noWrap/>
            <w:vAlign w:val="bottom"/>
            <w:hideMark/>
          </w:tcPr>
          <w:p w14:paraId="2E8DB32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20</w:t>
            </w:r>
          </w:p>
        </w:tc>
        <w:tc>
          <w:tcPr>
            <w:tcW w:w="2207" w:type="dxa"/>
            <w:tcBorders>
              <w:top w:val="nil"/>
              <w:left w:val="nil"/>
              <w:bottom w:val="nil"/>
              <w:right w:val="nil"/>
            </w:tcBorders>
            <w:shd w:val="clear" w:color="auto" w:fill="auto"/>
            <w:noWrap/>
            <w:vAlign w:val="bottom"/>
            <w:hideMark/>
          </w:tcPr>
          <w:p w14:paraId="0D1E9DA9"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Cambodia</w:t>
            </w:r>
            <w:proofErr w:type="spellEnd"/>
          </w:p>
        </w:tc>
        <w:tc>
          <w:tcPr>
            <w:tcW w:w="976" w:type="dxa"/>
            <w:tcBorders>
              <w:top w:val="nil"/>
              <w:left w:val="nil"/>
              <w:bottom w:val="nil"/>
              <w:right w:val="nil"/>
            </w:tcBorders>
            <w:shd w:val="clear" w:color="auto" w:fill="auto"/>
            <w:noWrap/>
            <w:vAlign w:val="bottom"/>
            <w:hideMark/>
          </w:tcPr>
          <w:p w14:paraId="6A93229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3</w:t>
            </w:r>
          </w:p>
        </w:tc>
      </w:tr>
      <w:tr w:rsidR="0036233B" w:rsidRPr="0036233B" w14:paraId="12C03F6C" w14:textId="77777777" w:rsidTr="007C6163">
        <w:trPr>
          <w:trHeight w:val="227"/>
        </w:trPr>
        <w:tc>
          <w:tcPr>
            <w:tcW w:w="1995" w:type="dxa"/>
            <w:tcBorders>
              <w:top w:val="nil"/>
              <w:left w:val="nil"/>
              <w:bottom w:val="nil"/>
              <w:right w:val="nil"/>
            </w:tcBorders>
            <w:shd w:val="clear" w:color="auto" w:fill="auto"/>
            <w:noWrap/>
            <w:vAlign w:val="bottom"/>
            <w:hideMark/>
          </w:tcPr>
          <w:p w14:paraId="79280EA0"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Saudi</w:t>
            </w:r>
            <w:proofErr w:type="spellEnd"/>
            <w:r w:rsidRPr="0036233B">
              <w:rPr>
                <w:rFonts w:eastAsia="Times New Roman" w:cs="Times New Roman"/>
                <w:color w:val="000000"/>
                <w:sz w:val="20"/>
                <w:szCs w:val="20"/>
                <w:lang w:eastAsia="pt-PT"/>
              </w:rPr>
              <w:t xml:space="preserve"> Aravia</w:t>
            </w:r>
          </w:p>
        </w:tc>
        <w:tc>
          <w:tcPr>
            <w:tcW w:w="976" w:type="dxa"/>
            <w:tcBorders>
              <w:top w:val="nil"/>
              <w:left w:val="nil"/>
              <w:bottom w:val="nil"/>
              <w:right w:val="nil"/>
            </w:tcBorders>
            <w:shd w:val="clear" w:color="auto" w:fill="auto"/>
            <w:noWrap/>
            <w:vAlign w:val="bottom"/>
            <w:hideMark/>
          </w:tcPr>
          <w:p w14:paraId="10C615A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15</w:t>
            </w:r>
          </w:p>
        </w:tc>
        <w:tc>
          <w:tcPr>
            <w:tcW w:w="2207" w:type="dxa"/>
            <w:tcBorders>
              <w:top w:val="nil"/>
              <w:left w:val="nil"/>
              <w:bottom w:val="nil"/>
              <w:right w:val="nil"/>
            </w:tcBorders>
            <w:shd w:val="clear" w:color="auto" w:fill="auto"/>
            <w:noWrap/>
            <w:vAlign w:val="bottom"/>
            <w:hideMark/>
          </w:tcPr>
          <w:p w14:paraId="1A394F28"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Micronesia</w:t>
            </w:r>
            <w:proofErr w:type="spellEnd"/>
          </w:p>
        </w:tc>
        <w:tc>
          <w:tcPr>
            <w:tcW w:w="976" w:type="dxa"/>
            <w:tcBorders>
              <w:top w:val="nil"/>
              <w:left w:val="nil"/>
              <w:bottom w:val="nil"/>
              <w:right w:val="nil"/>
            </w:tcBorders>
            <w:shd w:val="clear" w:color="auto" w:fill="auto"/>
            <w:noWrap/>
            <w:vAlign w:val="bottom"/>
            <w:hideMark/>
          </w:tcPr>
          <w:p w14:paraId="239E80C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37BF68A3" w14:textId="77777777" w:rsidTr="007C6163">
        <w:trPr>
          <w:trHeight w:val="227"/>
        </w:trPr>
        <w:tc>
          <w:tcPr>
            <w:tcW w:w="1995" w:type="dxa"/>
            <w:tcBorders>
              <w:top w:val="nil"/>
              <w:left w:val="nil"/>
              <w:bottom w:val="nil"/>
              <w:right w:val="nil"/>
            </w:tcBorders>
            <w:shd w:val="clear" w:color="auto" w:fill="auto"/>
            <w:noWrap/>
            <w:vAlign w:val="bottom"/>
            <w:hideMark/>
          </w:tcPr>
          <w:p w14:paraId="744DCAE1"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Guatemala</w:t>
            </w:r>
          </w:p>
        </w:tc>
        <w:tc>
          <w:tcPr>
            <w:tcW w:w="976" w:type="dxa"/>
            <w:tcBorders>
              <w:top w:val="nil"/>
              <w:left w:val="nil"/>
              <w:bottom w:val="nil"/>
              <w:right w:val="nil"/>
            </w:tcBorders>
            <w:shd w:val="clear" w:color="auto" w:fill="auto"/>
            <w:noWrap/>
            <w:vAlign w:val="bottom"/>
            <w:hideMark/>
          </w:tcPr>
          <w:p w14:paraId="676CFFDD"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15</w:t>
            </w:r>
          </w:p>
        </w:tc>
        <w:tc>
          <w:tcPr>
            <w:tcW w:w="2207" w:type="dxa"/>
            <w:tcBorders>
              <w:top w:val="nil"/>
              <w:left w:val="nil"/>
              <w:bottom w:val="nil"/>
              <w:right w:val="nil"/>
            </w:tcBorders>
            <w:shd w:val="clear" w:color="auto" w:fill="auto"/>
            <w:noWrap/>
            <w:vAlign w:val="bottom"/>
            <w:hideMark/>
          </w:tcPr>
          <w:p w14:paraId="5BA0B14D"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Iceland</w:t>
            </w:r>
            <w:proofErr w:type="spellEnd"/>
          </w:p>
        </w:tc>
        <w:tc>
          <w:tcPr>
            <w:tcW w:w="976" w:type="dxa"/>
            <w:tcBorders>
              <w:top w:val="nil"/>
              <w:left w:val="nil"/>
              <w:bottom w:val="nil"/>
              <w:right w:val="nil"/>
            </w:tcBorders>
            <w:shd w:val="clear" w:color="auto" w:fill="auto"/>
            <w:noWrap/>
            <w:vAlign w:val="bottom"/>
            <w:hideMark/>
          </w:tcPr>
          <w:p w14:paraId="3EBEC60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681BB844" w14:textId="77777777" w:rsidTr="007C6163">
        <w:trPr>
          <w:trHeight w:val="227"/>
        </w:trPr>
        <w:tc>
          <w:tcPr>
            <w:tcW w:w="1995" w:type="dxa"/>
            <w:tcBorders>
              <w:top w:val="nil"/>
              <w:left w:val="nil"/>
              <w:bottom w:val="nil"/>
              <w:right w:val="nil"/>
            </w:tcBorders>
            <w:shd w:val="clear" w:color="auto" w:fill="auto"/>
            <w:noWrap/>
            <w:vAlign w:val="bottom"/>
            <w:hideMark/>
          </w:tcPr>
          <w:p w14:paraId="451DFF3E"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Thailand</w:t>
            </w:r>
            <w:proofErr w:type="spellEnd"/>
          </w:p>
        </w:tc>
        <w:tc>
          <w:tcPr>
            <w:tcW w:w="976" w:type="dxa"/>
            <w:tcBorders>
              <w:top w:val="nil"/>
              <w:left w:val="nil"/>
              <w:bottom w:val="nil"/>
              <w:right w:val="nil"/>
            </w:tcBorders>
            <w:shd w:val="clear" w:color="auto" w:fill="auto"/>
            <w:noWrap/>
            <w:vAlign w:val="bottom"/>
            <w:hideMark/>
          </w:tcPr>
          <w:p w14:paraId="2AD5D90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13</w:t>
            </w:r>
          </w:p>
        </w:tc>
        <w:tc>
          <w:tcPr>
            <w:tcW w:w="2207" w:type="dxa"/>
            <w:tcBorders>
              <w:top w:val="nil"/>
              <w:left w:val="nil"/>
              <w:bottom w:val="nil"/>
              <w:right w:val="nil"/>
            </w:tcBorders>
            <w:shd w:val="clear" w:color="auto" w:fill="auto"/>
            <w:noWrap/>
            <w:vAlign w:val="bottom"/>
            <w:hideMark/>
          </w:tcPr>
          <w:p w14:paraId="68F46DEF"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Iraq</w:t>
            </w:r>
            <w:proofErr w:type="spellEnd"/>
          </w:p>
        </w:tc>
        <w:tc>
          <w:tcPr>
            <w:tcW w:w="976" w:type="dxa"/>
            <w:tcBorders>
              <w:top w:val="nil"/>
              <w:left w:val="nil"/>
              <w:bottom w:val="nil"/>
              <w:right w:val="nil"/>
            </w:tcBorders>
            <w:shd w:val="clear" w:color="auto" w:fill="auto"/>
            <w:noWrap/>
            <w:vAlign w:val="bottom"/>
            <w:hideMark/>
          </w:tcPr>
          <w:p w14:paraId="042A5C18"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46AC7633" w14:textId="77777777" w:rsidTr="007C6163">
        <w:trPr>
          <w:trHeight w:val="227"/>
        </w:trPr>
        <w:tc>
          <w:tcPr>
            <w:tcW w:w="1995" w:type="dxa"/>
            <w:tcBorders>
              <w:top w:val="nil"/>
              <w:left w:val="nil"/>
              <w:bottom w:val="nil"/>
              <w:right w:val="nil"/>
            </w:tcBorders>
            <w:shd w:val="clear" w:color="auto" w:fill="auto"/>
            <w:noWrap/>
            <w:vAlign w:val="bottom"/>
            <w:hideMark/>
          </w:tcPr>
          <w:p w14:paraId="0A7907B6"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Singapore</w:t>
            </w:r>
            <w:proofErr w:type="spellEnd"/>
          </w:p>
        </w:tc>
        <w:tc>
          <w:tcPr>
            <w:tcW w:w="976" w:type="dxa"/>
            <w:tcBorders>
              <w:top w:val="nil"/>
              <w:left w:val="nil"/>
              <w:bottom w:val="nil"/>
              <w:right w:val="nil"/>
            </w:tcBorders>
            <w:shd w:val="clear" w:color="auto" w:fill="auto"/>
            <w:noWrap/>
            <w:vAlign w:val="bottom"/>
            <w:hideMark/>
          </w:tcPr>
          <w:p w14:paraId="6029800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10</w:t>
            </w:r>
          </w:p>
        </w:tc>
        <w:tc>
          <w:tcPr>
            <w:tcW w:w="2207" w:type="dxa"/>
            <w:tcBorders>
              <w:top w:val="nil"/>
              <w:left w:val="nil"/>
              <w:bottom w:val="nil"/>
              <w:right w:val="nil"/>
            </w:tcBorders>
            <w:shd w:val="clear" w:color="auto" w:fill="auto"/>
            <w:noWrap/>
            <w:vAlign w:val="bottom"/>
            <w:hideMark/>
          </w:tcPr>
          <w:p w14:paraId="332134C8"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Estonia</w:t>
            </w:r>
            <w:proofErr w:type="spellEnd"/>
          </w:p>
        </w:tc>
        <w:tc>
          <w:tcPr>
            <w:tcW w:w="976" w:type="dxa"/>
            <w:tcBorders>
              <w:top w:val="nil"/>
              <w:left w:val="nil"/>
              <w:bottom w:val="nil"/>
              <w:right w:val="nil"/>
            </w:tcBorders>
            <w:shd w:val="clear" w:color="auto" w:fill="auto"/>
            <w:noWrap/>
            <w:vAlign w:val="bottom"/>
            <w:hideMark/>
          </w:tcPr>
          <w:p w14:paraId="1BF2A4E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22BCA66D" w14:textId="77777777" w:rsidTr="007C6163">
        <w:trPr>
          <w:trHeight w:val="227"/>
        </w:trPr>
        <w:tc>
          <w:tcPr>
            <w:tcW w:w="1995" w:type="dxa"/>
            <w:tcBorders>
              <w:top w:val="nil"/>
              <w:left w:val="nil"/>
              <w:bottom w:val="nil"/>
              <w:right w:val="nil"/>
            </w:tcBorders>
            <w:shd w:val="clear" w:color="auto" w:fill="auto"/>
            <w:noWrap/>
            <w:vAlign w:val="bottom"/>
            <w:hideMark/>
          </w:tcPr>
          <w:p w14:paraId="613F6548"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Japan</w:t>
            </w:r>
            <w:proofErr w:type="spellEnd"/>
          </w:p>
        </w:tc>
        <w:tc>
          <w:tcPr>
            <w:tcW w:w="976" w:type="dxa"/>
            <w:tcBorders>
              <w:top w:val="nil"/>
              <w:left w:val="nil"/>
              <w:bottom w:val="nil"/>
              <w:right w:val="nil"/>
            </w:tcBorders>
            <w:shd w:val="clear" w:color="auto" w:fill="auto"/>
            <w:noWrap/>
            <w:vAlign w:val="bottom"/>
            <w:hideMark/>
          </w:tcPr>
          <w:p w14:paraId="581D646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10</w:t>
            </w:r>
          </w:p>
        </w:tc>
        <w:tc>
          <w:tcPr>
            <w:tcW w:w="2207" w:type="dxa"/>
            <w:tcBorders>
              <w:top w:val="nil"/>
              <w:left w:val="nil"/>
              <w:bottom w:val="nil"/>
              <w:right w:val="nil"/>
            </w:tcBorders>
            <w:shd w:val="clear" w:color="auto" w:fill="auto"/>
            <w:noWrap/>
            <w:vAlign w:val="bottom"/>
            <w:hideMark/>
          </w:tcPr>
          <w:p w14:paraId="7AA2B1AA"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Ukraine</w:t>
            </w:r>
            <w:proofErr w:type="spellEnd"/>
          </w:p>
        </w:tc>
        <w:tc>
          <w:tcPr>
            <w:tcW w:w="976" w:type="dxa"/>
            <w:tcBorders>
              <w:top w:val="nil"/>
              <w:left w:val="nil"/>
              <w:bottom w:val="nil"/>
              <w:right w:val="nil"/>
            </w:tcBorders>
            <w:shd w:val="clear" w:color="auto" w:fill="auto"/>
            <w:noWrap/>
            <w:vAlign w:val="bottom"/>
            <w:hideMark/>
          </w:tcPr>
          <w:p w14:paraId="4E86C19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69028E0D" w14:textId="77777777" w:rsidTr="007C6163">
        <w:trPr>
          <w:trHeight w:val="227"/>
        </w:trPr>
        <w:tc>
          <w:tcPr>
            <w:tcW w:w="1995" w:type="dxa"/>
            <w:tcBorders>
              <w:top w:val="nil"/>
              <w:left w:val="nil"/>
              <w:bottom w:val="nil"/>
              <w:right w:val="nil"/>
            </w:tcBorders>
            <w:shd w:val="clear" w:color="auto" w:fill="auto"/>
            <w:noWrap/>
            <w:vAlign w:val="bottom"/>
            <w:hideMark/>
          </w:tcPr>
          <w:p w14:paraId="3A4979C4"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Nepal</w:t>
            </w:r>
          </w:p>
        </w:tc>
        <w:tc>
          <w:tcPr>
            <w:tcW w:w="976" w:type="dxa"/>
            <w:tcBorders>
              <w:top w:val="nil"/>
              <w:left w:val="nil"/>
              <w:bottom w:val="nil"/>
              <w:right w:val="nil"/>
            </w:tcBorders>
            <w:shd w:val="clear" w:color="auto" w:fill="auto"/>
            <w:noWrap/>
            <w:vAlign w:val="bottom"/>
            <w:hideMark/>
          </w:tcPr>
          <w:p w14:paraId="2FD129B3"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9</w:t>
            </w:r>
          </w:p>
        </w:tc>
        <w:tc>
          <w:tcPr>
            <w:tcW w:w="2207" w:type="dxa"/>
            <w:tcBorders>
              <w:top w:val="nil"/>
              <w:left w:val="nil"/>
              <w:bottom w:val="nil"/>
              <w:right w:val="nil"/>
            </w:tcBorders>
            <w:shd w:val="clear" w:color="auto" w:fill="auto"/>
            <w:noWrap/>
            <w:vAlign w:val="bottom"/>
            <w:hideMark/>
          </w:tcPr>
          <w:p w14:paraId="0639752C"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Georgia</w:t>
            </w:r>
            <w:proofErr w:type="spellEnd"/>
          </w:p>
        </w:tc>
        <w:tc>
          <w:tcPr>
            <w:tcW w:w="976" w:type="dxa"/>
            <w:tcBorders>
              <w:top w:val="nil"/>
              <w:left w:val="nil"/>
              <w:bottom w:val="nil"/>
              <w:right w:val="nil"/>
            </w:tcBorders>
            <w:shd w:val="clear" w:color="auto" w:fill="auto"/>
            <w:noWrap/>
            <w:vAlign w:val="bottom"/>
            <w:hideMark/>
          </w:tcPr>
          <w:p w14:paraId="6550D4D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513BD0F0" w14:textId="77777777" w:rsidTr="007C6163">
        <w:trPr>
          <w:trHeight w:val="227"/>
        </w:trPr>
        <w:tc>
          <w:tcPr>
            <w:tcW w:w="1995" w:type="dxa"/>
            <w:tcBorders>
              <w:top w:val="nil"/>
              <w:left w:val="nil"/>
              <w:bottom w:val="nil"/>
              <w:right w:val="nil"/>
            </w:tcBorders>
            <w:shd w:val="clear" w:color="auto" w:fill="auto"/>
            <w:noWrap/>
            <w:vAlign w:val="bottom"/>
            <w:hideMark/>
          </w:tcPr>
          <w:p w14:paraId="22108747"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Indonesia</w:t>
            </w:r>
            <w:proofErr w:type="spellEnd"/>
          </w:p>
        </w:tc>
        <w:tc>
          <w:tcPr>
            <w:tcW w:w="976" w:type="dxa"/>
            <w:tcBorders>
              <w:top w:val="nil"/>
              <w:left w:val="nil"/>
              <w:bottom w:val="nil"/>
              <w:right w:val="nil"/>
            </w:tcBorders>
            <w:shd w:val="clear" w:color="auto" w:fill="auto"/>
            <w:noWrap/>
            <w:vAlign w:val="bottom"/>
            <w:hideMark/>
          </w:tcPr>
          <w:p w14:paraId="6F22809D"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8</w:t>
            </w:r>
          </w:p>
        </w:tc>
        <w:tc>
          <w:tcPr>
            <w:tcW w:w="2207" w:type="dxa"/>
            <w:tcBorders>
              <w:top w:val="nil"/>
              <w:left w:val="nil"/>
              <w:bottom w:val="nil"/>
              <w:right w:val="nil"/>
            </w:tcBorders>
            <w:shd w:val="clear" w:color="auto" w:fill="auto"/>
            <w:noWrap/>
            <w:vAlign w:val="bottom"/>
            <w:hideMark/>
          </w:tcPr>
          <w:p w14:paraId="19ACEE5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Panama</w:t>
            </w:r>
            <w:proofErr w:type="spellEnd"/>
          </w:p>
        </w:tc>
        <w:tc>
          <w:tcPr>
            <w:tcW w:w="976" w:type="dxa"/>
            <w:tcBorders>
              <w:top w:val="nil"/>
              <w:left w:val="nil"/>
              <w:bottom w:val="nil"/>
              <w:right w:val="nil"/>
            </w:tcBorders>
            <w:shd w:val="clear" w:color="auto" w:fill="auto"/>
            <w:noWrap/>
            <w:vAlign w:val="bottom"/>
            <w:hideMark/>
          </w:tcPr>
          <w:p w14:paraId="1A412BD9"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609E1618" w14:textId="77777777" w:rsidTr="007C6163">
        <w:trPr>
          <w:trHeight w:val="227"/>
        </w:trPr>
        <w:tc>
          <w:tcPr>
            <w:tcW w:w="1995" w:type="dxa"/>
            <w:tcBorders>
              <w:top w:val="nil"/>
              <w:left w:val="nil"/>
              <w:bottom w:val="nil"/>
              <w:right w:val="nil"/>
            </w:tcBorders>
            <w:shd w:val="clear" w:color="auto" w:fill="auto"/>
            <w:noWrap/>
            <w:vAlign w:val="bottom"/>
            <w:hideMark/>
          </w:tcPr>
          <w:p w14:paraId="7ECB6E5C"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Vietnam</w:t>
            </w:r>
          </w:p>
        </w:tc>
        <w:tc>
          <w:tcPr>
            <w:tcW w:w="976" w:type="dxa"/>
            <w:tcBorders>
              <w:top w:val="nil"/>
              <w:left w:val="nil"/>
              <w:bottom w:val="nil"/>
              <w:right w:val="nil"/>
            </w:tcBorders>
            <w:shd w:val="clear" w:color="auto" w:fill="auto"/>
            <w:noWrap/>
            <w:vAlign w:val="bottom"/>
            <w:hideMark/>
          </w:tcPr>
          <w:p w14:paraId="5D55C43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8</w:t>
            </w:r>
          </w:p>
        </w:tc>
        <w:tc>
          <w:tcPr>
            <w:tcW w:w="2207" w:type="dxa"/>
            <w:tcBorders>
              <w:top w:val="nil"/>
              <w:left w:val="nil"/>
              <w:bottom w:val="nil"/>
              <w:right w:val="nil"/>
            </w:tcBorders>
            <w:shd w:val="clear" w:color="auto" w:fill="auto"/>
            <w:noWrap/>
            <w:vAlign w:val="bottom"/>
            <w:hideMark/>
          </w:tcPr>
          <w:p w14:paraId="3E5486E9"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Slovenia</w:t>
            </w:r>
            <w:proofErr w:type="spellEnd"/>
          </w:p>
        </w:tc>
        <w:tc>
          <w:tcPr>
            <w:tcW w:w="976" w:type="dxa"/>
            <w:tcBorders>
              <w:top w:val="nil"/>
              <w:left w:val="nil"/>
              <w:bottom w:val="nil"/>
              <w:right w:val="nil"/>
            </w:tcBorders>
            <w:shd w:val="clear" w:color="auto" w:fill="auto"/>
            <w:noWrap/>
            <w:vAlign w:val="bottom"/>
            <w:hideMark/>
          </w:tcPr>
          <w:p w14:paraId="4BC85CD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476A09B7" w14:textId="77777777" w:rsidTr="007C6163">
        <w:trPr>
          <w:trHeight w:val="227"/>
        </w:trPr>
        <w:tc>
          <w:tcPr>
            <w:tcW w:w="1995" w:type="dxa"/>
            <w:tcBorders>
              <w:top w:val="nil"/>
              <w:left w:val="nil"/>
              <w:bottom w:val="nil"/>
              <w:right w:val="nil"/>
            </w:tcBorders>
            <w:shd w:val="clear" w:color="auto" w:fill="auto"/>
            <w:noWrap/>
            <w:vAlign w:val="bottom"/>
            <w:hideMark/>
          </w:tcPr>
          <w:p w14:paraId="2BC271D5"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Austria</w:t>
            </w:r>
            <w:proofErr w:type="spellEnd"/>
          </w:p>
        </w:tc>
        <w:tc>
          <w:tcPr>
            <w:tcW w:w="976" w:type="dxa"/>
            <w:tcBorders>
              <w:top w:val="nil"/>
              <w:left w:val="nil"/>
              <w:bottom w:val="nil"/>
              <w:right w:val="nil"/>
            </w:tcBorders>
            <w:shd w:val="clear" w:color="auto" w:fill="auto"/>
            <w:noWrap/>
            <w:vAlign w:val="bottom"/>
            <w:hideMark/>
          </w:tcPr>
          <w:p w14:paraId="5D95CD6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8</w:t>
            </w:r>
          </w:p>
        </w:tc>
        <w:tc>
          <w:tcPr>
            <w:tcW w:w="2207" w:type="dxa"/>
            <w:tcBorders>
              <w:top w:val="nil"/>
              <w:left w:val="nil"/>
              <w:bottom w:val="nil"/>
              <w:right w:val="nil"/>
            </w:tcBorders>
            <w:shd w:val="clear" w:color="auto" w:fill="auto"/>
            <w:noWrap/>
            <w:vAlign w:val="bottom"/>
            <w:hideMark/>
          </w:tcPr>
          <w:p w14:paraId="56F6884B"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Libya</w:t>
            </w:r>
            <w:proofErr w:type="spellEnd"/>
          </w:p>
        </w:tc>
        <w:tc>
          <w:tcPr>
            <w:tcW w:w="976" w:type="dxa"/>
            <w:tcBorders>
              <w:top w:val="nil"/>
              <w:left w:val="nil"/>
              <w:bottom w:val="nil"/>
              <w:right w:val="nil"/>
            </w:tcBorders>
            <w:shd w:val="clear" w:color="auto" w:fill="auto"/>
            <w:noWrap/>
            <w:vAlign w:val="bottom"/>
            <w:hideMark/>
          </w:tcPr>
          <w:p w14:paraId="4AD779D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2</w:t>
            </w:r>
          </w:p>
        </w:tc>
      </w:tr>
      <w:tr w:rsidR="0036233B" w:rsidRPr="0036233B" w14:paraId="78E1C694" w14:textId="77777777" w:rsidTr="007C6163">
        <w:trPr>
          <w:trHeight w:val="227"/>
        </w:trPr>
        <w:tc>
          <w:tcPr>
            <w:tcW w:w="1995" w:type="dxa"/>
            <w:tcBorders>
              <w:top w:val="nil"/>
              <w:left w:val="nil"/>
              <w:bottom w:val="nil"/>
              <w:right w:val="nil"/>
            </w:tcBorders>
            <w:shd w:val="clear" w:color="auto" w:fill="auto"/>
            <w:noWrap/>
            <w:vAlign w:val="bottom"/>
            <w:hideMark/>
          </w:tcPr>
          <w:p w14:paraId="4A039ECD"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Chile</w:t>
            </w:r>
          </w:p>
        </w:tc>
        <w:tc>
          <w:tcPr>
            <w:tcW w:w="976" w:type="dxa"/>
            <w:tcBorders>
              <w:top w:val="nil"/>
              <w:left w:val="nil"/>
              <w:bottom w:val="nil"/>
              <w:right w:val="nil"/>
            </w:tcBorders>
            <w:shd w:val="clear" w:color="auto" w:fill="auto"/>
            <w:noWrap/>
            <w:vAlign w:val="bottom"/>
            <w:hideMark/>
          </w:tcPr>
          <w:p w14:paraId="07EFF8D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1C2A05D5"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Myanmar</w:t>
            </w:r>
          </w:p>
        </w:tc>
        <w:tc>
          <w:tcPr>
            <w:tcW w:w="976" w:type="dxa"/>
            <w:tcBorders>
              <w:top w:val="nil"/>
              <w:left w:val="nil"/>
              <w:bottom w:val="nil"/>
              <w:right w:val="nil"/>
            </w:tcBorders>
            <w:shd w:val="clear" w:color="auto" w:fill="auto"/>
            <w:noWrap/>
            <w:vAlign w:val="bottom"/>
            <w:hideMark/>
          </w:tcPr>
          <w:p w14:paraId="132E78ED"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1A6C6EB9" w14:textId="77777777" w:rsidTr="007C6163">
        <w:trPr>
          <w:trHeight w:val="227"/>
        </w:trPr>
        <w:tc>
          <w:tcPr>
            <w:tcW w:w="1995" w:type="dxa"/>
            <w:tcBorders>
              <w:top w:val="nil"/>
              <w:left w:val="nil"/>
              <w:bottom w:val="nil"/>
              <w:right w:val="nil"/>
            </w:tcBorders>
            <w:shd w:val="clear" w:color="auto" w:fill="auto"/>
            <w:noWrap/>
            <w:vAlign w:val="bottom"/>
            <w:hideMark/>
          </w:tcPr>
          <w:p w14:paraId="088C1B99"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Philippines</w:t>
            </w:r>
            <w:proofErr w:type="spellEnd"/>
          </w:p>
        </w:tc>
        <w:tc>
          <w:tcPr>
            <w:tcW w:w="976" w:type="dxa"/>
            <w:tcBorders>
              <w:top w:val="nil"/>
              <w:left w:val="nil"/>
              <w:bottom w:val="nil"/>
              <w:right w:val="nil"/>
            </w:tcBorders>
            <w:shd w:val="clear" w:color="auto" w:fill="auto"/>
            <w:noWrap/>
            <w:vAlign w:val="bottom"/>
            <w:hideMark/>
          </w:tcPr>
          <w:p w14:paraId="020B6B91"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0B2A48E2"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Bhutan</w:t>
            </w:r>
            <w:proofErr w:type="spellEnd"/>
          </w:p>
        </w:tc>
        <w:tc>
          <w:tcPr>
            <w:tcW w:w="976" w:type="dxa"/>
            <w:tcBorders>
              <w:top w:val="nil"/>
              <w:left w:val="nil"/>
              <w:bottom w:val="nil"/>
              <w:right w:val="nil"/>
            </w:tcBorders>
            <w:shd w:val="clear" w:color="auto" w:fill="auto"/>
            <w:noWrap/>
            <w:vAlign w:val="bottom"/>
            <w:hideMark/>
          </w:tcPr>
          <w:p w14:paraId="703ACA36"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7BF40481" w14:textId="77777777" w:rsidTr="007C6163">
        <w:trPr>
          <w:trHeight w:val="227"/>
        </w:trPr>
        <w:tc>
          <w:tcPr>
            <w:tcW w:w="1995" w:type="dxa"/>
            <w:tcBorders>
              <w:top w:val="nil"/>
              <w:left w:val="nil"/>
              <w:bottom w:val="nil"/>
              <w:right w:val="nil"/>
            </w:tcBorders>
            <w:shd w:val="clear" w:color="auto" w:fill="auto"/>
            <w:noWrap/>
            <w:vAlign w:val="bottom"/>
            <w:hideMark/>
          </w:tcPr>
          <w:p w14:paraId="4CE0762A"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Mexico</w:t>
            </w:r>
            <w:proofErr w:type="spellEnd"/>
          </w:p>
        </w:tc>
        <w:tc>
          <w:tcPr>
            <w:tcW w:w="976" w:type="dxa"/>
            <w:tcBorders>
              <w:top w:val="nil"/>
              <w:left w:val="nil"/>
              <w:bottom w:val="nil"/>
              <w:right w:val="nil"/>
            </w:tcBorders>
            <w:shd w:val="clear" w:color="auto" w:fill="auto"/>
            <w:noWrap/>
            <w:vAlign w:val="bottom"/>
            <w:hideMark/>
          </w:tcPr>
          <w:p w14:paraId="5A22039F"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65F1C6D9"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Yemen</w:t>
            </w:r>
            <w:proofErr w:type="spellEnd"/>
          </w:p>
        </w:tc>
        <w:tc>
          <w:tcPr>
            <w:tcW w:w="976" w:type="dxa"/>
            <w:tcBorders>
              <w:top w:val="nil"/>
              <w:left w:val="nil"/>
              <w:bottom w:val="nil"/>
              <w:right w:val="nil"/>
            </w:tcBorders>
            <w:shd w:val="clear" w:color="auto" w:fill="auto"/>
            <w:noWrap/>
            <w:vAlign w:val="bottom"/>
            <w:hideMark/>
          </w:tcPr>
          <w:p w14:paraId="076655B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1BDFB824" w14:textId="77777777" w:rsidTr="007C6163">
        <w:trPr>
          <w:trHeight w:val="227"/>
        </w:trPr>
        <w:tc>
          <w:tcPr>
            <w:tcW w:w="1995" w:type="dxa"/>
            <w:tcBorders>
              <w:top w:val="nil"/>
              <w:left w:val="nil"/>
              <w:bottom w:val="nil"/>
              <w:right w:val="nil"/>
            </w:tcBorders>
            <w:shd w:val="clear" w:color="auto" w:fill="auto"/>
            <w:noWrap/>
            <w:vAlign w:val="bottom"/>
            <w:hideMark/>
          </w:tcPr>
          <w:p w14:paraId="5B5DC8B1"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 xml:space="preserve">New </w:t>
            </w:r>
            <w:proofErr w:type="spellStart"/>
            <w:r w:rsidRPr="0036233B">
              <w:rPr>
                <w:rFonts w:eastAsia="Times New Roman" w:cs="Times New Roman"/>
                <w:color w:val="000000"/>
                <w:sz w:val="20"/>
                <w:szCs w:val="20"/>
                <w:lang w:eastAsia="pt-PT"/>
              </w:rPr>
              <w:t>Zealand</w:t>
            </w:r>
            <w:proofErr w:type="spellEnd"/>
          </w:p>
        </w:tc>
        <w:tc>
          <w:tcPr>
            <w:tcW w:w="976" w:type="dxa"/>
            <w:tcBorders>
              <w:top w:val="nil"/>
              <w:left w:val="nil"/>
              <w:bottom w:val="nil"/>
              <w:right w:val="nil"/>
            </w:tcBorders>
            <w:shd w:val="clear" w:color="auto" w:fill="auto"/>
            <w:noWrap/>
            <w:vAlign w:val="bottom"/>
            <w:hideMark/>
          </w:tcPr>
          <w:p w14:paraId="37E903A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013DA684"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Kazakhstan</w:t>
            </w:r>
            <w:proofErr w:type="spellEnd"/>
          </w:p>
        </w:tc>
        <w:tc>
          <w:tcPr>
            <w:tcW w:w="976" w:type="dxa"/>
            <w:tcBorders>
              <w:top w:val="nil"/>
              <w:left w:val="nil"/>
              <w:bottom w:val="nil"/>
              <w:right w:val="nil"/>
            </w:tcBorders>
            <w:shd w:val="clear" w:color="auto" w:fill="auto"/>
            <w:noWrap/>
            <w:vAlign w:val="bottom"/>
            <w:hideMark/>
          </w:tcPr>
          <w:p w14:paraId="3529B3B3"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61CC9F26" w14:textId="77777777" w:rsidTr="007C6163">
        <w:trPr>
          <w:trHeight w:val="227"/>
        </w:trPr>
        <w:tc>
          <w:tcPr>
            <w:tcW w:w="1995" w:type="dxa"/>
            <w:tcBorders>
              <w:top w:val="nil"/>
              <w:left w:val="nil"/>
              <w:bottom w:val="nil"/>
              <w:right w:val="nil"/>
            </w:tcBorders>
            <w:shd w:val="clear" w:color="auto" w:fill="auto"/>
            <w:noWrap/>
            <w:vAlign w:val="bottom"/>
            <w:hideMark/>
          </w:tcPr>
          <w:p w14:paraId="70A80173"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Oman</w:t>
            </w:r>
            <w:proofErr w:type="spellEnd"/>
          </w:p>
        </w:tc>
        <w:tc>
          <w:tcPr>
            <w:tcW w:w="976" w:type="dxa"/>
            <w:tcBorders>
              <w:top w:val="nil"/>
              <w:left w:val="nil"/>
              <w:bottom w:val="nil"/>
              <w:right w:val="nil"/>
            </w:tcBorders>
            <w:shd w:val="clear" w:color="auto" w:fill="auto"/>
            <w:noWrap/>
            <w:vAlign w:val="bottom"/>
            <w:hideMark/>
          </w:tcPr>
          <w:p w14:paraId="784C7C1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294188C0" w14:textId="77777777" w:rsidR="0036233B" w:rsidRPr="0036233B" w:rsidRDefault="0036233B" w:rsidP="0036233B">
            <w:pPr>
              <w:spacing w:after="0" w:line="240" w:lineRule="auto"/>
              <w:rPr>
                <w:rFonts w:eastAsia="Times New Roman" w:cs="Times New Roman"/>
                <w:sz w:val="20"/>
                <w:szCs w:val="20"/>
                <w:lang w:eastAsia="pt-PT"/>
              </w:rPr>
            </w:pPr>
            <w:r w:rsidRPr="0036233B">
              <w:rPr>
                <w:rFonts w:eastAsia="Times New Roman" w:cs="Times New Roman"/>
                <w:sz w:val="20"/>
                <w:szCs w:val="20"/>
                <w:lang w:eastAsia="pt-PT"/>
              </w:rPr>
              <w:t>Jamaica</w:t>
            </w:r>
          </w:p>
        </w:tc>
        <w:tc>
          <w:tcPr>
            <w:tcW w:w="976" w:type="dxa"/>
            <w:tcBorders>
              <w:top w:val="nil"/>
              <w:left w:val="nil"/>
              <w:bottom w:val="nil"/>
              <w:right w:val="nil"/>
            </w:tcBorders>
            <w:shd w:val="clear" w:color="auto" w:fill="auto"/>
            <w:noWrap/>
            <w:vAlign w:val="bottom"/>
            <w:hideMark/>
          </w:tcPr>
          <w:p w14:paraId="5227F41B"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7FB8C633" w14:textId="77777777" w:rsidTr="007C6163">
        <w:trPr>
          <w:trHeight w:val="227"/>
        </w:trPr>
        <w:tc>
          <w:tcPr>
            <w:tcW w:w="1995" w:type="dxa"/>
            <w:tcBorders>
              <w:top w:val="nil"/>
              <w:left w:val="nil"/>
              <w:bottom w:val="nil"/>
              <w:right w:val="nil"/>
            </w:tcBorders>
            <w:shd w:val="clear" w:color="auto" w:fill="auto"/>
            <w:noWrap/>
            <w:vAlign w:val="bottom"/>
            <w:hideMark/>
          </w:tcPr>
          <w:p w14:paraId="020271D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Turkey</w:t>
            </w:r>
            <w:proofErr w:type="spellEnd"/>
          </w:p>
        </w:tc>
        <w:tc>
          <w:tcPr>
            <w:tcW w:w="976" w:type="dxa"/>
            <w:tcBorders>
              <w:top w:val="nil"/>
              <w:left w:val="nil"/>
              <w:bottom w:val="nil"/>
              <w:right w:val="nil"/>
            </w:tcBorders>
            <w:shd w:val="clear" w:color="auto" w:fill="auto"/>
            <w:noWrap/>
            <w:vAlign w:val="bottom"/>
            <w:hideMark/>
          </w:tcPr>
          <w:p w14:paraId="32D6E4D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7</w:t>
            </w:r>
          </w:p>
        </w:tc>
        <w:tc>
          <w:tcPr>
            <w:tcW w:w="2207" w:type="dxa"/>
            <w:tcBorders>
              <w:top w:val="nil"/>
              <w:left w:val="nil"/>
              <w:bottom w:val="nil"/>
              <w:right w:val="nil"/>
            </w:tcBorders>
            <w:shd w:val="clear" w:color="auto" w:fill="auto"/>
            <w:noWrap/>
            <w:vAlign w:val="bottom"/>
            <w:hideMark/>
          </w:tcPr>
          <w:p w14:paraId="79158609"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Albania</w:t>
            </w:r>
            <w:proofErr w:type="spellEnd"/>
          </w:p>
        </w:tc>
        <w:tc>
          <w:tcPr>
            <w:tcW w:w="976" w:type="dxa"/>
            <w:tcBorders>
              <w:top w:val="nil"/>
              <w:left w:val="nil"/>
              <w:bottom w:val="nil"/>
              <w:right w:val="nil"/>
            </w:tcBorders>
            <w:shd w:val="clear" w:color="auto" w:fill="auto"/>
            <w:noWrap/>
            <w:vAlign w:val="bottom"/>
            <w:hideMark/>
          </w:tcPr>
          <w:p w14:paraId="49C40320"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47E316C5" w14:textId="77777777" w:rsidTr="007C6163">
        <w:trPr>
          <w:trHeight w:val="227"/>
        </w:trPr>
        <w:tc>
          <w:tcPr>
            <w:tcW w:w="1995" w:type="dxa"/>
            <w:tcBorders>
              <w:top w:val="nil"/>
              <w:left w:val="nil"/>
              <w:bottom w:val="nil"/>
              <w:right w:val="nil"/>
            </w:tcBorders>
            <w:shd w:val="clear" w:color="auto" w:fill="auto"/>
            <w:noWrap/>
            <w:vAlign w:val="bottom"/>
            <w:hideMark/>
          </w:tcPr>
          <w:p w14:paraId="6E98A216"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Malaysia</w:t>
            </w:r>
            <w:proofErr w:type="spellEnd"/>
          </w:p>
        </w:tc>
        <w:tc>
          <w:tcPr>
            <w:tcW w:w="976" w:type="dxa"/>
            <w:tcBorders>
              <w:top w:val="nil"/>
              <w:left w:val="nil"/>
              <w:bottom w:val="nil"/>
              <w:right w:val="nil"/>
            </w:tcBorders>
            <w:shd w:val="clear" w:color="auto" w:fill="auto"/>
            <w:noWrap/>
            <w:vAlign w:val="bottom"/>
            <w:hideMark/>
          </w:tcPr>
          <w:p w14:paraId="708F2717"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6</w:t>
            </w:r>
          </w:p>
        </w:tc>
        <w:tc>
          <w:tcPr>
            <w:tcW w:w="2207" w:type="dxa"/>
            <w:tcBorders>
              <w:top w:val="nil"/>
              <w:left w:val="nil"/>
              <w:bottom w:val="nil"/>
              <w:right w:val="nil"/>
            </w:tcBorders>
            <w:shd w:val="clear" w:color="auto" w:fill="auto"/>
            <w:noWrap/>
            <w:vAlign w:val="bottom"/>
            <w:hideMark/>
          </w:tcPr>
          <w:p w14:paraId="3EDB9C5C" w14:textId="77777777" w:rsidR="0036233B" w:rsidRPr="0036233B" w:rsidRDefault="0036233B" w:rsidP="0036233B">
            <w:pPr>
              <w:spacing w:after="0" w:line="240" w:lineRule="auto"/>
              <w:rPr>
                <w:rFonts w:eastAsia="Times New Roman" w:cs="Times New Roman"/>
                <w:sz w:val="20"/>
                <w:szCs w:val="20"/>
                <w:lang w:eastAsia="pt-PT"/>
              </w:rPr>
            </w:pPr>
            <w:r w:rsidRPr="0036233B">
              <w:rPr>
                <w:rFonts w:eastAsia="Times New Roman" w:cs="Times New Roman"/>
                <w:sz w:val="20"/>
                <w:szCs w:val="20"/>
                <w:lang w:eastAsia="pt-PT"/>
              </w:rPr>
              <w:t>Malta</w:t>
            </w:r>
          </w:p>
        </w:tc>
        <w:tc>
          <w:tcPr>
            <w:tcW w:w="976" w:type="dxa"/>
            <w:tcBorders>
              <w:top w:val="nil"/>
              <w:left w:val="nil"/>
              <w:bottom w:val="nil"/>
              <w:right w:val="nil"/>
            </w:tcBorders>
            <w:shd w:val="clear" w:color="auto" w:fill="auto"/>
            <w:noWrap/>
            <w:vAlign w:val="bottom"/>
            <w:hideMark/>
          </w:tcPr>
          <w:p w14:paraId="0A0A4AC5"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402D2C85" w14:textId="77777777" w:rsidTr="007C6163">
        <w:trPr>
          <w:trHeight w:val="227"/>
        </w:trPr>
        <w:tc>
          <w:tcPr>
            <w:tcW w:w="1995" w:type="dxa"/>
            <w:tcBorders>
              <w:top w:val="nil"/>
              <w:left w:val="nil"/>
              <w:bottom w:val="nil"/>
              <w:right w:val="nil"/>
            </w:tcBorders>
            <w:shd w:val="clear" w:color="auto" w:fill="auto"/>
            <w:noWrap/>
            <w:vAlign w:val="bottom"/>
            <w:hideMark/>
          </w:tcPr>
          <w:p w14:paraId="6DED6E09"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Israel</w:t>
            </w:r>
          </w:p>
        </w:tc>
        <w:tc>
          <w:tcPr>
            <w:tcW w:w="976" w:type="dxa"/>
            <w:tcBorders>
              <w:top w:val="nil"/>
              <w:left w:val="nil"/>
              <w:bottom w:val="nil"/>
              <w:right w:val="nil"/>
            </w:tcBorders>
            <w:shd w:val="clear" w:color="auto" w:fill="auto"/>
            <w:noWrap/>
            <w:vAlign w:val="bottom"/>
            <w:hideMark/>
          </w:tcPr>
          <w:p w14:paraId="48A353B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6</w:t>
            </w:r>
          </w:p>
        </w:tc>
        <w:tc>
          <w:tcPr>
            <w:tcW w:w="2207" w:type="dxa"/>
            <w:tcBorders>
              <w:top w:val="nil"/>
              <w:left w:val="nil"/>
              <w:bottom w:val="nil"/>
              <w:right w:val="nil"/>
            </w:tcBorders>
            <w:shd w:val="clear" w:color="auto" w:fill="auto"/>
            <w:noWrap/>
            <w:vAlign w:val="bottom"/>
            <w:hideMark/>
          </w:tcPr>
          <w:p w14:paraId="3CD07F42"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Latvia</w:t>
            </w:r>
            <w:proofErr w:type="spellEnd"/>
          </w:p>
        </w:tc>
        <w:tc>
          <w:tcPr>
            <w:tcW w:w="976" w:type="dxa"/>
            <w:tcBorders>
              <w:top w:val="nil"/>
              <w:left w:val="nil"/>
              <w:bottom w:val="nil"/>
              <w:right w:val="nil"/>
            </w:tcBorders>
            <w:shd w:val="clear" w:color="auto" w:fill="auto"/>
            <w:noWrap/>
            <w:vAlign w:val="bottom"/>
            <w:hideMark/>
          </w:tcPr>
          <w:p w14:paraId="25AEDBA6"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1C8E0200" w14:textId="77777777" w:rsidTr="007C6163">
        <w:trPr>
          <w:trHeight w:val="227"/>
        </w:trPr>
        <w:tc>
          <w:tcPr>
            <w:tcW w:w="1995" w:type="dxa"/>
            <w:tcBorders>
              <w:top w:val="nil"/>
              <w:left w:val="nil"/>
              <w:bottom w:val="nil"/>
              <w:right w:val="nil"/>
            </w:tcBorders>
            <w:shd w:val="clear" w:color="auto" w:fill="auto"/>
            <w:noWrap/>
            <w:vAlign w:val="bottom"/>
            <w:hideMark/>
          </w:tcPr>
          <w:p w14:paraId="2011D385"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Peru</w:t>
            </w:r>
          </w:p>
        </w:tc>
        <w:tc>
          <w:tcPr>
            <w:tcW w:w="976" w:type="dxa"/>
            <w:tcBorders>
              <w:top w:val="nil"/>
              <w:left w:val="nil"/>
              <w:bottom w:val="nil"/>
              <w:right w:val="nil"/>
            </w:tcBorders>
            <w:shd w:val="clear" w:color="auto" w:fill="auto"/>
            <w:noWrap/>
            <w:vAlign w:val="bottom"/>
            <w:hideMark/>
          </w:tcPr>
          <w:p w14:paraId="66EC49B0"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w:t>
            </w:r>
          </w:p>
        </w:tc>
        <w:tc>
          <w:tcPr>
            <w:tcW w:w="2207" w:type="dxa"/>
            <w:tcBorders>
              <w:top w:val="nil"/>
              <w:left w:val="nil"/>
              <w:bottom w:val="nil"/>
              <w:right w:val="nil"/>
            </w:tcBorders>
            <w:shd w:val="clear" w:color="auto" w:fill="auto"/>
            <w:noWrap/>
            <w:vAlign w:val="bottom"/>
            <w:hideMark/>
          </w:tcPr>
          <w:p w14:paraId="11D3E3DF" w14:textId="77777777" w:rsidR="0036233B" w:rsidRPr="0036233B" w:rsidRDefault="0036233B" w:rsidP="0036233B">
            <w:pPr>
              <w:spacing w:after="0" w:line="240" w:lineRule="auto"/>
              <w:rPr>
                <w:rFonts w:eastAsia="Times New Roman" w:cs="Times New Roman"/>
                <w:sz w:val="20"/>
                <w:szCs w:val="20"/>
                <w:lang w:eastAsia="pt-PT"/>
              </w:rPr>
            </w:pPr>
            <w:proofErr w:type="spellStart"/>
            <w:r w:rsidRPr="0036233B">
              <w:rPr>
                <w:rFonts w:eastAsia="Times New Roman" w:cs="Times New Roman"/>
                <w:sz w:val="20"/>
                <w:szCs w:val="20"/>
                <w:lang w:eastAsia="pt-PT"/>
              </w:rPr>
              <w:t>Armenia</w:t>
            </w:r>
            <w:proofErr w:type="spellEnd"/>
          </w:p>
        </w:tc>
        <w:tc>
          <w:tcPr>
            <w:tcW w:w="976" w:type="dxa"/>
            <w:tcBorders>
              <w:top w:val="nil"/>
              <w:left w:val="nil"/>
              <w:bottom w:val="nil"/>
              <w:right w:val="nil"/>
            </w:tcBorders>
            <w:shd w:val="clear" w:color="auto" w:fill="auto"/>
            <w:noWrap/>
            <w:vAlign w:val="bottom"/>
            <w:hideMark/>
          </w:tcPr>
          <w:p w14:paraId="08D989F4"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0DFD99AB" w14:textId="77777777" w:rsidTr="007C6163">
        <w:trPr>
          <w:trHeight w:val="227"/>
        </w:trPr>
        <w:tc>
          <w:tcPr>
            <w:tcW w:w="1995" w:type="dxa"/>
            <w:tcBorders>
              <w:top w:val="nil"/>
              <w:left w:val="nil"/>
              <w:bottom w:val="nil"/>
              <w:right w:val="nil"/>
            </w:tcBorders>
            <w:shd w:val="clear" w:color="auto" w:fill="auto"/>
            <w:noWrap/>
            <w:vAlign w:val="bottom"/>
            <w:hideMark/>
          </w:tcPr>
          <w:p w14:paraId="0EEF81DC"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Ireland</w:t>
            </w:r>
            <w:proofErr w:type="spellEnd"/>
          </w:p>
        </w:tc>
        <w:tc>
          <w:tcPr>
            <w:tcW w:w="976" w:type="dxa"/>
            <w:tcBorders>
              <w:top w:val="nil"/>
              <w:left w:val="nil"/>
              <w:bottom w:val="nil"/>
              <w:right w:val="nil"/>
            </w:tcBorders>
            <w:shd w:val="clear" w:color="auto" w:fill="auto"/>
            <w:noWrap/>
            <w:vAlign w:val="bottom"/>
            <w:hideMark/>
          </w:tcPr>
          <w:p w14:paraId="15558FD2"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w:t>
            </w:r>
          </w:p>
        </w:tc>
        <w:tc>
          <w:tcPr>
            <w:tcW w:w="2207" w:type="dxa"/>
            <w:tcBorders>
              <w:top w:val="nil"/>
              <w:left w:val="nil"/>
              <w:bottom w:val="nil"/>
              <w:right w:val="nil"/>
            </w:tcBorders>
            <w:shd w:val="clear" w:color="auto" w:fill="auto"/>
            <w:noWrap/>
            <w:vAlign w:val="bottom"/>
            <w:hideMark/>
          </w:tcPr>
          <w:p w14:paraId="0E7B15E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Bosnia</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and</w:t>
            </w:r>
            <w:proofErr w:type="spellEnd"/>
            <w:r w:rsidRPr="0036233B">
              <w:rPr>
                <w:rFonts w:eastAsia="Times New Roman" w:cs="Times New Roman"/>
                <w:color w:val="000000"/>
                <w:sz w:val="20"/>
                <w:szCs w:val="20"/>
                <w:lang w:eastAsia="pt-PT"/>
              </w:rPr>
              <w:t xml:space="preserve"> Herzegovina</w:t>
            </w:r>
          </w:p>
        </w:tc>
        <w:tc>
          <w:tcPr>
            <w:tcW w:w="976" w:type="dxa"/>
            <w:tcBorders>
              <w:top w:val="nil"/>
              <w:left w:val="nil"/>
              <w:bottom w:val="nil"/>
              <w:right w:val="nil"/>
            </w:tcBorders>
            <w:shd w:val="clear" w:color="auto" w:fill="auto"/>
            <w:noWrap/>
            <w:vAlign w:val="bottom"/>
            <w:hideMark/>
          </w:tcPr>
          <w:p w14:paraId="2304E623"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354E7AA2" w14:textId="77777777" w:rsidTr="007C6163">
        <w:trPr>
          <w:trHeight w:val="227"/>
        </w:trPr>
        <w:tc>
          <w:tcPr>
            <w:tcW w:w="1995" w:type="dxa"/>
            <w:tcBorders>
              <w:top w:val="nil"/>
              <w:left w:val="nil"/>
              <w:bottom w:val="nil"/>
              <w:right w:val="nil"/>
            </w:tcBorders>
            <w:shd w:val="clear" w:color="auto" w:fill="auto"/>
            <w:noWrap/>
            <w:vAlign w:val="bottom"/>
            <w:hideMark/>
          </w:tcPr>
          <w:p w14:paraId="54FCFD80"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 xml:space="preserve">United </w:t>
            </w:r>
            <w:proofErr w:type="spellStart"/>
            <w:r w:rsidRPr="0036233B">
              <w:rPr>
                <w:rFonts w:eastAsia="Times New Roman" w:cs="Times New Roman"/>
                <w:color w:val="000000"/>
                <w:sz w:val="20"/>
                <w:szCs w:val="20"/>
                <w:lang w:eastAsia="pt-PT"/>
              </w:rPr>
              <w:t>Arab</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Emirates</w:t>
            </w:r>
            <w:proofErr w:type="spellEnd"/>
          </w:p>
        </w:tc>
        <w:tc>
          <w:tcPr>
            <w:tcW w:w="976" w:type="dxa"/>
            <w:tcBorders>
              <w:top w:val="nil"/>
              <w:left w:val="nil"/>
              <w:bottom w:val="nil"/>
              <w:right w:val="nil"/>
            </w:tcBorders>
            <w:shd w:val="clear" w:color="auto" w:fill="auto"/>
            <w:noWrap/>
            <w:vAlign w:val="bottom"/>
            <w:hideMark/>
          </w:tcPr>
          <w:p w14:paraId="0896032D"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5</w:t>
            </w:r>
          </w:p>
        </w:tc>
        <w:tc>
          <w:tcPr>
            <w:tcW w:w="2207" w:type="dxa"/>
            <w:tcBorders>
              <w:top w:val="nil"/>
              <w:left w:val="nil"/>
              <w:bottom w:val="nil"/>
              <w:right w:val="nil"/>
            </w:tcBorders>
            <w:shd w:val="clear" w:color="auto" w:fill="auto"/>
            <w:noWrap/>
            <w:vAlign w:val="bottom"/>
            <w:hideMark/>
          </w:tcPr>
          <w:p w14:paraId="7E04897F"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North</w:t>
            </w:r>
            <w:proofErr w:type="spellEnd"/>
            <w:r w:rsidRPr="0036233B">
              <w:rPr>
                <w:rFonts w:eastAsia="Times New Roman" w:cs="Times New Roman"/>
                <w:color w:val="000000"/>
                <w:sz w:val="20"/>
                <w:szCs w:val="20"/>
                <w:lang w:eastAsia="pt-PT"/>
              </w:rPr>
              <w:t xml:space="preserve"> </w:t>
            </w:r>
            <w:proofErr w:type="spellStart"/>
            <w:r w:rsidRPr="0036233B">
              <w:rPr>
                <w:rFonts w:eastAsia="Times New Roman" w:cs="Times New Roman"/>
                <w:color w:val="000000"/>
                <w:sz w:val="20"/>
                <w:szCs w:val="20"/>
                <w:lang w:eastAsia="pt-PT"/>
              </w:rPr>
              <w:t>Macedonia</w:t>
            </w:r>
            <w:proofErr w:type="spellEnd"/>
          </w:p>
        </w:tc>
        <w:tc>
          <w:tcPr>
            <w:tcW w:w="976" w:type="dxa"/>
            <w:tcBorders>
              <w:top w:val="nil"/>
              <w:left w:val="nil"/>
              <w:bottom w:val="nil"/>
              <w:right w:val="nil"/>
            </w:tcBorders>
            <w:shd w:val="clear" w:color="auto" w:fill="auto"/>
            <w:noWrap/>
            <w:vAlign w:val="bottom"/>
            <w:hideMark/>
          </w:tcPr>
          <w:p w14:paraId="0F1BB72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36FBDB01" w14:textId="77777777" w:rsidTr="007C6163">
        <w:trPr>
          <w:trHeight w:val="227"/>
        </w:trPr>
        <w:tc>
          <w:tcPr>
            <w:tcW w:w="1995" w:type="dxa"/>
            <w:tcBorders>
              <w:top w:val="nil"/>
              <w:left w:val="nil"/>
              <w:bottom w:val="nil"/>
              <w:right w:val="nil"/>
            </w:tcBorders>
            <w:shd w:val="clear" w:color="auto" w:fill="auto"/>
            <w:noWrap/>
            <w:vAlign w:val="bottom"/>
            <w:hideMark/>
          </w:tcPr>
          <w:p w14:paraId="1EC3716B"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Jordan</w:t>
            </w:r>
            <w:proofErr w:type="spellEnd"/>
          </w:p>
        </w:tc>
        <w:tc>
          <w:tcPr>
            <w:tcW w:w="976" w:type="dxa"/>
            <w:tcBorders>
              <w:top w:val="nil"/>
              <w:left w:val="nil"/>
              <w:bottom w:val="nil"/>
              <w:right w:val="nil"/>
            </w:tcBorders>
            <w:shd w:val="clear" w:color="auto" w:fill="auto"/>
            <w:noWrap/>
            <w:vAlign w:val="bottom"/>
            <w:hideMark/>
          </w:tcPr>
          <w:p w14:paraId="4AE2E42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c>
          <w:tcPr>
            <w:tcW w:w="2207" w:type="dxa"/>
            <w:tcBorders>
              <w:top w:val="nil"/>
              <w:left w:val="nil"/>
              <w:bottom w:val="nil"/>
              <w:right w:val="nil"/>
            </w:tcBorders>
            <w:shd w:val="clear" w:color="auto" w:fill="auto"/>
            <w:noWrap/>
            <w:vAlign w:val="bottom"/>
            <w:hideMark/>
          </w:tcPr>
          <w:p w14:paraId="7D583EB4"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Montenegro</w:t>
            </w:r>
          </w:p>
        </w:tc>
        <w:tc>
          <w:tcPr>
            <w:tcW w:w="976" w:type="dxa"/>
            <w:tcBorders>
              <w:top w:val="nil"/>
              <w:left w:val="nil"/>
              <w:bottom w:val="nil"/>
              <w:right w:val="nil"/>
            </w:tcBorders>
            <w:shd w:val="clear" w:color="auto" w:fill="auto"/>
            <w:noWrap/>
            <w:vAlign w:val="bottom"/>
            <w:hideMark/>
          </w:tcPr>
          <w:p w14:paraId="3D6A6D9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701585D0" w14:textId="77777777" w:rsidTr="007C6163">
        <w:trPr>
          <w:trHeight w:val="227"/>
        </w:trPr>
        <w:tc>
          <w:tcPr>
            <w:tcW w:w="1995" w:type="dxa"/>
            <w:tcBorders>
              <w:top w:val="nil"/>
              <w:left w:val="nil"/>
              <w:bottom w:val="nil"/>
              <w:right w:val="nil"/>
            </w:tcBorders>
            <w:shd w:val="clear" w:color="auto" w:fill="auto"/>
            <w:noWrap/>
            <w:vAlign w:val="bottom"/>
            <w:hideMark/>
          </w:tcPr>
          <w:p w14:paraId="770D8D53"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Russia</w:t>
            </w:r>
            <w:proofErr w:type="spellEnd"/>
          </w:p>
        </w:tc>
        <w:tc>
          <w:tcPr>
            <w:tcW w:w="976" w:type="dxa"/>
            <w:tcBorders>
              <w:top w:val="nil"/>
              <w:left w:val="nil"/>
              <w:bottom w:val="nil"/>
              <w:right w:val="nil"/>
            </w:tcBorders>
            <w:shd w:val="clear" w:color="auto" w:fill="auto"/>
            <w:noWrap/>
            <w:vAlign w:val="bottom"/>
            <w:hideMark/>
          </w:tcPr>
          <w:p w14:paraId="5DF3B2CB"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c>
          <w:tcPr>
            <w:tcW w:w="2207" w:type="dxa"/>
            <w:tcBorders>
              <w:top w:val="nil"/>
              <w:left w:val="nil"/>
              <w:bottom w:val="nil"/>
              <w:right w:val="nil"/>
            </w:tcBorders>
            <w:shd w:val="clear" w:color="auto" w:fill="auto"/>
            <w:noWrap/>
            <w:vAlign w:val="bottom"/>
            <w:hideMark/>
          </w:tcPr>
          <w:p w14:paraId="691F0982"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Hungary</w:t>
            </w:r>
            <w:proofErr w:type="spellEnd"/>
          </w:p>
        </w:tc>
        <w:tc>
          <w:tcPr>
            <w:tcW w:w="976" w:type="dxa"/>
            <w:tcBorders>
              <w:top w:val="nil"/>
              <w:left w:val="nil"/>
              <w:bottom w:val="nil"/>
              <w:right w:val="nil"/>
            </w:tcBorders>
            <w:shd w:val="clear" w:color="auto" w:fill="auto"/>
            <w:noWrap/>
            <w:vAlign w:val="bottom"/>
            <w:hideMark/>
          </w:tcPr>
          <w:p w14:paraId="66BCB26A"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50317682" w14:textId="77777777" w:rsidTr="007C6163">
        <w:trPr>
          <w:trHeight w:val="227"/>
        </w:trPr>
        <w:tc>
          <w:tcPr>
            <w:tcW w:w="1995" w:type="dxa"/>
            <w:tcBorders>
              <w:top w:val="nil"/>
              <w:left w:val="nil"/>
              <w:right w:val="nil"/>
            </w:tcBorders>
            <w:shd w:val="clear" w:color="auto" w:fill="auto"/>
            <w:noWrap/>
            <w:vAlign w:val="bottom"/>
            <w:hideMark/>
          </w:tcPr>
          <w:p w14:paraId="04BB7FB1"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Colombia</w:t>
            </w:r>
            <w:proofErr w:type="spellEnd"/>
          </w:p>
        </w:tc>
        <w:tc>
          <w:tcPr>
            <w:tcW w:w="976" w:type="dxa"/>
            <w:tcBorders>
              <w:top w:val="nil"/>
              <w:left w:val="nil"/>
              <w:right w:val="nil"/>
            </w:tcBorders>
            <w:shd w:val="clear" w:color="auto" w:fill="auto"/>
            <w:noWrap/>
            <w:vAlign w:val="bottom"/>
            <w:hideMark/>
          </w:tcPr>
          <w:p w14:paraId="281E57FC"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c>
          <w:tcPr>
            <w:tcW w:w="2207" w:type="dxa"/>
            <w:tcBorders>
              <w:top w:val="nil"/>
              <w:left w:val="nil"/>
              <w:right w:val="nil"/>
            </w:tcBorders>
            <w:shd w:val="clear" w:color="auto" w:fill="auto"/>
            <w:noWrap/>
            <w:vAlign w:val="bottom"/>
            <w:hideMark/>
          </w:tcPr>
          <w:p w14:paraId="2F22183E"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Syria</w:t>
            </w:r>
            <w:proofErr w:type="spellEnd"/>
          </w:p>
        </w:tc>
        <w:tc>
          <w:tcPr>
            <w:tcW w:w="976" w:type="dxa"/>
            <w:tcBorders>
              <w:top w:val="nil"/>
              <w:left w:val="nil"/>
              <w:right w:val="nil"/>
            </w:tcBorders>
            <w:shd w:val="clear" w:color="auto" w:fill="auto"/>
            <w:noWrap/>
            <w:vAlign w:val="bottom"/>
            <w:hideMark/>
          </w:tcPr>
          <w:p w14:paraId="4A08D71E"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r w:rsidR="0036233B" w:rsidRPr="0036233B" w14:paraId="0A609285" w14:textId="77777777" w:rsidTr="007C6163">
        <w:trPr>
          <w:trHeight w:val="227"/>
        </w:trPr>
        <w:tc>
          <w:tcPr>
            <w:tcW w:w="1995" w:type="dxa"/>
            <w:tcBorders>
              <w:top w:val="nil"/>
              <w:left w:val="nil"/>
              <w:bottom w:val="single" w:sz="4" w:space="0" w:color="auto"/>
              <w:right w:val="nil"/>
            </w:tcBorders>
            <w:shd w:val="clear" w:color="auto" w:fill="auto"/>
            <w:noWrap/>
            <w:vAlign w:val="bottom"/>
            <w:hideMark/>
          </w:tcPr>
          <w:p w14:paraId="149C468D" w14:textId="77777777" w:rsidR="0036233B" w:rsidRPr="0036233B" w:rsidRDefault="0036233B" w:rsidP="0036233B">
            <w:pPr>
              <w:spacing w:after="0" w:line="240" w:lineRule="auto"/>
              <w:rPr>
                <w:rFonts w:eastAsia="Times New Roman" w:cs="Times New Roman"/>
                <w:color w:val="000000"/>
                <w:sz w:val="20"/>
                <w:szCs w:val="20"/>
                <w:lang w:eastAsia="pt-PT"/>
              </w:rPr>
            </w:pPr>
            <w:proofErr w:type="spellStart"/>
            <w:r w:rsidRPr="0036233B">
              <w:rPr>
                <w:rFonts w:eastAsia="Times New Roman" w:cs="Times New Roman"/>
                <w:color w:val="000000"/>
                <w:sz w:val="20"/>
                <w:szCs w:val="20"/>
                <w:lang w:eastAsia="pt-PT"/>
              </w:rPr>
              <w:t>Lebanon</w:t>
            </w:r>
            <w:proofErr w:type="spellEnd"/>
          </w:p>
        </w:tc>
        <w:tc>
          <w:tcPr>
            <w:tcW w:w="976" w:type="dxa"/>
            <w:tcBorders>
              <w:top w:val="nil"/>
              <w:left w:val="nil"/>
              <w:bottom w:val="single" w:sz="4" w:space="0" w:color="auto"/>
              <w:right w:val="nil"/>
            </w:tcBorders>
            <w:shd w:val="clear" w:color="auto" w:fill="auto"/>
            <w:noWrap/>
            <w:vAlign w:val="bottom"/>
            <w:hideMark/>
          </w:tcPr>
          <w:p w14:paraId="4A4B4339"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4</w:t>
            </w:r>
          </w:p>
        </w:tc>
        <w:tc>
          <w:tcPr>
            <w:tcW w:w="2207" w:type="dxa"/>
            <w:tcBorders>
              <w:top w:val="nil"/>
              <w:left w:val="nil"/>
              <w:bottom w:val="single" w:sz="4" w:space="0" w:color="auto"/>
              <w:right w:val="nil"/>
            </w:tcBorders>
            <w:shd w:val="clear" w:color="auto" w:fill="auto"/>
            <w:noWrap/>
            <w:vAlign w:val="bottom"/>
            <w:hideMark/>
          </w:tcPr>
          <w:p w14:paraId="445EBDCB" w14:textId="77777777" w:rsidR="0036233B" w:rsidRPr="0036233B" w:rsidRDefault="0036233B" w:rsidP="0036233B">
            <w:pPr>
              <w:spacing w:after="0" w:line="240" w:lineRule="auto"/>
              <w:rPr>
                <w:rFonts w:eastAsia="Times New Roman" w:cs="Times New Roman"/>
                <w:color w:val="000000"/>
                <w:sz w:val="20"/>
                <w:szCs w:val="20"/>
                <w:lang w:eastAsia="pt-PT"/>
              </w:rPr>
            </w:pPr>
            <w:r w:rsidRPr="0036233B">
              <w:rPr>
                <w:rFonts w:eastAsia="Times New Roman" w:cs="Times New Roman"/>
                <w:color w:val="000000"/>
                <w:sz w:val="20"/>
                <w:szCs w:val="20"/>
                <w:lang w:eastAsia="pt-PT"/>
              </w:rPr>
              <w:t>Haiti</w:t>
            </w:r>
          </w:p>
        </w:tc>
        <w:tc>
          <w:tcPr>
            <w:tcW w:w="976" w:type="dxa"/>
            <w:tcBorders>
              <w:top w:val="nil"/>
              <w:left w:val="nil"/>
              <w:bottom w:val="single" w:sz="4" w:space="0" w:color="auto"/>
              <w:right w:val="nil"/>
            </w:tcBorders>
            <w:shd w:val="clear" w:color="auto" w:fill="auto"/>
            <w:noWrap/>
            <w:vAlign w:val="bottom"/>
            <w:hideMark/>
          </w:tcPr>
          <w:p w14:paraId="01A3F7A8" w14:textId="77777777" w:rsidR="0036233B" w:rsidRPr="0036233B" w:rsidRDefault="0036233B" w:rsidP="0036233B">
            <w:pPr>
              <w:spacing w:after="0" w:line="240" w:lineRule="auto"/>
              <w:jc w:val="center"/>
              <w:rPr>
                <w:rFonts w:eastAsia="Times New Roman" w:cs="Times New Roman"/>
                <w:color w:val="000000"/>
                <w:sz w:val="20"/>
                <w:szCs w:val="20"/>
                <w:lang w:eastAsia="pt-PT"/>
              </w:rPr>
            </w:pPr>
            <w:r w:rsidRPr="0036233B">
              <w:rPr>
                <w:rFonts w:eastAsia="Times New Roman" w:cs="Times New Roman"/>
                <w:color w:val="000000"/>
                <w:sz w:val="20"/>
                <w:szCs w:val="20"/>
                <w:lang w:eastAsia="pt-PT"/>
              </w:rPr>
              <w:t>1</w:t>
            </w:r>
          </w:p>
        </w:tc>
      </w:tr>
    </w:tbl>
    <w:p w14:paraId="71CC5A1A" w14:textId="77777777" w:rsidR="0036233B" w:rsidRDefault="0036233B" w:rsidP="00754404">
      <w:pPr>
        <w:rPr>
          <w:lang w:val="en-US"/>
        </w:rPr>
      </w:pPr>
    </w:p>
    <w:p w14:paraId="7A917E29" w14:textId="77777777" w:rsidR="0036233B" w:rsidRDefault="0036233B" w:rsidP="00754404">
      <w:pPr>
        <w:rPr>
          <w:lang w:val="en-US"/>
        </w:rPr>
        <w:sectPr w:rsidR="0036233B">
          <w:pgSz w:w="11906" w:h="16838"/>
          <w:pgMar w:top="1417" w:right="1701" w:bottom="1417" w:left="1701" w:header="708" w:footer="708" w:gutter="0"/>
          <w:cols w:space="708"/>
          <w:docGrid w:linePitch="360"/>
        </w:sectPr>
      </w:pPr>
    </w:p>
    <w:p w14:paraId="0E410325" w14:textId="456D9EAD" w:rsidR="007E3955" w:rsidRDefault="007C2374" w:rsidP="007E3955">
      <w:pPr>
        <w:keepNext/>
        <w:jc w:val="center"/>
      </w:pPr>
      <w:r>
        <w:rPr>
          <w:noProof/>
        </w:rPr>
        <w:lastRenderedPageBreak/>
        <w:drawing>
          <wp:inline distT="0" distB="0" distL="0" distR="0" wp14:anchorId="4F0EDD9C" wp14:editId="6B9C3000">
            <wp:extent cx="3192780" cy="3532321"/>
            <wp:effectExtent l="0" t="0" r="0" b="0"/>
            <wp:docPr id="1606332915" name="Picture 1" descr="A diagram of a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332915" name="Picture 1" descr="A diagram of a timelin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02452" cy="3543021"/>
                    </a:xfrm>
                    <a:prstGeom prst="rect">
                      <a:avLst/>
                    </a:prstGeom>
                    <a:noFill/>
                    <a:ln>
                      <a:noFill/>
                    </a:ln>
                  </pic:spPr>
                </pic:pic>
              </a:graphicData>
            </a:graphic>
          </wp:inline>
        </w:drawing>
      </w:r>
    </w:p>
    <w:p w14:paraId="6F224DAC" w14:textId="6F3FE163" w:rsidR="007E3955" w:rsidRPr="00D34106" w:rsidRDefault="007E3955" w:rsidP="007E3955">
      <w:pPr>
        <w:pStyle w:val="Caption"/>
        <w:rPr>
          <w:i w:val="0"/>
          <w:iCs w:val="0"/>
          <w:color w:val="auto"/>
          <w:lang w:val="en-GB"/>
        </w:rPr>
      </w:pPr>
      <w:bookmarkStart w:id="1" w:name="_Ref140785624"/>
      <w:r w:rsidRPr="00D34106">
        <w:rPr>
          <w:b/>
          <w:bCs/>
          <w:i w:val="0"/>
          <w:iCs w:val="0"/>
          <w:color w:val="auto"/>
          <w:lang w:val="en-GB"/>
        </w:rPr>
        <w:t xml:space="preserve">Figure </w:t>
      </w:r>
      <w:r w:rsidR="00D34106" w:rsidRPr="00D34106">
        <w:rPr>
          <w:b/>
          <w:bCs/>
          <w:i w:val="0"/>
          <w:iCs w:val="0"/>
          <w:color w:val="auto"/>
          <w:lang w:val="en-GB"/>
        </w:rPr>
        <w:t>A</w:t>
      </w:r>
      <w:r w:rsidRPr="00D34106">
        <w:rPr>
          <w:b/>
          <w:bCs/>
          <w:i w:val="0"/>
          <w:iCs w:val="0"/>
          <w:color w:val="auto"/>
        </w:rPr>
        <w:fldChar w:fldCharType="begin"/>
      </w:r>
      <w:r w:rsidRPr="00D34106">
        <w:rPr>
          <w:b/>
          <w:bCs/>
          <w:i w:val="0"/>
          <w:iCs w:val="0"/>
          <w:color w:val="auto"/>
          <w:lang w:val="en-GB"/>
        </w:rPr>
        <w:instrText xml:space="preserve"> SEQ Figure \* ARABIC </w:instrText>
      </w:r>
      <w:r w:rsidRPr="00D34106">
        <w:rPr>
          <w:b/>
          <w:bCs/>
          <w:i w:val="0"/>
          <w:iCs w:val="0"/>
          <w:color w:val="auto"/>
        </w:rPr>
        <w:fldChar w:fldCharType="separate"/>
      </w:r>
      <w:r w:rsidR="007F5911" w:rsidRPr="00D34106">
        <w:rPr>
          <w:b/>
          <w:bCs/>
          <w:i w:val="0"/>
          <w:iCs w:val="0"/>
          <w:noProof/>
          <w:color w:val="auto"/>
          <w:lang w:val="en-GB"/>
        </w:rPr>
        <w:t>1</w:t>
      </w:r>
      <w:r w:rsidRPr="00D34106">
        <w:rPr>
          <w:b/>
          <w:bCs/>
          <w:i w:val="0"/>
          <w:iCs w:val="0"/>
          <w:color w:val="auto"/>
        </w:rPr>
        <w:fldChar w:fldCharType="end"/>
      </w:r>
      <w:bookmarkEnd w:id="1"/>
      <w:r w:rsidRPr="00D34106">
        <w:rPr>
          <w:i w:val="0"/>
          <w:iCs w:val="0"/>
          <w:color w:val="auto"/>
          <w:lang w:val="en-GB"/>
        </w:rPr>
        <w:t xml:space="preserve">. </w:t>
      </w:r>
      <w:r w:rsidR="00E7300F" w:rsidRPr="00D34106">
        <w:rPr>
          <w:i w:val="0"/>
          <w:iCs w:val="0"/>
          <w:color w:val="auto"/>
          <w:lang w:val="en-GB"/>
        </w:rPr>
        <w:t xml:space="preserve">Main path analysis according to the different types of research collaboration: DRC (ellipse) and IRC (box). It </w:t>
      </w:r>
      <w:r w:rsidR="00E7300F" w:rsidRPr="00D34106">
        <w:rPr>
          <w:i w:val="0"/>
          <w:iCs w:val="0"/>
          <w:noProof/>
          <w:color w:val="auto"/>
          <w:lang w:val="en-US"/>
        </w:rPr>
        <w:t xml:space="preserve">includes as </w:t>
      </w:r>
      <w:r w:rsidR="00D34106" w:rsidRPr="00D34106">
        <w:rPr>
          <w:i w:val="0"/>
          <w:iCs w:val="0"/>
          <w:noProof/>
          <w:color w:val="auto"/>
          <w:lang w:val="en-US"/>
        </w:rPr>
        <w:t xml:space="preserve">a </w:t>
      </w:r>
      <w:r w:rsidR="00E7300F" w:rsidRPr="00D34106">
        <w:rPr>
          <w:i w:val="0"/>
          <w:iCs w:val="0"/>
          <w:noProof/>
          <w:color w:val="auto"/>
          <w:lang w:val="en-US"/>
        </w:rPr>
        <w:t xml:space="preserve">seed the top 5 edges. </w:t>
      </w:r>
    </w:p>
    <w:p w14:paraId="120AB846" w14:textId="77777777" w:rsidR="007E3955" w:rsidRPr="00E93A57" w:rsidRDefault="007E3955" w:rsidP="007E3955">
      <w:pPr>
        <w:pStyle w:val="Caption"/>
        <w:rPr>
          <w:lang w:val="en-GB"/>
        </w:rPr>
      </w:pPr>
    </w:p>
    <w:p w14:paraId="3665FEE6" w14:textId="64EADA73" w:rsidR="00E7300F" w:rsidRPr="00E7300F" w:rsidRDefault="007F5911" w:rsidP="00E7300F">
      <w:pPr>
        <w:keepNext/>
        <w:jc w:val="center"/>
        <w:rPr>
          <w:lang w:val="en-US"/>
        </w:rPr>
      </w:pPr>
      <w:r>
        <w:rPr>
          <w:noProof/>
        </w:rPr>
        <w:drawing>
          <wp:inline distT="0" distB="0" distL="0" distR="0" wp14:anchorId="5E541795" wp14:editId="230098E1">
            <wp:extent cx="3398520" cy="3619163"/>
            <wp:effectExtent l="0" t="0" r="0" b="0"/>
            <wp:docPr id="952935967" name="Picture 9"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935967" name="Picture 9" descr="A screenshot of a compute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403545" cy="3624514"/>
                    </a:xfrm>
                    <a:prstGeom prst="rect">
                      <a:avLst/>
                    </a:prstGeom>
                    <a:noFill/>
                    <a:ln>
                      <a:noFill/>
                    </a:ln>
                  </pic:spPr>
                </pic:pic>
              </a:graphicData>
            </a:graphic>
          </wp:inline>
        </w:drawing>
      </w:r>
    </w:p>
    <w:p w14:paraId="01F08710" w14:textId="117A2573" w:rsidR="00E7300F" w:rsidRPr="00D34106" w:rsidRDefault="00E7300F" w:rsidP="00E7300F">
      <w:pPr>
        <w:pStyle w:val="Caption"/>
        <w:rPr>
          <w:i w:val="0"/>
          <w:iCs w:val="0"/>
          <w:noProof/>
          <w:color w:val="auto"/>
          <w:lang w:val="en-US"/>
        </w:rPr>
      </w:pPr>
      <w:bookmarkStart w:id="2" w:name="_Ref136010205"/>
      <w:r w:rsidRPr="00D34106">
        <w:rPr>
          <w:b/>
          <w:bCs/>
          <w:i w:val="0"/>
          <w:iCs w:val="0"/>
          <w:color w:val="auto"/>
          <w:lang w:val="en-GB"/>
        </w:rPr>
        <w:t xml:space="preserve">Figure </w:t>
      </w:r>
      <w:r w:rsidR="00D34106" w:rsidRPr="00D34106">
        <w:rPr>
          <w:b/>
          <w:bCs/>
          <w:i w:val="0"/>
          <w:iCs w:val="0"/>
          <w:color w:val="auto"/>
          <w:lang w:val="en-GB"/>
        </w:rPr>
        <w:t>A</w:t>
      </w:r>
      <w:r w:rsidRPr="00D34106">
        <w:rPr>
          <w:b/>
          <w:bCs/>
          <w:i w:val="0"/>
          <w:iCs w:val="0"/>
          <w:color w:val="auto"/>
        </w:rPr>
        <w:fldChar w:fldCharType="begin"/>
      </w:r>
      <w:r w:rsidRPr="00D34106">
        <w:rPr>
          <w:b/>
          <w:bCs/>
          <w:i w:val="0"/>
          <w:iCs w:val="0"/>
          <w:color w:val="auto"/>
          <w:lang w:val="en-GB"/>
        </w:rPr>
        <w:instrText xml:space="preserve"> SEQ Figure \* ARABIC </w:instrText>
      </w:r>
      <w:r w:rsidRPr="00D34106">
        <w:rPr>
          <w:b/>
          <w:bCs/>
          <w:i w:val="0"/>
          <w:iCs w:val="0"/>
          <w:color w:val="auto"/>
        </w:rPr>
        <w:fldChar w:fldCharType="separate"/>
      </w:r>
      <w:r w:rsidR="007F5911" w:rsidRPr="00D34106">
        <w:rPr>
          <w:b/>
          <w:bCs/>
          <w:i w:val="0"/>
          <w:iCs w:val="0"/>
          <w:noProof/>
          <w:color w:val="auto"/>
          <w:lang w:val="en-GB"/>
        </w:rPr>
        <w:t>2</w:t>
      </w:r>
      <w:r w:rsidRPr="00D34106">
        <w:rPr>
          <w:b/>
          <w:bCs/>
          <w:i w:val="0"/>
          <w:iCs w:val="0"/>
          <w:color w:val="auto"/>
        </w:rPr>
        <w:fldChar w:fldCharType="end"/>
      </w:r>
      <w:bookmarkEnd w:id="2"/>
      <w:r w:rsidRPr="00D34106">
        <w:rPr>
          <w:i w:val="0"/>
          <w:iCs w:val="0"/>
          <w:color w:val="auto"/>
          <w:lang w:val="en-GB"/>
        </w:rPr>
        <w:t xml:space="preserve">. Main path analysis according to the different types of research collaboration: DRC (ellipse) and IRC (box). It </w:t>
      </w:r>
      <w:r w:rsidRPr="00D34106">
        <w:rPr>
          <w:i w:val="0"/>
          <w:iCs w:val="0"/>
          <w:noProof/>
          <w:color w:val="auto"/>
          <w:lang w:val="en-US"/>
        </w:rPr>
        <w:t xml:space="preserve">includes as </w:t>
      </w:r>
      <w:r w:rsidR="00D34106">
        <w:rPr>
          <w:i w:val="0"/>
          <w:iCs w:val="0"/>
          <w:noProof/>
          <w:color w:val="auto"/>
          <w:lang w:val="en-US"/>
        </w:rPr>
        <w:t xml:space="preserve">a </w:t>
      </w:r>
      <w:r w:rsidRPr="00D34106">
        <w:rPr>
          <w:i w:val="0"/>
          <w:iCs w:val="0"/>
          <w:noProof/>
          <w:color w:val="auto"/>
          <w:lang w:val="en-US"/>
        </w:rPr>
        <w:t xml:space="preserve">seed the top 10 edges. </w:t>
      </w:r>
    </w:p>
    <w:p w14:paraId="404C016A" w14:textId="037A2B8F" w:rsidR="007E3955" w:rsidRPr="00E7300F" w:rsidRDefault="007E3955" w:rsidP="007E3955">
      <w:pPr>
        <w:rPr>
          <w:rFonts w:cs="Times New Roman"/>
          <w:noProof/>
          <w:lang w:val="en-US"/>
        </w:rPr>
      </w:pPr>
    </w:p>
    <w:p w14:paraId="3EDF0AE3" w14:textId="61694B79" w:rsidR="007E3955" w:rsidRPr="007C2374" w:rsidRDefault="004A7284" w:rsidP="007E3955">
      <w:pPr>
        <w:keepNext/>
        <w:jc w:val="center"/>
        <w:rPr>
          <w:lang w:val="en-US"/>
        </w:rPr>
      </w:pPr>
      <w:r>
        <w:rPr>
          <w:noProof/>
        </w:rPr>
        <w:lastRenderedPageBreak/>
        <w:drawing>
          <wp:inline distT="0" distB="0" distL="0" distR="0" wp14:anchorId="401DAE13" wp14:editId="4FDC28EE">
            <wp:extent cx="4076700" cy="4045863"/>
            <wp:effectExtent l="0" t="0" r="0" b="0"/>
            <wp:docPr id="815133515" name="Picture 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5133515" name="Picture 5" descr="A screenshot of a computer&#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081087" cy="4050217"/>
                    </a:xfrm>
                    <a:prstGeom prst="rect">
                      <a:avLst/>
                    </a:prstGeom>
                    <a:noFill/>
                    <a:ln>
                      <a:noFill/>
                    </a:ln>
                  </pic:spPr>
                </pic:pic>
              </a:graphicData>
            </a:graphic>
          </wp:inline>
        </w:drawing>
      </w:r>
    </w:p>
    <w:p w14:paraId="0DB175F8" w14:textId="27A363C8" w:rsidR="007E3955" w:rsidRPr="00D34106" w:rsidRDefault="007E3955" w:rsidP="007E3955">
      <w:pPr>
        <w:pStyle w:val="Caption"/>
        <w:rPr>
          <w:i w:val="0"/>
          <w:iCs w:val="0"/>
          <w:color w:val="auto"/>
          <w:lang w:val="en-GB"/>
        </w:rPr>
      </w:pPr>
      <w:r w:rsidRPr="00D34106">
        <w:rPr>
          <w:b/>
          <w:bCs/>
          <w:i w:val="0"/>
          <w:iCs w:val="0"/>
          <w:color w:val="auto"/>
          <w:lang w:val="en-GB"/>
        </w:rPr>
        <w:t xml:space="preserve">Figure </w:t>
      </w:r>
      <w:r w:rsidR="00D64849">
        <w:rPr>
          <w:b/>
          <w:bCs/>
          <w:i w:val="0"/>
          <w:iCs w:val="0"/>
          <w:color w:val="auto"/>
          <w:lang w:val="en-GB"/>
        </w:rPr>
        <w:t>A</w:t>
      </w:r>
      <w:r w:rsidRPr="00D34106">
        <w:rPr>
          <w:b/>
          <w:bCs/>
          <w:i w:val="0"/>
          <w:iCs w:val="0"/>
          <w:color w:val="auto"/>
        </w:rPr>
        <w:fldChar w:fldCharType="begin"/>
      </w:r>
      <w:r w:rsidRPr="00D34106">
        <w:rPr>
          <w:b/>
          <w:bCs/>
          <w:i w:val="0"/>
          <w:iCs w:val="0"/>
          <w:color w:val="auto"/>
          <w:lang w:val="en-GB"/>
        </w:rPr>
        <w:instrText xml:space="preserve"> SEQ Figure \* ARABIC </w:instrText>
      </w:r>
      <w:r w:rsidRPr="00D34106">
        <w:rPr>
          <w:b/>
          <w:bCs/>
          <w:i w:val="0"/>
          <w:iCs w:val="0"/>
          <w:color w:val="auto"/>
        </w:rPr>
        <w:fldChar w:fldCharType="separate"/>
      </w:r>
      <w:r w:rsidR="007F5911" w:rsidRPr="00D34106">
        <w:rPr>
          <w:b/>
          <w:bCs/>
          <w:i w:val="0"/>
          <w:iCs w:val="0"/>
          <w:noProof/>
          <w:color w:val="auto"/>
          <w:lang w:val="en-GB"/>
        </w:rPr>
        <w:t>3</w:t>
      </w:r>
      <w:r w:rsidRPr="00D34106">
        <w:rPr>
          <w:b/>
          <w:bCs/>
          <w:i w:val="0"/>
          <w:iCs w:val="0"/>
          <w:color w:val="auto"/>
        </w:rPr>
        <w:fldChar w:fldCharType="end"/>
      </w:r>
      <w:r w:rsidRPr="00D34106">
        <w:rPr>
          <w:b/>
          <w:bCs/>
          <w:i w:val="0"/>
          <w:iCs w:val="0"/>
          <w:color w:val="auto"/>
          <w:lang w:val="en-GB"/>
        </w:rPr>
        <w:t>.</w:t>
      </w:r>
      <w:r w:rsidRPr="00D34106">
        <w:rPr>
          <w:i w:val="0"/>
          <w:iCs w:val="0"/>
          <w:color w:val="auto"/>
          <w:lang w:val="en-GB"/>
        </w:rPr>
        <w:t xml:space="preserve"> </w:t>
      </w:r>
      <w:r w:rsidR="00E7300F" w:rsidRPr="00D34106">
        <w:rPr>
          <w:i w:val="0"/>
          <w:iCs w:val="0"/>
          <w:color w:val="auto"/>
          <w:lang w:val="en-GB"/>
        </w:rPr>
        <w:t xml:space="preserve">Main path analysis according to the different types of research collaboration: DRC (ellipse) and IRC (box). It </w:t>
      </w:r>
      <w:r w:rsidR="00E7300F" w:rsidRPr="00D34106">
        <w:rPr>
          <w:i w:val="0"/>
          <w:iCs w:val="0"/>
          <w:noProof/>
          <w:color w:val="auto"/>
          <w:lang w:val="en-US"/>
        </w:rPr>
        <w:t xml:space="preserve">includes as </w:t>
      </w:r>
      <w:r w:rsidR="00D34106">
        <w:rPr>
          <w:i w:val="0"/>
          <w:iCs w:val="0"/>
          <w:noProof/>
          <w:color w:val="auto"/>
          <w:lang w:val="en-US"/>
        </w:rPr>
        <w:t xml:space="preserve">a </w:t>
      </w:r>
      <w:r w:rsidR="00E7300F" w:rsidRPr="00D34106">
        <w:rPr>
          <w:i w:val="0"/>
          <w:iCs w:val="0"/>
          <w:noProof/>
          <w:color w:val="auto"/>
          <w:lang w:val="en-US"/>
        </w:rPr>
        <w:t>seed the top 15 edges.</w:t>
      </w:r>
      <w:r w:rsidR="00E7300F" w:rsidRPr="00D34106">
        <w:rPr>
          <w:i w:val="0"/>
          <w:iCs w:val="0"/>
          <w:color w:val="auto"/>
          <w:lang w:val="en-GB"/>
        </w:rPr>
        <w:t xml:space="preserve"> </w:t>
      </w:r>
    </w:p>
    <w:p w14:paraId="6C0753DA" w14:textId="4A8F8542" w:rsidR="007E3955" w:rsidRPr="00E7300F" w:rsidRDefault="004A7284" w:rsidP="007E3955">
      <w:pPr>
        <w:keepNext/>
        <w:jc w:val="center"/>
        <w:rPr>
          <w:lang w:val="en-US"/>
        </w:rPr>
      </w:pPr>
      <w:r>
        <w:rPr>
          <w:noProof/>
        </w:rPr>
        <w:drawing>
          <wp:inline distT="0" distB="0" distL="0" distR="0" wp14:anchorId="1A1CA079" wp14:editId="6E621C76">
            <wp:extent cx="4488180" cy="3508106"/>
            <wp:effectExtent l="0" t="0" r="0" b="0"/>
            <wp:docPr id="2112815940" name="Picture 6" descr="A black background with numbers an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815940" name="Picture 6" descr="A black background with numbers and dot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94832" cy="3513306"/>
                    </a:xfrm>
                    <a:prstGeom prst="rect">
                      <a:avLst/>
                    </a:prstGeom>
                    <a:noFill/>
                    <a:ln>
                      <a:noFill/>
                    </a:ln>
                  </pic:spPr>
                </pic:pic>
              </a:graphicData>
            </a:graphic>
          </wp:inline>
        </w:drawing>
      </w:r>
    </w:p>
    <w:p w14:paraId="7028CB34" w14:textId="4237A621" w:rsidR="007E3955" w:rsidRPr="00D34106" w:rsidRDefault="007E3955" w:rsidP="007E3955">
      <w:pPr>
        <w:pStyle w:val="Caption"/>
        <w:rPr>
          <w:i w:val="0"/>
          <w:iCs w:val="0"/>
          <w:color w:val="auto"/>
          <w:lang w:val="en-GB"/>
        </w:rPr>
      </w:pPr>
      <w:r w:rsidRPr="00D34106">
        <w:rPr>
          <w:b/>
          <w:bCs/>
          <w:i w:val="0"/>
          <w:iCs w:val="0"/>
          <w:color w:val="auto"/>
          <w:lang w:val="en-GB"/>
        </w:rPr>
        <w:t xml:space="preserve">Figure </w:t>
      </w:r>
      <w:r w:rsidR="00D64849">
        <w:rPr>
          <w:b/>
          <w:bCs/>
          <w:i w:val="0"/>
          <w:iCs w:val="0"/>
          <w:color w:val="auto"/>
          <w:lang w:val="en-GB"/>
        </w:rPr>
        <w:t>A</w:t>
      </w:r>
      <w:r w:rsidRPr="00D34106">
        <w:rPr>
          <w:b/>
          <w:bCs/>
          <w:i w:val="0"/>
          <w:iCs w:val="0"/>
          <w:color w:val="auto"/>
        </w:rPr>
        <w:fldChar w:fldCharType="begin"/>
      </w:r>
      <w:r w:rsidRPr="00D34106">
        <w:rPr>
          <w:b/>
          <w:bCs/>
          <w:i w:val="0"/>
          <w:iCs w:val="0"/>
          <w:color w:val="auto"/>
          <w:lang w:val="en-GB"/>
        </w:rPr>
        <w:instrText xml:space="preserve"> SEQ Figure \* ARABIC </w:instrText>
      </w:r>
      <w:r w:rsidRPr="00D34106">
        <w:rPr>
          <w:b/>
          <w:bCs/>
          <w:i w:val="0"/>
          <w:iCs w:val="0"/>
          <w:color w:val="auto"/>
        </w:rPr>
        <w:fldChar w:fldCharType="separate"/>
      </w:r>
      <w:r w:rsidR="007F5911" w:rsidRPr="00D34106">
        <w:rPr>
          <w:b/>
          <w:bCs/>
          <w:i w:val="0"/>
          <w:iCs w:val="0"/>
          <w:noProof/>
          <w:color w:val="auto"/>
          <w:lang w:val="en-GB"/>
        </w:rPr>
        <w:t>4</w:t>
      </w:r>
      <w:r w:rsidRPr="00D34106">
        <w:rPr>
          <w:b/>
          <w:bCs/>
          <w:i w:val="0"/>
          <w:iCs w:val="0"/>
          <w:color w:val="auto"/>
        </w:rPr>
        <w:fldChar w:fldCharType="end"/>
      </w:r>
      <w:r w:rsidRPr="00D34106">
        <w:rPr>
          <w:b/>
          <w:bCs/>
          <w:i w:val="0"/>
          <w:iCs w:val="0"/>
          <w:color w:val="auto"/>
          <w:lang w:val="en-GB"/>
        </w:rPr>
        <w:t>.</w:t>
      </w:r>
      <w:r w:rsidRPr="00D34106">
        <w:rPr>
          <w:i w:val="0"/>
          <w:iCs w:val="0"/>
          <w:color w:val="auto"/>
          <w:lang w:val="en-GB"/>
        </w:rPr>
        <w:t xml:space="preserve"> </w:t>
      </w:r>
      <w:r w:rsidR="004A7284" w:rsidRPr="00D34106">
        <w:rPr>
          <w:i w:val="0"/>
          <w:iCs w:val="0"/>
          <w:color w:val="auto"/>
          <w:lang w:val="en-GB"/>
        </w:rPr>
        <w:t xml:space="preserve">Main path analysis according to the different types of IRC: DRC (box); </w:t>
      </w:r>
      <w:proofErr w:type="spellStart"/>
      <w:r w:rsidR="004A7284" w:rsidRPr="00D34106">
        <w:rPr>
          <w:i w:val="0"/>
          <w:iCs w:val="0"/>
          <w:color w:val="auto"/>
          <w:lang w:val="en-GB"/>
        </w:rPr>
        <w:t>IRC</w:t>
      </w:r>
      <w:r w:rsidR="004A7284" w:rsidRPr="00D34106">
        <w:rPr>
          <w:i w:val="0"/>
          <w:iCs w:val="0"/>
          <w:color w:val="auto"/>
          <w:vertAlign w:val="subscript"/>
          <w:lang w:val="en-GB"/>
        </w:rPr>
        <w:t>inter</w:t>
      </w:r>
      <w:proofErr w:type="spellEnd"/>
      <w:r w:rsidR="004A7284" w:rsidRPr="00D34106">
        <w:rPr>
          <w:i w:val="0"/>
          <w:iCs w:val="0"/>
          <w:color w:val="auto"/>
          <w:lang w:val="en-GB"/>
        </w:rPr>
        <w:t xml:space="preserve"> (ellipse); </w:t>
      </w:r>
      <w:proofErr w:type="spellStart"/>
      <w:r w:rsidR="004A7284" w:rsidRPr="00D34106">
        <w:rPr>
          <w:i w:val="0"/>
          <w:iCs w:val="0"/>
          <w:color w:val="auto"/>
          <w:lang w:val="en-GB"/>
        </w:rPr>
        <w:t>IRC</w:t>
      </w:r>
      <w:r w:rsidR="004A7284" w:rsidRPr="00D34106">
        <w:rPr>
          <w:i w:val="0"/>
          <w:iCs w:val="0"/>
          <w:color w:val="auto"/>
          <w:vertAlign w:val="subscript"/>
          <w:lang w:val="en-GB"/>
        </w:rPr>
        <w:t>inter_intra</w:t>
      </w:r>
      <w:proofErr w:type="spellEnd"/>
      <w:r w:rsidR="004A7284" w:rsidRPr="00D34106">
        <w:rPr>
          <w:i w:val="0"/>
          <w:iCs w:val="0"/>
          <w:color w:val="auto"/>
          <w:vertAlign w:val="subscript"/>
          <w:lang w:val="en-GB"/>
        </w:rPr>
        <w:t xml:space="preserve"> </w:t>
      </w:r>
      <w:r w:rsidR="004A7284" w:rsidRPr="00D34106">
        <w:rPr>
          <w:i w:val="0"/>
          <w:iCs w:val="0"/>
          <w:color w:val="auto"/>
          <w:lang w:val="en-GB"/>
        </w:rPr>
        <w:t xml:space="preserve">(diamond). It </w:t>
      </w:r>
      <w:r w:rsidR="004A7284" w:rsidRPr="00D34106">
        <w:rPr>
          <w:i w:val="0"/>
          <w:iCs w:val="0"/>
          <w:noProof/>
          <w:color w:val="auto"/>
          <w:lang w:val="en-US"/>
        </w:rPr>
        <w:t>includes as</w:t>
      </w:r>
      <w:r w:rsidR="00D34106" w:rsidRPr="00D34106">
        <w:rPr>
          <w:i w:val="0"/>
          <w:iCs w:val="0"/>
          <w:noProof/>
          <w:color w:val="auto"/>
          <w:lang w:val="en-US"/>
        </w:rPr>
        <w:t xml:space="preserve"> a</w:t>
      </w:r>
      <w:r w:rsidR="004A7284" w:rsidRPr="00D34106">
        <w:rPr>
          <w:i w:val="0"/>
          <w:iCs w:val="0"/>
          <w:noProof/>
          <w:color w:val="auto"/>
          <w:lang w:val="en-US"/>
        </w:rPr>
        <w:t xml:space="preserve"> seed the top 10 edges</w:t>
      </w:r>
      <w:r w:rsidR="00D34106" w:rsidRPr="00D34106">
        <w:rPr>
          <w:i w:val="0"/>
          <w:iCs w:val="0"/>
          <w:noProof/>
          <w:color w:val="auto"/>
          <w:lang w:val="en-US"/>
        </w:rPr>
        <w:t>.</w:t>
      </w:r>
    </w:p>
    <w:p w14:paraId="68087137" w14:textId="331046F6" w:rsidR="007E3955" w:rsidRPr="00E7300F" w:rsidRDefault="004A7284" w:rsidP="007E3955">
      <w:pPr>
        <w:keepNext/>
        <w:jc w:val="center"/>
        <w:rPr>
          <w:lang w:val="en-US"/>
        </w:rPr>
      </w:pPr>
      <w:r>
        <w:rPr>
          <w:noProof/>
        </w:rPr>
        <w:lastRenderedPageBreak/>
        <w:drawing>
          <wp:inline distT="0" distB="0" distL="0" distR="0" wp14:anchorId="23CAB139" wp14:editId="48938E18">
            <wp:extent cx="4046220" cy="4025285"/>
            <wp:effectExtent l="0" t="0" r="0" b="0"/>
            <wp:docPr id="205443379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433797" name="Picture 7" descr="A screenshot of a computer&#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56088" cy="4035102"/>
                    </a:xfrm>
                    <a:prstGeom prst="rect">
                      <a:avLst/>
                    </a:prstGeom>
                    <a:noFill/>
                    <a:ln>
                      <a:noFill/>
                    </a:ln>
                  </pic:spPr>
                </pic:pic>
              </a:graphicData>
            </a:graphic>
          </wp:inline>
        </w:drawing>
      </w:r>
    </w:p>
    <w:p w14:paraId="4F163DE3" w14:textId="29E3B97E" w:rsidR="007E3955" w:rsidRPr="00D34106" w:rsidRDefault="007E3955" w:rsidP="007E3955">
      <w:pPr>
        <w:pStyle w:val="Caption"/>
        <w:rPr>
          <w:i w:val="0"/>
          <w:iCs w:val="0"/>
          <w:color w:val="auto"/>
          <w:lang w:val="en-GB"/>
        </w:rPr>
      </w:pPr>
      <w:bookmarkStart w:id="3" w:name="_Ref140785628"/>
      <w:r w:rsidRPr="00D34106">
        <w:rPr>
          <w:b/>
          <w:bCs/>
          <w:i w:val="0"/>
          <w:iCs w:val="0"/>
          <w:color w:val="auto"/>
          <w:lang w:val="en-GB"/>
        </w:rPr>
        <w:t xml:space="preserve">Figure </w:t>
      </w:r>
      <w:r w:rsidR="00D34106" w:rsidRPr="00D34106">
        <w:rPr>
          <w:b/>
          <w:bCs/>
          <w:i w:val="0"/>
          <w:iCs w:val="0"/>
          <w:color w:val="auto"/>
          <w:lang w:val="en-GB"/>
        </w:rPr>
        <w:t>A</w:t>
      </w:r>
      <w:r w:rsidRPr="00D34106">
        <w:rPr>
          <w:b/>
          <w:bCs/>
          <w:i w:val="0"/>
          <w:iCs w:val="0"/>
          <w:color w:val="auto"/>
        </w:rPr>
        <w:fldChar w:fldCharType="begin"/>
      </w:r>
      <w:r w:rsidRPr="00D34106">
        <w:rPr>
          <w:b/>
          <w:bCs/>
          <w:i w:val="0"/>
          <w:iCs w:val="0"/>
          <w:color w:val="auto"/>
          <w:lang w:val="en-GB"/>
        </w:rPr>
        <w:instrText xml:space="preserve"> SEQ Figure \* ARABIC </w:instrText>
      </w:r>
      <w:r w:rsidRPr="00D34106">
        <w:rPr>
          <w:b/>
          <w:bCs/>
          <w:i w:val="0"/>
          <w:iCs w:val="0"/>
          <w:color w:val="auto"/>
        </w:rPr>
        <w:fldChar w:fldCharType="separate"/>
      </w:r>
      <w:r w:rsidR="007F5911" w:rsidRPr="00D34106">
        <w:rPr>
          <w:b/>
          <w:bCs/>
          <w:i w:val="0"/>
          <w:iCs w:val="0"/>
          <w:noProof/>
          <w:color w:val="auto"/>
          <w:lang w:val="en-GB"/>
        </w:rPr>
        <w:t>5</w:t>
      </w:r>
      <w:r w:rsidRPr="00D34106">
        <w:rPr>
          <w:b/>
          <w:bCs/>
          <w:i w:val="0"/>
          <w:iCs w:val="0"/>
          <w:color w:val="auto"/>
        </w:rPr>
        <w:fldChar w:fldCharType="end"/>
      </w:r>
      <w:bookmarkEnd w:id="3"/>
      <w:r w:rsidRPr="00D34106">
        <w:rPr>
          <w:i w:val="0"/>
          <w:iCs w:val="0"/>
          <w:color w:val="auto"/>
          <w:lang w:val="en-GB"/>
        </w:rPr>
        <w:t xml:space="preserve">. </w:t>
      </w:r>
      <w:r w:rsidR="004A7284" w:rsidRPr="00D34106">
        <w:rPr>
          <w:i w:val="0"/>
          <w:iCs w:val="0"/>
          <w:color w:val="auto"/>
          <w:lang w:val="en-GB"/>
        </w:rPr>
        <w:t xml:space="preserve">Main path analysis according to the different types of IRC: DRC (box); </w:t>
      </w:r>
      <w:proofErr w:type="spellStart"/>
      <w:r w:rsidR="004A7284" w:rsidRPr="00D34106">
        <w:rPr>
          <w:i w:val="0"/>
          <w:iCs w:val="0"/>
          <w:color w:val="auto"/>
          <w:lang w:val="en-GB"/>
        </w:rPr>
        <w:t>IRC</w:t>
      </w:r>
      <w:r w:rsidR="004A7284" w:rsidRPr="00D34106">
        <w:rPr>
          <w:i w:val="0"/>
          <w:iCs w:val="0"/>
          <w:color w:val="auto"/>
          <w:vertAlign w:val="subscript"/>
          <w:lang w:val="en-GB"/>
        </w:rPr>
        <w:t>inter</w:t>
      </w:r>
      <w:proofErr w:type="spellEnd"/>
      <w:r w:rsidR="004A7284" w:rsidRPr="00D34106">
        <w:rPr>
          <w:i w:val="0"/>
          <w:iCs w:val="0"/>
          <w:color w:val="auto"/>
          <w:lang w:val="en-GB"/>
        </w:rPr>
        <w:t xml:space="preserve"> (ellipse); </w:t>
      </w:r>
      <w:proofErr w:type="spellStart"/>
      <w:r w:rsidR="004A7284" w:rsidRPr="00D34106">
        <w:rPr>
          <w:i w:val="0"/>
          <w:iCs w:val="0"/>
          <w:color w:val="auto"/>
          <w:lang w:val="en-GB"/>
        </w:rPr>
        <w:t>IRC</w:t>
      </w:r>
      <w:r w:rsidR="004A7284" w:rsidRPr="00D34106">
        <w:rPr>
          <w:i w:val="0"/>
          <w:iCs w:val="0"/>
          <w:color w:val="auto"/>
          <w:vertAlign w:val="subscript"/>
          <w:lang w:val="en-GB"/>
        </w:rPr>
        <w:t>inter_intra</w:t>
      </w:r>
      <w:proofErr w:type="spellEnd"/>
      <w:r w:rsidR="004A7284" w:rsidRPr="00D34106">
        <w:rPr>
          <w:i w:val="0"/>
          <w:iCs w:val="0"/>
          <w:color w:val="auto"/>
          <w:vertAlign w:val="subscript"/>
          <w:lang w:val="en-GB"/>
        </w:rPr>
        <w:t xml:space="preserve"> </w:t>
      </w:r>
      <w:r w:rsidR="004A7284" w:rsidRPr="00D34106">
        <w:rPr>
          <w:i w:val="0"/>
          <w:iCs w:val="0"/>
          <w:color w:val="auto"/>
          <w:lang w:val="en-GB"/>
        </w:rPr>
        <w:t xml:space="preserve">(diamond). It </w:t>
      </w:r>
      <w:r w:rsidR="004A7284" w:rsidRPr="00D34106">
        <w:rPr>
          <w:i w:val="0"/>
          <w:iCs w:val="0"/>
          <w:noProof/>
          <w:color w:val="auto"/>
          <w:lang w:val="en-US"/>
        </w:rPr>
        <w:t xml:space="preserve">includes as </w:t>
      </w:r>
      <w:r w:rsidR="00D34106" w:rsidRPr="00D34106">
        <w:rPr>
          <w:i w:val="0"/>
          <w:iCs w:val="0"/>
          <w:noProof/>
          <w:color w:val="auto"/>
          <w:lang w:val="en-US"/>
        </w:rPr>
        <w:t xml:space="preserve">a </w:t>
      </w:r>
      <w:r w:rsidR="004A7284" w:rsidRPr="00D34106">
        <w:rPr>
          <w:i w:val="0"/>
          <w:iCs w:val="0"/>
          <w:noProof/>
          <w:color w:val="auto"/>
          <w:lang w:val="en-US"/>
        </w:rPr>
        <w:t>seed the top 15 edges</w:t>
      </w:r>
    </w:p>
    <w:p w14:paraId="44747A25" w14:textId="0284EEFA" w:rsidR="007C6163" w:rsidRDefault="007C6163">
      <w:pPr>
        <w:spacing w:line="259" w:lineRule="auto"/>
        <w:rPr>
          <w:lang w:val="en-GB"/>
        </w:rPr>
      </w:pPr>
      <w:r>
        <w:rPr>
          <w:lang w:val="en-GB"/>
        </w:rPr>
        <w:br w:type="page"/>
      </w:r>
    </w:p>
    <w:p w14:paraId="33385456" w14:textId="12CA0260" w:rsidR="00CA3A4C" w:rsidRDefault="00CA3A4C" w:rsidP="00CA3A4C">
      <w:pPr>
        <w:rPr>
          <w:b/>
          <w:bCs/>
          <w:sz w:val="24"/>
          <w:szCs w:val="24"/>
          <w:lang w:val="en-GB"/>
        </w:rPr>
      </w:pPr>
      <w:r w:rsidRPr="005142DB">
        <w:rPr>
          <w:b/>
          <w:bCs/>
          <w:sz w:val="24"/>
          <w:szCs w:val="24"/>
          <w:lang w:val="en-GB"/>
        </w:rPr>
        <w:lastRenderedPageBreak/>
        <w:t>Description of the studies</w:t>
      </w:r>
      <w:r w:rsidR="005142DB" w:rsidRPr="005142DB">
        <w:rPr>
          <w:b/>
          <w:bCs/>
          <w:sz w:val="24"/>
          <w:szCs w:val="24"/>
          <w:lang w:val="en-GB"/>
        </w:rPr>
        <w:t xml:space="preserve"> in the MPA</w:t>
      </w:r>
    </w:p>
    <w:p w14:paraId="3AE43A0C" w14:textId="7F490C8E"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&lt;EndNote&gt;&lt;Cite&gt;&lt;Author&gt;Buchmann&lt;/Author&gt;&lt;Year&gt;2002&lt;/Year&gt;&lt;RecNum&gt;1832&lt;/RecNum&gt;&lt;DisplayText&gt;Buchmann, Pattinson, &amp;amp; Nyathikazi, 2002&lt;/DisplayText&gt;&lt;record&gt;&lt;rec-number&gt;1832&lt;/rec-number&gt;&lt;foreign-keys&gt;&lt;key app="EN" db-id="fs9tzaewcs0w5hex9rmvxrsipvf5dpsvst5f" timestamp="1685088420"&gt;1832&lt;/key&gt;&lt;/foreign-keys&gt;&lt;ref-type name="Journal Article"&gt;17&lt;/ref-type&gt;&lt;contributors&gt;&lt;authors&gt;&lt;author&gt;Buchmann, E. J.&lt;/author&gt;&lt;author&gt;Pattinson, R. C.&lt;/author&gt;&lt;author&gt;Nyathikazi, N.&lt;/author&gt;&lt;/authors&gt;&lt;/contributors&gt;&lt;titles&gt;&lt;title&gt;Intrapartum-related birth asphyxia in South Africa - Lessons from the First National Perinatal Care Survey&lt;/title&gt;&lt;secondary-title&gt;Samj South African Medical Journal&lt;/secondary-title&gt;&lt;/titles&gt;&lt;periodical&gt;&lt;full-title&gt;Samj South African Medical Journal&lt;/full-title&gt;&lt;/periodical&gt;&lt;pages&gt;897-901&lt;/pages&gt;&lt;volume&gt;92&lt;/volume&gt;&lt;number&gt;11&lt;/number&gt;&lt;dates&gt;&lt;year&gt;2002&lt;/year&gt;&lt;pub-dates&gt;&lt;date&gt;Nov&lt;/date&gt;&lt;/pub-dates&gt;&lt;/dates&gt;&lt;isbn&gt;0256-9574&lt;/isbn&gt;&lt;accession-num&gt;WOS:000179516100034&lt;/accession-num&gt;&lt;urls&gt;&lt;related-urls&gt;&lt;url&gt;&amp;lt;Go to ISI&amp;gt;://WOS:000179516100034&lt;/url&gt;&lt;/related-urls&gt;&lt;/urls&gt;&lt;/record&gt;&lt;/Cite&gt;&lt;/EndNote&gt;</w:instrText>
      </w:r>
      <w:r>
        <w:rPr>
          <w:rFonts w:cs="Times New Roman"/>
          <w:b/>
          <w:bCs/>
          <w:lang w:val="en-GB"/>
        </w:rPr>
        <w:fldChar w:fldCharType="separate"/>
      </w:r>
      <w:r>
        <w:rPr>
          <w:rFonts w:cs="Times New Roman"/>
          <w:b/>
          <w:bCs/>
          <w:noProof/>
          <w:lang w:val="en-GB"/>
        </w:rPr>
        <w:t>Buchmann, Pattinson, &amp; Nyathikazi, 2002</w:t>
      </w:r>
      <w:r>
        <w:rPr>
          <w:rFonts w:cs="Times New Roman"/>
          <w:b/>
          <w:bCs/>
          <w:lang w:val="en-GB"/>
        </w:rPr>
        <w:fldChar w:fldCharType="end"/>
      </w:r>
      <w:r w:rsidR="00C07395" w:rsidRPr="00C07395">
        <w:rPr>
          <w:rFonts w:cs="Times New Roman"/>
          <w:b/>
          <w:bCs/>
          <w:lang w:val="en-GB"/>
        </w:rPr>
        <w:t xml:space="preserve"> (node 353_2002)</w:t>
      </w:r>
    </w:p>
    <w:p w14:paraId="192AB37F" w14:textId="77777777" w:rsidR="007C6163" w:rsidRPr="007C6163" w:rsidRDefault="007C6163" w:rsidP="007C6163">
      <w:pPr>
        <w:rPr>
          <w:rFonts w:cs="Times New Roman"/>
          <w:lang w:val="en-GB"/>
        </w:rPr>
      </w:pPr>
      <w:r w:rsidRPr="007C6163">
        <w:rPr>
          <w:rFonts w:cs="Times New Roman"/>
          <w:lang w:val="en-GB"/>
        </w:rPr>
        <w:t>The study uses data from the Perinatal Problem Identification Programme (PPIP) in South Africa to describe the contribution of intrapartum-related birth asphyxia to total perinatal mortality for the year 2000. This event accounted for 4.8 deaths per 1000 births. Labour-related asphyxia, as the most important obstetric cause, accounted for 73% of deaths related to intrapartum-related birth asphyxia, and maternal delay in seeking attention during labour was the most important preventable factor (for about 37% of deaths).</w:t>
      </w:r>
    </w:p>
    <w:p w14:paraId="287E56F1" w14:textId="77777777" w:rsidR="007C6163" w:rsidRDefault="007C6163" w:rsidP="007C6163">
      <w:pPr>
        <w:rPr>
          <w:rFonts w:cs="Times New Roman"/>
          <w:lang w:val="en-GB"/>
        </w:rPr>
      </w:pPr>
      <w:r w:rsidRPr="007C6163">
        <w:rPr>
          <w:rFonts w:cs="Times New Roman"/>
          <w:lang w:val="en-GB"/>
        </w:rPr>
        <w:t>In addition to the important statistics on intrapartum-related birth asphyxia, the paper highlights the importance of having the PPIP to audit perinatal deaths.</w:t>
      </w:r>
    </w:p>
    <w:p w14:paraId="2DD3BB7F" w14:textId="1BDACD8A" w:rsidR="00C07395" w:rsidRPr="00F40C1D" w:rsidRDefault="009C01C1" w:rsidP="007C6163">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&lt;EndNote&gt;&lt;Cite&gt;&lt;Author&gt;Buchmann&lt;/Author&gt;&lt;Year&gt;2006&lt;/Year&gt;&lt;RecNum&gt;1835&lt;/RecNum&gt;&lt;DisplayText&gt;Buchmann &amp;amp; Pattinson, 2006&lt;/DisplayText&gt;&lt;record&gt;&lt;rec-number&gt;1835&lt;/rec-number&gt;&lt;foreign-keys&gt;&lt;key app="EN" db-id="fs9tzaewcs0w5hex9rmvxrsipvf5dpsvst5f" timestamp="1685353070"&gt;1835&lt;/key&gt;&lt;/foreign-keys&gt;&lt;ref-type name="Journal Article"&gt;17&lt;/ref-type&gt;&lt;contributors&gt;&lt;authors&gt;&lt;author&gt;Buchmann, E. J.&lt;/author&gt;&lt;author&gt;Pattinson, R. C.&lt;/author&gt;&lt;/authors&gt;&lt;/contributors&gt;&lt;titles&gt;&lt;title&gt;Babies who die from labour-related intrapartum hypoxia: a confidential enquiry in South African public hospitals&lt;/title&gt;&lt;secondary-title&gt;Tropical Doctor&lt;/secondary-title&gt;&lt;/titles&gt;&lt;periodical&gt;&lt;full-title&gt;Tropical Doctor&lt;/full-title&gt;&lt;/periodical&gt;&lt;pages&gt;8-10&lt;/pages&gt;&lt;volume&gt;36&lt;/volume&gt;&lt;number&gt;1&lt;/number&gt;&lt;dates&gt;&lt;year&gt;2006&lt;/year&gt;&lt;pub-dates&gt;&lt;date&gt;Jan&lt;/date&gt;&lt;/pub-dates&gt;&lt;/dates&gt;&lt;isbn&gt;0049-4755&lt;/isbn&gt;&lt;accession-num&gt;WOS:000235276000003&lt;/accession-num&gt;&lt;urls&gt;&lt;related-urls&gt;&lt;url&gt;&amp;lt;Go to ISI&amp;gt;://WOS:000235276000003&lt;/url&gt;&lt;/related-urls&gt;&lt;/urls&gt;&lt;electronic-resource-num&gt;10.1258/004947506775598879&lt;/electronic-resource-num&gt;&lt;/record&gt;&lt;/Cite&gt;&lt;/EndNote&gt;</w:instrText>
      </w:r>
      <w:r>
        <w:rPr>
          <w:rFonts w:cs="Times New Roman"/>
          <w:b/>
          <w:bCs/>
          <w:lang w:val="en-GB"/>
        </w:rPr>
        <w:fldChar w:fldCharType="separate"/>
      </w:r>
      <w:r>
        <w:rPr>
          <w:rFonts w:cs="Times New Roman"/>
          <w:b/>
          <w:bCs/>
          <w:noProof/>
          <w:lang w:val="en-GB"/>
        </w:rPr>
        <w:t>Buchmann &amp; Pattinson, 2006</w:t>
      </w:r>
      <w:r>
        <w:rPr>
          <w:rFonts w:cs="Times New Roman"/>
          <w:b/>
          <w:bCs/>
          <w:lang w:val="en-GB"/>
        </w:rPr>
        <w:fldChar w:fldCharType="end"/>
      </w:r>
      <w:r w:rsidR="00C07395" w:rsidRPr="00F40C1D">
        <w:rPr>
          <w:rFonts w:cs="Times New Roman"/>
          <w:b/>
          <w:bCs/>
          <w:lang w:val="en-GB"/>
        </w:rPr>
        <w:t xml:space="preserve"> (node 537_2006)</w:t>
      </w:r>
    </w:p>
    <w:p w14:paraId="6EEBEC38" w14:textId="46E08955" w:rsidR="00D84C74" w:rsidRDefault="00D84C74" w:rsidP="00C07395">
      <w:pPr>
        <w:rPr>
          <w:rFonts w:cs="Times New Roman"/>
          <w:lang w:val="en-GB"/>
        </w:rPr>
      </w:pPr>
      <w:r w:rsidRPr="00D84C74">
        <w:rPr>
          <w:rFonts w:cs="Times New Roman"/>
          <w:lang w:val="en-GB"/>
        </w:rPr>
        <w:t>The following study is a continuation of the previous. The authors' aim was to identify more clearly the events leading to perinatal death from intrapartum hypoxia. In this study, data sheets in a confidential enquiry format were sent to hospitals</w:t>
      </w:r>
      <w:r w:rsidR="0042312B">
        <w:rPr>
          <w:rFonts w:cs="Times New Roman"/>
          <w:lang w:val="en-GB"/>
        </w:rPr>
        <w:t>,</w:t>
      </w:r>
      <w:r w:rsidRPr="00D84C74">
        <w:rPr>
          <w:rFonts w:cs="Times New Roman"/>
          <w:lang w:val="en-GB"/>
        </w:rPr>
        <w:t xml:space="preserve"> </w:t>
      </w:r>
      <w:r w:rsidR="0042312B">
        <w:rPr>
          <w:rFonts w:cs="Times New Roman"/>
          <w:lang w:val="en-GB"/>
        </w:rPr>
        <w:t>which</w:t>
      </w:r>
      <w:r w:rsidRPr="00D84C74">
        <w:rPr>
          <w:rFonts w:cs="Times New Roman"/>
          <w:lang w:val="en-GB"/>
        </w:rPr>
        <w:t xml:space="preserve"> agreed to participate in the study, to obtain information on each death caused by labour-related intrapartum hypoxia. Considering various aspects - labour, foetal monitoring, neonatal resuscitation, staff, facilities</w:t>
      </w:r>
      <w:r w:rsidR="0042312B">
        <w:rPr>
          <w:rFonts w:cs="Times New Roman"/>
          <w:lang w:val="en-GB"/>
        </w:rPr>
        <w:t>,</w:t>
      </w:r>
      <w:r w:rsidRPr="00D84C74">
        <w:rPr>
          <w:rFonts w:cs="Times New Roman"/>
          <w:lang w:val="en-GB"/>
        </w:rPr>
        <w:t xml:space="preserve"> and mode of delivery - the authors concluded that “</w:t>
      </w:r>
      <w:r>
        <w:rPr>
          <w:rFonts w:cs="Times New Roman"/>
          <w:lang w:val="en-GB"/>
        </w:rPr>
        <w:t>L</w:t>
      </w:r>
      <w:r w:rsidRPr="00D84C74">
        <w:rPr>
          <w:rFonts w:cs="Times New Roman"/>
          <w:lang w:val="en-GB"/>
        </w:rPr>
        <w:t>abour-related intrapartum hypoxia is a common and preventable cause of perinatal death in South Africa, and the majority of these deaths occur in low-risk situations where labour appears to proceed normally”. The authors point out that adequate foetal heart rate monitoring in women in labour is crucial to prevent the high mortality rate.</w:t>
      </w:r>
    </w:p>
    <w:p w14:paraId="7DDF4D83" w14:textId="21040A0E"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&lt;EndNote&gt;&lt;Cite&gt;&lt;Author&gt;Velaphi&lt;/Author&gt;&lt;Year&gt;2007&lt;/Year&gt;&lt;RecNum&gt;1861&lt;/RecNum&gt;&lt;DisplayText&gt;Velaphi &amp;amp; Pattinson, 2007&lt;/DisplayText&gt;&lt;record&gt;&lt;rec-number&gt;1861&lt;/rec-number&gt;&lt;foreign-keys&gt;&lt;key app="EN" db-id="fs9tzaewcs0w5hex9rmvxrsipvf5dpsvst5f" timestamp="1689263149"&gt;1861&lt;/key&gt;&lt;/foreign-keys&gt;&lt;ref-type name="Journal Article"&gt;17&lt;/ref-type&gt;&lt;contributors&gt;&lt;authors&gt;&lt;author&gt;Velaphi, S.&lt;/author&gt;&lt;author&gt;Pattinson, R.&lt;/author&gt;&lt;/authors&gt;&lt;/contributors&gt;&lt;titles&gt;&lt;title&gt;Avoidable factors and causes of neonatal deaths from perinatal asphyxia-hypoxia in South Africa: national perinatal survey&lt;/title&gt;&lt;secondary-title&gt;Annals of Tropical Paediatrics&lt;/secondary-title&gt;&lt;/titles&gt;&lt;periodical&gt;&lt;full-title&gt;Annals of Tropical Paediatrics&lt;/full-title&gt;&lt;/periodical&gt;&lt;pages&gt;99-106&lt;/pages&gt;&lt;volume&gt;27&lt;/volume&gt;&lt;number&gt;2&lt;/number&gt;&lt;dates&gt;&lt;year&gt;2007&lt;/year&gt;&lt;pub-dates&gt;&lt;date&gt;Jun&lt;/date&gt;&lt;/pub-dates&gt;&lt;/dates&gt;&lt;isbn&gt;0272-4936&lt;/isbn&gt;&lt;accession-num&gt;WOS:000247165800002&lt;/accession-num&gt;&lt;urls&gt;&lt;related-urls&gt;&lt;url&gt;&amp;lt;Go to ISI&amp;gt;://WOS:000247165800002&lt;/url&gt;&lt;/related-urls&gt;&lt;/urls&gt;&lt;electronic-resource-num&gt;10.1179/146532807x192462&lt;/electronic-resource-num&gt;&lt;/record&gt;&lt;/Cite&gt;&lt;/EndNote&gt;</w:instrText>
      </w:r>
      <w:r>
        <w:rPr>
          <w:rFonts w:cs="Times New Roman"/>
          <w:b/>
          <w:bCs/>
          <w:lang w:val="en-GB"/>
        </w:rPr>
        <w:fldChar w:fldCharType="separate"/>
      </w:r>
      <w:r>
        <w:rPr>
          <w:rFonts w:cs="Times New Roman"/>
          <w:b/>
          <w:bCs/>
          <w:noProof/>
          <w:lang w:val="en-GB"/>
        </w:rPr>
        <w:t>Velaphi &amp; Pattinson, 2007</w:t>
      </w:r>
      <w:r>
        <w:rPr>
          <w:rFonts w:cs="Times New Roman"/>
          <w:b/>
          <w:bCs/>
          <w:lang w:val="en-GB"/>
        </w:rPr>
        <w:fldChar w:fldCharType="end"/>
      </w:r>
      <w:r w:rsidR="00C07395" w:rsidRPr="00C07395">
        <w:rPr>
          <w:rFonts w:cs="Times New Roman"/>
          <w:b/>
          <w:bCs/>
          <w:lang w:val="en-GB"/>
        </w:rPr>
        <w:t xml:space="preserve"> (node 484_2007)</w:t>
      </w:r>
    </w:p>
    <w:p w14:paraId="7AAD9BFD" w14:textId="1043B4E3" w:rsidR="00C07395" w:rsidRPr="00C07395" w:rsidRDefault="00D84C74" w:rsidP="00C07395">
      <w:pPr>
        <w:rPr>
          <w:rFonts w:cs="Times New Roman"/>
          <w:lang w:val="en-GB"/>
        </w:rPr>
      </w:pPr>
      <w:r w:rsidRPr="00D84C74">
        <w:rPr>
          <w:rFonts w:cs="Times New Roman"/>
          <w:lang w:val="en-GB"/>
        </w:rPr>
        <w:t xml:space="preserve">Based on the high rate of perinatal mortality in South Africa due to intrapartum asphyxia (4.8/1000 births) reported in the previous study </w:t>
      </w:r>
      <w:r w:rsidR="00C07395" w:rsidRPr="00C07395">
        <w:rPr>
          <w:rFonts w:cs="Times New Roman"/>
          <w:lang w:val="en-GB"/>
        </w:rPr>
        <w:t xml:space="preserve">(Buchmann, Pattinson, &amp; </w:t>
      </w:r>
      <w:proofErr w:type="spellStart"/>
      <w:r w:rsidR="00C07395" w:rsidRPr="00C07395">
        <w:rPr>
          <w:rFonts w:cs="Times New Roman"/>
          <w:lang w:val="en-GB"/>
        </w:rPr>
        <w:t>Nyathikazi</w:t>
      </w:r>
      <w:proofErr w:type="spellEnd"/>
      <w:r w:rsidR="00C07395" w:rsidRPr="00C07395">
        <w:rPr>
          <w:rFonts w:cs="Times New Roman"/>
          <w:lang w:val="en-GB"/>
        </w:rPr>
        <w:t xml:space="preserve">, 2002), </w:t>
      </w:r>
      <w:r w:rsidR="007200E4" w:rsidRPr="007200E4">
        <w:rPr>
          <w:rFonts w:cs="Times New Roman"/>
          <w:lang w:val="en-GB"/>
        </w:rPr>
        <w:t>the authors analysed the primary obstetric causes of neonatal deaths due to asphyxia-hypoxia, the final causes of neonatal death in infants born asphyxiated, and the avoidable factors. The results showed that intrapartum asphyxia was the most important obstetric cause (accounting for more than 60% of all neonatal deaths due to asphyxia-hypoxia). Hypoxic-ischaemic encephalopathy, meconium aspiration syndrome and persistent pulmonary hypertension of the newborn were identified as the main final causes of death in infants born asphyxiated. Finally, the study found that among the avoidable factors, those related to health workers were the most common. 13% of deaths from asphyxia-hypoxia could have been avoided if there had been adequate foetal monitoring. Among administrative problems, inadequate facilities in neonatal units and lack of transport were the most prominent (both accounted for 4.6% of all deaths).</w:t>
      </w:r>
      <w:r w:rsidR="008D68F4">
        <w:rPr>
          <w:rFonts w:cs="Times New Roman"/>
          <w:lang w:val="en-GB"/>
        </w:rPr>
        <w:t xml:space="preserve"> Also, d</w:t>
      </w:r>
      <w:r w:rsidR="007200E4" w:rsidRPr="007200E4">
        <w:rPr>
          <w:rFonts w:cs="Times New Roman"/>
          <w:lang w:val="en-GB"/>
        </w:rPr>
        <w:t xml:space="preserve">elay in </w:t>
      </w:r>
      <w:r w:rsidR="007200E4" w:rsidRPr="007200E4">
        <w:rPr>
          <w:rFonts w:cs="Times New Roman"/>
          <w:lang w:val="en-GB"/>
        </w:rPr>
        <w:lastRenderedPageBreak/>
        <w:t>seeking medical help during labour (a patient–related factor) in 111 patients resulted in 7.6 % of deaths.</w:t>
      </w:r>
    </w:p>
    <w:p w14:paraId="2C497375" w14:textId="17F2ED9F"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&lt;EndNote&gt;&lt;Cite&gt;&lt;Author&gt;Buchmann&lt;/Author&gt;&lt;Year&gt;2009&lt;/Year&gt;&lt;RecNum&gt;1836&lt;/RecNum&gt;&lt;DisplayText&gt;Buchmann &amp;amp; Velaphi, 2009&lt;/DisplayText&gt;&lt;record&gt;&lt;rec-number&gt;1836&lt;/rec-number&gt;&lt;foreign-keys&gt;&lt;key app="EN" db-id="fs9tzaewcs0w5hex9rmvxrsipvf5dpsvst5f" timestamp="1685358134"&gt;1836&lt;/key&gt;&lt;/foreign-keys&gt;&lt;ref-type name="Journal Article"&gt;17&lt;/ref-type&gt;&lt;contributors&gt;&lt;authors&gt;&lt;author&gt;Buchmann, E. J.&lt;/author&gt;&lt;author&gt;Velaphi, S. C.&lt;/author&gt;&lt;/authors&gt;&lt;/contributors&gt;&lt;titles&gt;&lt;title&gt;Confidential enquiries into hypoxic ischaemic encephalopathy&lt;/title&gt;&lt;secondary-title&gt;Best Practice &amp;amp; Research Clinical Obstetrics &amp;amp; Gynaecology&lt;/secondary-title&gt;&lt;/titles&gt;&lt;periodical&gt;&lt;full-title&gt;Best Practice &amp;amp; Research Clinical Obstetrics &amp;amp; Gynaecology&lt;/full-title&gt;&lt;/periodical&gt;&lt;pages&gt;357-368&lt;/pages&gt;&lt;volume&gt;23&lt;/volume&gt;&lt;number&gt;3&lt;/number&gt;&lt;dates&gt;&lt;year&gt;2009&lt;/year&gt;&lt;pub-dates&gt;&lt;date&gt;Jun&lt;/date&gt;&lt;/pub-dates&gt;&lt;/dates&gt;&lt;isbn&gt;1521-6934&lt;/isbn&gt;&lt;accession-num&gt;WOS:000266539200008&lt;/accession-num&gt;&lt;urls&gt;&lt;related-urls&gt;&lt;url&gt;&amp;lt;Go to ISI&amp;gt;://WOS:000266539200008&lt;/url&gt;&lt;/related-urls&gt;&lt;/urls&gt;&lt;electronic-resource-num&gt;10.1016/j.bpobgyn.2008.12.004&lt;/electronic-resource-num&gt;&lt;/record&gt;&lt;/Cite&gt;&lt;/EndNote&gt;</w:instrText>
      </w:r>
      <w:r>
        <w:rPr>
          <w:rFonts w:cs="Times New Roman"/>
          <w:b/>
          <w:bCs/>
          <w:lang w:val="en-GB"/>
        </w:rPr>
        <w:fldChar w:fldCharType="separate"/>
      </w:r>
      <w:r>
        <w:rPr>
          <w:rFonts w:cs="Times New Roman"/>
          <w:b/>
          <w:bCs/>
          <w:noProof/>
          <w:lang w:val="en-GB"/>
        </w:rPr>
        <w:t>Buchmann &amp; Velaphi, 2009</w:t>
      </w:r>
      <w:r>
        <w:rPr>
          <w:rFonts w:cs="Times New Roman"/>
          <w:b/>
          <w:bCs/>
          <w:lang w:val="en-GB"/>
        </w:rPr>
        <w:fldChar w:fldCharType="end"/>
      </w:r>
      <w:r w:rsidR="00C07395" w:rsidRPr="00C07395">
        <w:rPr>
          <w:rFonts w:cs="Times New Roman"/>
          <w:b/>
          <w:bCs/>
          <w:lang w:val="en-GB"/>
        </w:rPr>
        <w:t xml:space="preserve"> (node 611_2009)</w:t>
      </w:r>
    </w:p>
    <w:p w14:paraId="18DF26A6" w14:textId="099175A5" w:rsidR="00C07395" w:rsidRPr="00C07395" w:rsidRDefault="00C07395" w:rsidP="00C07395">
      <w:pPr>
        <w:rPr>
          <w:rFonts w:cs="Times New Roman"/>
          <w:lang w:val="en-GB"/>
        </w:rPr>
      </w:pPr>
      <w:r w:rsidRPr="00C07395">
        <w:rPr>
          <w:rFonts w:cs="Times New Roman"/>
          <w:lang w:val="en-GB"/>
        </w:rPr>
        <w:t xml:space="preserve">The findings </w:t>
      </w:r>
      <w:r w:rsidR="00691D1E">
        <w:rPr>
          <w:rFonts w:cs="Times New Roman"/>
          <w:lang w:val="en-GB"/>
        </w:rPr>
        <w:t>of</w:t>
      </w:r>
      <w:r w:rsidRPr="00C07395">
        <w:rPr>
          <w:rFonts w:cs="Times New Roman"/>
          <w:lang w:val="en-GB"/>
        </w:rPr>
        <w:t xml:space="preserve"> </w:t>
      </w:r>
      <w:proofErr w:type="spellStart"/>
      <w:r w:rsidRPr="00C07395">
        <w:rPr>
          <w:rFonts w:cs="Times New Roman"/>
          <w:lang w:val="en-GB"/>
        </w:rPr>
        <w:t>Velaphi</w:t>
      </w:r>
      <w:proofErr w:type="spellEnd"/>
      <w:r w:rsidRPr="00C07395">
        <w:rPr>
          <w:rFonts w:cs="Times New Roman"/>
          <w:lang w:val="en-GB"/>
        </w:rPr>
        <w:t xml:space="preserve"> &amp; Pattinson, 2007 </w:t>
      </w:r>
      <w:r w:rsidR="00691D1E">
        <w:rPr>
          <w:rFonts w:cs="Times New Roman"/>
          <w:lang w:val="en-GB"/>
        </w:rPr>
        <w:t>led</w:t>
      </w:r>
      <w:r w:rsidR="00691D1E" w:rsidRPr="00691D1E">
        <w:rPr>
          <w:rFonts w:cs="Times New Roman"/>
          <w:lang w:val="en-GB"/>
        </w:rPr>
        <w:t xml:space="preserve"> the authors of this study to advocate for an audit of hypoxic ischemic encephalopathy (HEI) aimed at identifying its clinical causes, associated suboptimal care and avoidable factors. The authors propose an audit based on confidential inquiries and discuss the aspects that should be considered in this type of tool so that the results provide valuable insights for clinical practise. In suggesting the topics to be addressed, the authors mention the pre-conceptual, </w:t>
      </w:r>
      <w:proofErr w:type="gramStart"/>
      <w:r w:rsidR="00691D1E" w:rsidRPr="00691D1E">
        <w:rPr>
          <w:rFonts w:cs="Times New Roman"/>
          <w:lang w:val="en-GB"/>
        </w:rPr>
        <w:t>antepartum</w:t>
      </w:r>
      <w:proofErr w:type="gramEnd"/>
      <w:r w:rsidR="00691D1E" w:rsidRPr="00691D1E">
        <w:rPr>
          <w:rFonts w:cs="Times New Roman"/>
          <w:lang w:val="en-GB"/>
        </w:rPr>
        <w:t xml:space="preserve"> and intrapartum factors and the elements of suboptimal care found in previous studies, including those mentioned by</w:t>
      </w:r>
      <w:r w:rsidR="00691D1E">
        <w:rPr>
          <w:rFonts w:cs="Times New Roman"/>
          <w:lang w:val="en-GB"/>
        </w:rPr>
        <w:t xml:space="preserve"> </w:t>
      </w:r>
      <w:r w:rsidRPr="00C07395">
        <w:rPr>
          <w:rFonts w:cs="Times New Roman"/>
          <w:lang w:val="en-GB"/>
        </w:rPr>
        <w:t xml:space="preserve">Buchmann &amp; Pattinson, 2006. </w:t>
      </w:r>
    </w:p>
    <w:p w14:paraId="43DA6B4C" w14:textId="648C22F5"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&lt;EndNote&gt;&lt;Cite&gt;&lt;Author&gt;Pattinson&lt;/Author&gt;&lt;Year&gt;2009&lt;/Year&gt;&lt;RecNum&gt;1837&lt;/RecNum&gt;&lt;DisplayText&gt;Pattinson et al., 2009&lt;/DisplayText&gt;&lt;record&gt;&lt;rec-number&gt;1837&lt;/rec-number&gt;&lt;foreign-keys&gt;&lt;key app="EN" db-id="fs9tzaewcs0w5hex9rmvxrsipvf5dpsvst5f" timestamp="1685363232"&gt;1837&lt;/key&gt;&lt;/foreign-keys&gt;&lt;ref-type name="Journal Article"&gt;17&lt;/ref-type&gt;&lt;contributors&gt;&lt;authors&gt;&lt;author&gt;Pattinson, R.&lt;/author&gt;&lt;author&gt;Kerber, K.&lt;/author&gt;&lt;author&gt;Waiswa, P.&lt;/author&gt;&lt;author&gt;Day, L. T.&lt;/author&gt;&lt;author&gt;Mussell, F.&lt;/author&gt;&lt;author&gt;Asiruddin, S.&lt;/author&gt;&lt;author&gt;Blencowe, H.&lt;/author&gt;&lt;author&gt;Lawn, J. E.&lt;/author&gt;&lt;/authors&gt;&lt;/contributors&gt;&lt;titles&gt;&lt;title&gt;Perinatal mortality audit: Counting, accountability, and overcoming challenges in scaling up in low- and middle-income countries&lt;/title&gt;&lt;secondary-title&gt;International Journal of Gynecology &amp;amp; Obstetrics&lt;/secondary-title&gt;&lt;/titles&gt;&lt;periodical&gt;&lt;full-title&gt;International Journal of Gynecology &amp;amp; Obstetrics&lt;/full-title&gt;&lt;/periodical&gt;&lt;pages&gt;S113-S122&lt;/pages&gt;&lt;volume&gt;107&lt;/volume&gt;&lt;dates&gt;&lt;year&gt;2009&lt;/year&gt;&lt;pub-dates&gt;&lt;date&gt;Oct&lt;/date&gt;&lt;/pub-dates&gt;&lt;/dates&gt;&lt;isbn&gt;0020-7292&lt;/isbn&gt;&lt;accession-num&gt;WOS:000271178200007&lt;/accession-num&gt;&lt;urls&gt;&lt;related-urls&gt;&lt;url&gt;&amp;lt;Go to ISI&amp;gt;://WOS:000271178200007&lt;/url&gt;&lt;/related-urls&gt;&lt;/urls&gt;&lt;electronic-resource-num&gt;10.1016/j.ijgo.2009.07.011&lt;/electronic-resource-num&gt;&lt;/record&gt;&lt;/Cite&gt;&lt;/EndNote&gt;</w:instrText>
      </w:r>
      <w:r>
        <w:rPr>
          <w:rFonts w:cs="Times New Roman"/>
          <w:b/>
          <w:bCs/>
          <w:lang w:val="en-GB"/>
        </w:rPr>
        <w:fldChar w:fldCharType="separate"/>
      </w:r>
      <w:r>
        <w:rPr>
          <w:rFonts w:cs="Times New Roman"/>
          <w:b/>
          <w:bCs/>
          <w:noProof/>
          <w:lang w:val="en-GB"/>
        </w:rPr>
        <w:t>Pattinson et al., 2009</w:t>
      </w:r>
      <w:r>
        <w:rPr>
          <w:rFonts w:cs="Times New Roman"/>
          <w:b/>
          <w:bCs/>
          <w:lang w:val="en-GB"/>
        </w:rPr>
        <w:fldChar w:fldCharType="end"/>
      </w:r>
      <w:r w:rsidR="00C07395" w:rsidRPr="00C07395">
        <w:rPr>
          <w:rFonts w:cs="Times New Roman"/>
          <w:b/>
          <w:bCs/>
          <w:lang w:val="en-GB"/>
        </w:rPr>
        <w:t xml:space="preserve"> (node </w:t>
      </w:r>
      <w:bookmarkStart w:id="4" w:name="_Hlk140830249"/>
      <w:r w:rsidR="00C07395" w:rsidRPr="00C07395">
        <w:rPr>
          <w:rFonts w:cs="Times New Roman"/>
          <w:b/>
          <w:bCs/>
          <w:lang w:val="en-GB"/>
        </w:rPr>
        <w:t>55_2009</w:t>
      </w:r>
      <w:bookmarkEnd w:id="4"/>
      <w:r w:rsidR="00C07395" w:rsidRPr="00C07395">
        <w:rPr>
          <w:rFonts w:cs="Times New Roman"/>
          <w:b/>
          <w:bCs/>
          <w:lang w:val="en-GB"/>
        </w:rPr>
        <w:t>)</w:t>
      </w:r>
    </w:p>
    <w:p w14:paraId="531B6991" w14:textId="14A1AD43" w:rsidR="00687CF2" w:rsidRDefault="00687CF2" w:rsidP="00C07395">
      <w:pPr>
        <w:rPr>
          <w:rFonts w:cs="Times New Roman"/>
          <w:lang w:val="en-GB"/>
        </w:rPr>
      </w:pPr>
      <w:r w:rsidRPr="00687CF2">
        <w:rPr>
          <w:rFonts w:cs="Times New Roman"/>
          <w:lang w:val="en-GB"/>
        </w:rPr>
        <w:t xml:space="preserve">The study addresses the use of perinatal mortality audits in LMICs. Using a systematic literature review on this topic in low- and middle-income settings, the authors highlighted the positive impact of such a tool in reducing perinatal mortality. In discussing the challenges of designing and implementing perinatal mortality audits in a national setting, South Africa is used </w:t>
      </w:r>
      <w:r w:rsidR="00B54BCE">
        <w:rPr>
          <w:rFonts w:cs="Times New Roman"/>
          <w:lang w:val="en-GB"/>
        </w:rPr>
        <w:t>in</w:t>
      </w:r>
      <w:r w:rsidRPr="00687CF2">
        <w:rPr>
          <w:rFonts w:cs="Times New Roman"/>
          <w:lang w:val="en-GB"/>
        </w:rPr>
        <w:t xml:space="preserve"> one of the case studies, highlighting the PPIP mentioned in previous studies and its benefits. The authors conclude that perinatal mortality audits in low-resource settings have great potential and appear to be feasible at the community level.</w:t>
      </w:r>
    </w:p>
    <w:p w14:paraId="67A28304" w14:textId="7F1ACA17"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&lt;EndNote&gt;&lt;Cite&gt;&lt;Author&gt;Lawn&lt;/Author&gt;&lt;Year&gt;2009&lt;/Year&gt;&lt;RecNum&gt;1838&lt;/RecNum&gt;&lt;DisplayText&gt;Lawn et al., 2009&lt;/DisplayText&gt;&lt;record&gt;&lt;rec-number&gt;1838&lt;/rec-number&gt;&lt;foreign-keys&gt;&lt;key app="EN" db-id="fs9tzaewcs0w5hex9rmvxrsipvf5dpsvst5f" timestamp="1685440575"&gt;1838&lt;/key&gt;&lt;/foreign-keys&gt;&lt;ref-type name="Journal Article"&gt;17&lt;/ref-type&gt;&lt;contributors&gt;&lt;authors&gt;&lt;author&gt;Lawn, J. E.&lt;/author&gt;&lt;author&gt;Kinney, M.&lt;/author&gt;&lt;author&gt;Lee, A. C. C.&lt;/author&gt;&lt;author&gt;Chopra, M.&lt;/author&gt;&lt;author&gt;Donnay, F.&lt;/author&gt;&lt;author&gt;Paul, V. K.&lt;/author&gt;&lt;author&gt;Bhutta, Z. A.&lt;/author&gt;&lt;author&gt;Bateman, M.&lt;/author&gt;&lt;author&gt;Darmstadt, G. L.&lt;/author&gt;&lt;/authors&gt;&lt;/contributors&gt;&lt;titles&gt;&lt;title&gt;Reducing intrapartum-related deaths and disability: Can the health system deliver?&lt;/title&gt;&lt;secondary-title&gt;International Journal of Gynecology &amp;amp; Obstetrics&lt;/secondary-title&gt;&lt;/titles&gt;&lt;periodical&gt;&lt;full-title&gt;International Journal of Gynecology &amp;amp; Obstetrics&lt;/full-title&gt;&lt;/periodical&gt;&lt;pages&gt;S123-S142&lt;/pages&gt;&lt;volume&gt;107&lt;/volume&gt;&lt;dates&gt;&lt;year&gt;2009&lt;/year&gt;&lt;pub-dates&gt;&lt;date&gt;Oct&lt;/date&gt;&lt;/pub-dates&gt;&lt;/dates&gt;&lt;isbn&gt;0020-7292&lt;/isbn&gt;&lt;accession-num&gt;WOS:000271178200008&lt;/accession-num&gt;&lt;urls&gt;&lt;related-urls&gt;&lt;url&gt;&lt;style face="underline" font="default" size="100%"&gt;&amp;lt;Go to ISI&amp;gt;://WOS:000271178200008&lt;/style&gt;&lt;/url&gt;&lt;/related-urls&gt;&lt;/urls&gt;&lt;electronic-resource-num&gt;10.1016/j.ijgo.2009.07.021&lt;/electronic-resource-num&gt;&lt;/record&gt;&lt;/Cite&gt;&lt;/EndNote&gt;</w:instrText>
      </w:r>
      <w:r>
        <w:rPr>
          <w:rFonts w:cs="Times New Roman"/>
          <w:b/>
          <w:bCs/>
          <w:lang w:val="en-GB"/>
        </w:rPr>
        <w:fldChar w:fldCharType="separate"/>
      </w:r>
      <w:r>
        <w:rPr>
          <w:rFonts w:cs="Times New Roman"/>
          <w:b/>
          <w:bCs/>
          <w:noProof/>
          <w:lang w:val="en-GB"/>
        </w:rPr>
        <w:t>Lawn et al., 2009</w:t>
      </w:r>
      <w:r>
        <w:rPr>
          <w:rFonts w:cs="Times New Roman"/>
          <w:b/>
          <w:bCs/>
          <w:lang w:val="en-GB"/>
        </w:rPr>
        <w:fldChar w:fldCharType="end"/>
      </w:r>
      <w:r w:rsidR="00C07395" w:rsidRPr="00C07395">
        <w:rPr>
          <w:rFonts w:cs="Times New Roman"/>
          <w:b/>
          <w:bCs/>
          <w:lang w:val="en-GB"/>
        </w:rPr>
        <w:t xml:space="preserve"> (node 40_2009)</w:t>
      </w:r>
    </w:p>
    <w:p w14:paraId="60892E42" w14:textId="7E9D2CC0" w:rsidR="00C07395" w:rsidRDefault="00687CF2" w:rsidP="00C07395">
      <w:pPr>
        <w:rPr>
          <w:rFonts w:cs="Times New Roman"/>
          <w:lang w:val="en-GB"/>
        </w:rPr>
      </w:pPr>
      <w:r w:rsidRPr="00687CF2">
        <w:rPr>
          <w:rFonts w:cs="Times New Roman"/>
          <w:lang w:val="en-GB"/>
        </w:rPr>
        <w:t>The study summarises the evidence on interventions to reduce intrapartum stillbirths and intrapartum-related neonatal deaths based on a systematic review of nearly 30 000 article titles or abstracts. For 193 countries grouped by neonatal mortality (which is considered an indicator of a health system), information is presented on various aspects of intrapartum care</w:t>
      </w:r>
      <w:r w:rsidR="000B479F">
        <w:rPr>
          <w:rFonts w:cs="Times New Roman"/>
          <w:lang w:val="en-GB"/>
        </w:rPr>
        <w:t xml:space="preserve">, </w:t>
      </w:r>
      <w:r w:rsidRPr="00687CF2">
        <w:rPr>
          <w:rFonts w:cs="Times New Roman"/>
          <w:lang w:val="en-GB"/>
        </w:rPr>
        <w:t xml:space="preserve">obstetric care, neonatal resuscitation, strategies to link communities to facility-based care, community-based care for 60 million non-facility births, and perinatal audits as described in the previous study </w:t>
      </w:r>
      <w:r w:rsidR="00C07395" w:rsidRPr="00C07395">
        <w:rPr>
          <w:rFonts w:cs="Times New Roman"/>
          <w:lang w:val="en-GB"/>
        </w:rPr>
        <w:t xml:space="preserve">(Pattinson et al., 2009), </w:t>
      </w:r>
      <w:r w:rsidRPr="00687CF2">
        <w:rPr>
          <w:rFonts w:cs="Times New Roman"/>
          <w:lang w:val="en-GB"/>
        </w:rPr>
        <w:t xml:space="preserve">focusing on countries in the groups that have high neonatal mortality (African and Asian countries). The authors concluded that intrapartum care needs improvement in high performing countries (wealthy countries). For the countries where most deaths occur (mainly Africa and Asia), the authors emphasise the need for urgent strategic planning and investment to scale up effective care at birth, neonatal </w:t>
      </w:r>
      <w:r w:rsidR="00B00B0C" w:rsidRPr="00687CF2">
        <w:rPr>
          <w:rFonts w:cs="Times New Roman"/>
          <w:lang w:val="en-GB"/>
        </w:rPr>
        <w:t>resuscitation,</w:t>
      </w:r>
      <w:r w:rsidRPr="00687CF2">
        <w:rPr>
          <w:rFonts w:cs="Times New Roman"/>
          <w:lang w:val="en-GB"/>
        </w:rPr>
        <w:t xml:space="preserve"> and community mobilisation. Finally, they stress the crucial role of audits as a strategy to reduce perinatal mortality.</w:t>
      </w:r>
      <w:r w:rsidR="00C07395" w:rsidRPr="00C07395">
        <w:rPr>
          <w:rFonts w:cs="Times New Roman"/>
          <w:lang w:val="en-GB"/>
        </w:rPr>
        <w:t xml:space="preserve"> </w:t>
      </w:r>
    </w:p>
    <w:p w14:paraId="58ED5B01" w14:textId="77777777" w:rsidR="00687CF2" w:rsidRPr="00C07395" w:rsidRDefault="00687CF2" w:rsidP="00C07395">
      <w:pPr>
        <w:rPr>
          <w:rFonts w:cs="Times New Roman"/>
          <w:lang w:val="en-GB"/>
        </w:rPr>
      </w:pPr>
    </w:p>
    <w:p w14:paraId="09C072D8" w14:textId="3B73F167" w:rsidR="00C07395" w:rsidRPr="00C07395" w:rsidRDefault="009C01C1" w:rsidP="00C07395">
      <w:pPr>
        <w:rPr>
          <w:rFonts w:cs="Times New Roman"/>
          <w:b/>
          <w:bCs/>
          <w:lang w:val="en-GB"/>
        </w:rPr>
      </w:pPr>
      <w:r>
        <w:rPr>
          <w:rFonts w:cs="Times New Roman"/>
          <w:b/>
          <w:bCs/>
          <w:lang w:val="en-GB"/>
        </w:rPr>
        <w:lastRenderedPageBreak/>
        <w:fldChar w:fldCharType="begin"/>
      </w:r>
      <w:r>
        <w:rPr>
          <w:rFonts w:cs="Times New Roman"/>
          <w:b/>
          <w:bCs/>
          <w:lang w:val="en-GB"/>
        </w:rPr>
        <w:instrText xml:space="preserve"> ADDIN EN.CITE &lt;EndNote&gt;&lt;Cite&gt;&lt;Author&gt;Lawn&lt;/Author&gt;&lt;Year&gt;2006&lt;/Year&gt;&lt;RecNum&gt;1856&lt;/RecNum&gt;&lt;DisplayText&gt;Lawn, Wilczynska-Ketende, &amp;amp; Cousens, 2006&lt;/DisplayText&gt;&lt;record&gt;&lt;rec-number&gt;1856&lt;/rec-number&gt;&lt;foreign-keys&gt;&lt;key app="EN" db-id="fs9tzaewcs0w5hex9rmvxrsipvf5dpsvst5f" timestamp="1689241189"&gt;1856&lt;/key&gt;&lt;/foreign-keys&gt;&lt;ref-type name="Journal Article"&gt;17&lt;/ref-type&gt;&lt;contributors&gt;&lt;authors&gt;&lt;author&gt;Lawn, J. E.&lt;/author&gt;&lt;author&gt;Wilczynska-Ketende, K.&lt;/author&gt;&lt;author&gt;Cousens, S. N.&lt;/author&gt;&lt;/authors&gt;&lt;/contributors&gt;&lt;titles&gt;&lt;title&gt;Estimating the causes of 4 million neonatal deaths in the year 2000&lt;/title&gt;&lt;secondary-title&gt;International Journal of Epidemiology&lt;/secondary-title&gt;&lt;/titles&gt;&lt;periodical&gt;&lt;full-title&gt;International Journal of Epidemiology&lt;/full-title&gt;&lt;/periodical&gt;&lt;pages&gt;706-718&lt;/pages&gt;&lt;volume&gt;35&lt;/volume&gt;&lt;number&gt;3&lt;/number&gt;&lt;dates&gt;&lt;year&gt;2006&lt;/year&gt;&lt;pub-dates&gt;&lt;date&gt;Jun&lt;/date&gt;&lt;/pub-dates&gt;&lt;/dates&gt;&lt;isbn&gt;0300-5771&lt;/isbn&gt;&lt;accession-num&gt;WOS:000238763100046&lt;/accession-num&gt;&lt;urls&gt;&lt;related-urls&gt;&lt;url&gt;&amp;lt;Go to ISI&amp;gt;://WOS:000238763100046&lt;/url&gt;&lt;/related-urls&gt;&lt;/urls&gt;&lt;electronic-resource-num&gt;10.1093/ije/dyl043&lt;/electronic-resource-num&gt;&lt;/record&gt;&lt;/Cite&gt;&lt;/EndNote&gt;</w:instrText>
      </w:r>
      <w:r>
        <w:rPr>
          <w:rFonts w:cs="Times New Roman"/>
          <w:b/>
          <w:bCs/>
          <w:lang w:val="en-GB"/>
        </w:rPr>
        <w:fldChar w:fldCharType="separate"/>
      </w:r>
      <w:r>
        <w:rPr>
          <w:rFonts w:cs="Times New Roman"/>
          <w:b/>
          <w:bCs/>
          <w:noProof/>
          <w:lang w:val="en-GB"/>
        </w:rPr>
        <w:t>Lawn, Wilczynska-Ketende, &amp; Cousens, 2006</w:t>
      </w:r>
      <w:r>
        <w:rPr>
          <w:rFonts w:cs="Times New Roman"/>
          <w:b/>
          <w:bCs/>
          <w:lang w:val="en-GB"/>
        </w:rPr>
        <w:fldChar w:fldCharType="end"/>
      </w:r>
      <w:r w:rsidR="00C07395" w:rsidRPr="00C07395">
        <w:rPr>
          <w:rFonts w:cs="Times New Roman"/>
          <w:b/>
          <w:bCs/>
          <w:lang w:val="en-GB"/>
        </w:rPr>
        <w:t xml:space="preserve"> (node 18_2006)</w:t>
      </w:r>
    </w:p>
    <w:p w14:paraId="2E137299" w14:textId="1DBDFB23" w:rsidR="00424704" w:rsidRPr="00C07395" w:rsidRDefault="008C2A6D" w:rsidP="00C07395">
      <w:pPr>
        <w:rPr>
          <w:rFonts w:cs="Times New Roman"/>
          <w:lang w:val="en-GB"/>
        </w:rPr>
      </w:pPr>
      <w:r w:rsidRPr="008C2A6D">
        <w:rPr>
          <w:rFonts w:cs="Times New Roman"/>
          <w:lang w:val="en-GB"/>
        </w:rPr>
        <w:t xml:space="preserve">The study highlights the high mortality rate of infants in the first 4 weeks of life and the need to develop strategies to reduce this burden. However, successful strategies can only be developed if information on the main causes of neonatal deaths is available. While there are tools to collect this information in rich countries, such as vital registration, information on causes of death is lacking in LMICs, where 99% of deaths occur, because there are no data collection tools. Therefore, </w:t>
      </w:r>
      <w:r>
        <w:rPr>
          <w:rFonts w:cs="Times New Roman"/>
          <w:lang w:val="en-GB"/>
        </w:rPr>
        <w:t xml:space="preserve">the authors used </w:t>
      </w:r>
      <w:r w:rsidRPr="008C2A6D">
        <w:rPr>
          <w:rFonts w:cs="Times New Roman"/>
          <w:lang w:val="en-GB"/>
        </w:rPr>
        <w:t xml:space="preserve">estimates to produce statistics on the main causes of death. In 2000, the authors estimated that the leading causes of neonatal death worldwide were infections (sepsis/pneumonia, </w:t>
      </w:r>
      <w:proofErr w:type="gramStart"/>
      <w:r w:rsidRPr="008C2A6D">
        <w:rPr>
          <w:rFonts w:cs="Times New Roman"/>
          <w:lang w:val="en-GB"/>
        </w:rPr>
        <w:t>tetanus</w:t>
      </w:r>
      <w:proofErr w:type="gramEnd"/>
      <w:r w:rsidRPr="008C2A6D">
        <w:rPr>
          <w:rFonts w:cs="Times New Roman"/>
          <w:lang w:val="en-GB"/>
        </w:rPr>
        <w:t xml:space="preserve"> and diarrhoea, 35%), preterm birth (28%) and asphyxia (23%). In Africa, sepsis/pneumonia, </w:t>
      </w:r>
      <w:proofErr w:type="gramStart"/>
      <w:r w:rsidRPr="008C2A6D">
        <w:rPr>
          <w:rFonts w:cs="Times New Roman"/>
          <w:lang w:val="en-GB"/>
        </w:rPr>
        <w:t>asphyxia</w:t>
      </w:r>
      <w:proofErr w:type="gramEnd"/>
      <w:r w:rsidRPr="008C2A6D">
        <w:rPr>
          <w:rFonts w:cs="Times New Roman"/>
          <w:lang w:val="en-GB"/>
        </w:rPr>
        <w:t xml:space="preserve"> and preterm birth were responsible for 27%, 24% and 23% of total neonatal deaths in 2000.</w:t>
      </w:r>
    </w:p>
    <w:p w14:paraId="77CC6864" w14:textId="0B7485A3"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&lt;EndNote&gt;&lt;Cite&gt;&lt;Author&gt;Black&lt;/Author&gt;&lt;Year&gt;2010&lt;/Year&gt;&lt;RecNum&gt;1857&lt;/RecNum&gt;&lt;DisplayText&gt;Black et al., 2010&lt;/DisplayText&gt;&lt;record&gt;&lt;rec-number&gt;1857&lt;/rec-number&gt;&lt;foreign-keys&gt;&lt;key app="EN" db-id="fs9tzaewcs0w5hex9rmvxrsipvf5dpsvst5f" timestamp="1689245798"&gt;1857&lt;/key&gt;&lt;/foreign-keys&gt;&lt;ref-type name="Journal Article"&gt;17&lt;/ref-type&gt;&lt;contributors&gt;&lt;authors&gt;&lt;author&gt;Black, R. E.&lt;/author&gt;&lt;author&gt;Cousens, S.&lt;/author&gt;&lt;author&gt;Johnson, H. L.&lt;/author&gt;&lt;author&gt;Lawn, J. E.&lt;/author&gt;&lt;author&gt;Rudan, I.&lt;/author&gt;&lt;author&gt;Bassani, D. G.&lt;/author&gt;&lt;author&gt;Jha, P.&lt;/author&gt;&lt;author&gt;Campbell, H.&lt;/author&gt;&lt;author&gt;Walker, C. F.&lt;/author&gt;&lt;author&gt;Cibulskis, R.&lt;/author&gt;&lt;author&gt;Eisele, T.&lt;/author&gt;&lt;author&gt;Liu, L.&lt;/author&gt;&lt;author&gt;Mathers, C.&lt;/author&gt;&lt;author&gt;Who, Unicef&lt;/author&gt;&lt;/authors&gt;&lt;/contributors&gt;&lt;titles&gt;&lt;title&gt;Global, regional, and national causes of child mortality in 2008: a systematic analysis&lt;/title&gt;&lt;secondary-title&gt;Lancet&lt;/secondary-title&gt;&lt;/titles&gt;&lt;periodical&gt;&lt;full-title&gt;Lancet&lt;/full-title&gt;&lt;/periodical&gt;&lt;pages&gt;1969-1987&lt;/pages&gt;&lt;volume&gt;375&lt;/volume&gt;&lt;number&gt;9730&lt;/number&gt;&lt;dates&gt;&lt;year&gt;2010&lt;/year&gt;&lt;pub-dates&gt;&lt;date&gt;Jun&lt;/date&gt;&lt;/pub-dates&gt;&lt;/dates&gt;&lt;isbn&gt;0140-6736&lt;/isbn&gt;&lt;accession-num&gt;WOS:000278689600026&lt;/accession-num&gt;&lt;urls&gt;&lt;related-urls&gt;&lt;url&gt;&amp;lt;Go to ISI&amp;gt;://WOS:000278689600026&lt;/url&gt;&lt;/related-urls&gt;&lt;/urls&gt;&lt;electronic-resource-num&gt;10.1016/s0140-6736(10)60549-1&lt;/electronic-resource-num&gt;&lt;/record&gt;&lt;/Cite&gt;&lt;/EndNote&gt;</w:instrText>
      </w:r>
      <w:r>
        <w:rPr>
          <w:rFonts w:cs="Times New Roman"/>
          <w:b/>
          <w:bCs/>
          <w:lang w:val="en-GB"/>
        </w:rPr>
        <w:fldChar w:fldCharType="separate"/>
      </w:r>
      <w:r>
        <w:rPr>
          <w:rFonts w:cs="Times New Roman"/>
          <w:b/>
          <w:bCs/>
          <w:noProof/>
          <w:lang w:val="en-GB"/>
        </w:rPr>
        <w:t>Black et al., 2010</w:t>
      </w:r>
      <w:r>
        <w:rPr>
          <w:rFonts w:cs="Times New Roman"/>
          <w:b/>
          <w:bCs/>
          <w:lang w:val="en-GB"/>
        </w:rPr>
        <w:fldChar w:fldCharType="end"/>
      </w:r>
      <w:r w:rsidR="00C07395" w:rsidRPr="00C07395">
        <w:rPr>
          <w:rFonts w:cs="Times New Roman"/>
          <w:b/>
          <w:bCs/>
          <w:lang w:val="en-GB"/>
        </w:rPr>
        <w:t xml:space="preserve"> (node 6_2010)</w:t>
      </w:r>
    </w:p>
    <w:p w14:paraId="77CDB40B" w14:textId="2A111FA6" w:rsidR="00C07395" w:rsidRPr="00C07395" w:rsidRDefault="008C2A6D" w:rsidP="00C07395">
      <w:pPr>
        <w:rPr>
          <w:rFonts w:cs="Times New Roman"/>
          <w:lang w:val="en-GB"/>
        </w:rPr>
      </w:pPr>
      <w:r w:rsidRPr="008C2A6D">
        <w:rPr>
          <w:rFonts w:cs="Times New Roman"/>
          <w:lang w:val="en-GB"/>
        </w:rPr>
        <w:t xml:space="preserve">The authors recognised the importance of having estimates of the main causes of death in children under 5 years of age if we are to define interventions that target these causes. In this study, statistics show that in 2008, 68% of all deaths in children younger than 5 years worldwide were due to infectious diseases, and 41% of deaths involved neonates. Based on the model of </w:t>
      </w:r>
      <w:r w:rsidR="00C07395" w:rsidRPr="00C07395">
        <w:rPr>
          <w:rFonts w:cs="Times New Roman"/>
          <w:lang w:val="en-GB"/>
        </w:rPr>
        <w:t xml:space="preserve">Lawn, </w:t>
      </w:r>
      <w:proofErr w:type="spellStart"/>
      <w:r w:rsidR="00C07395" w:rsidRPr="00C07395">
        <w:rPr>
          <w:rFonts w:cs="Times New Roman"/>
          <w:lang w:val="en-GB"/>
        </w:rPr>
        <w:t>Wilczynska-Ketende</w:t>
      </w:r>
      <w:proofErr w:type="spellEnd"/>
      <w:r w:rsidR="00C07395" w:rsidRPr="00C07395">
        <w:rPr>
          <w:rFonts w:cs="Times New Roman"/>
          <w:lang w:val="en-GB"/>
        </w:rPr>
        <w:t xml:space="preserve">, &amp; Cousens, 2006 </w:t>
      </w:r>
      <w:r w:rsidRPr="008C2A6D">
        <w:rPr>
          <w:rFonts w:cs="Times New Roman"/>
          <w:lang w:val="en-GB"/>
        </w:rPr>
        <w:t xml:space="preserve">(the study mentioned above), the authors estimated that preterm birth complications, birth asphyxia, sepsis and pneumonia were the leading causes of neonatal deaths (12%, 9%, 6% and 4%, respectively). They also found that most deaths occurred in Africa and </w:t>
      </w:r>
      <w:r w:rsidR="006119D2">
        <w:rPr>
          <w:rFonts w:cs="Times New Roman"/>
          <w:lang w:val="en-GB"/>
        </w:rPr>
        <w:t>Southeast</w:t>
      </w:r>
      <w:r w:rsidRPr="008C2A6D">
        <w:rPr>
          <w:rFonts w:cs="Times New Roman"/>
          <w:lang w:val="en-GB"/>
        </w:rPr>
        <w:t xml:space="preserve"> Asia. 50% of all child deaths occurred in India, Nigeria, the Democratic Republic of Congo, </w:t>
      </w:r>
      <w:proofErr w:type="gramStart"/>
      <w:r w:rsidRPr="008C2A6D">
        <w:rPr>
          <w:rFonts w:cs="Times New Roman"/>
          <w:lang w:val="en-GB"/>
        </w:rPr>
        <w:t>Pakistan</w:t>
      </w:r>
      <w:proofErr w:type="gramEnd"/>
      <w:r w:rsidRPr="008C2A6D">
        <w:rPr>
          <w:rFonts w:cs="Times New Roman"/>
          <w:lang w:val="en-GB"/>
        </w:rPr>
        <w:t xml:space="preserve"> and China.</w:t>
      </w:r>
      <w:r w:rsidR="00C07395" w:rsidRPr="00C07395">
        <w:rPr>
          <w:rFonts w:cs="Times New Roman"/>
          <w:lang w:val="en-GB"/>
        </w:rPr>
        <w:t xml:space="preserve"> </w:t>
      </w:r>
    </w:p>
    <w:p w14:paraId="2981039B" w14:textId="58556BBD"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&lt;EndNote&gt;&lt;Cite&gt;&lt;Author&gt;Baiden&lt;/Author&gt;&lt;Year&gt;2006&lt;/Year&gt;&lt;RecNum&gt;1858&lt;/RecNum&gt;&lt;DisplayText&gt;Baiden et al., 2006&lt;/DisplayText&gt;&lt;record&gt;&lt;rec-number&gt;1858&lt;/rec-number&gt;&lt;foreign-keys&gt;&lt;key app="EN" db-id="fs9tzaewcs0w5hex9rmvxrsipvf5dpsvst5f" timestamp="1689245824"&gt;1858&lt;/key&gt;&lt;/foreign-keys&gt;&lt;ref-type name="Journal Article"&gt;17&lt;/ref-type&gt;&lt;contributors&gt;&lt;authors&gt;&lt;author&gt;Baiden, F.&lt;/author&gt;&lt;author&gt;Hodgson, A.&lt;/author&gt;&lt;author&gt;Adjuik, M.&lt;/author&gt;&lt;author&gt;Adongo, P.&lt;/author&gt;&lt;author&gt;Ayaga, B.&lt;/author&gt;&lt;author&gt;Binka, F.&lt;/author&gt;&lt;/authors&gt;&lt;/contributors&gt;&lt;titles&gt;&lt;title&gt;Trend and causes of neonatal mortality in the Kassena-Nankana district of northern Ghana, 1995-2002&lt;/title&gt;&lt;secondary-title&gt;Tropical Medicine &amp;amp; International Health&lt;/secondary-title&gt;&lt;/titles&gt;&lt;periodical&gt;&lt;full-title&gt;Tropical Medicine &amp;amp; International Health&lt;/full-title&gt;&lt;/periodical&gt;&lt;pages&gt;532-539&lt;/pages&gt;&lt;volume&gt;11&lt;/volume&gt;&lt;number&gt;4&lt;/number&gt;&lt;dates&gt;&lt;year&gt;2006&lt;/year&gt;&lt;pub-dates&gt;&lt;date&gt;Apr&lt;/date&gt;&lt;/pub-dates&gt;&lt;/dates&gt;&lt;isbn&gt;1360-2276&lt;/isbn&gt;&lt;accession-num&gt;WOS:000236220300017&lt;/accession-num&gt;&lt;urls&gt;&lt;related-urls&gt;&lt;url&gt;&amp;lt;Go to ISI&amp;gt;://WOS:000236220300017&lt;/url&gt;&lt;/related-urls&gt;&lt;/urls&gt;&lt;electronic-resource-num&gt;10.1111/j.1365-3156.2006.01582.x&lt;/electronic-resource-num&gt;&lt;/record&gt;&lt;/Cite&gt;&lt;/EndNote&gt;</w:instrText>
      </w:r>
      <w:r>
        <w:rPr>
          <w:rFonts w:cs="Times New Roman"/>
          <w:b/>
          <w:bCs/>
          <w:lang w:val="en-GB"/>
        </w:rPr>
        <w:fldChar w:fldCharType="separate"/>
      </w:r>
      <w:r>
        <w:rPr>
          <w:rFonts w:cs="Times New Roman"/>
          <w:b/>
          <w:bCs/>
          <w:noProof/>
          <w:lang w:val="en-GB"/>
        </w:rPr>
        <w:t>Baiden et al., 2006</w:t>
      </w:r>
      <w:r>
        <w:rPr>
          <w:rFonts w:cs="Times New Roman"/>
          <w:b/>
          <w:bCs/>
          <w:lang w:val="en-GB"/>
        </w:rPr>
        <w:fldChar w:fldCharType="end"/>
      </w:r>
      <w:r w:rsidR="00C07395" w:rsidRPr="00C07395">
        <w:rPr>
          <w:rFonts w:cs="Times New Roman"/>
          <w:b/>
          <w:bCs/>
          <w:lang w:val="en-GB"/>
        </w:rPr>
        <w:t xml:space="preserve"> (node 151_2006)</w:t>
      </w:r>
    </w:p>
    <w:p w14:paraId="3D11269A" w14:textId="27CE0508" w:rsidR="00BA587F" w:rsidRDefault="00BA587F" w:rsidP="00C07395">
      <w:pPr>
        <w:rPr>
          <w:rFonts w:cs="Times New Roman"/>
          <w:lang w:val="en-GB"/>
        </w:rPr>
      </w:pPr>
      <w:r w:rsidRPr="00BA587F">
        <w:rPr>
          <w:rFonts w:cs="Times New Roman"/>
          <w:lang w:val="en-GB"/>
        </w:rPr>
        <w:t>The study recognises that a two-thirds reduction in under-five mortality between 1990 and 2015 is only possible if strategies are in place to address the major causes of death in sub-Saharan Africa (</w:t>
      </w:r>
      <w:r w:rsidR="006119D2">
        <w:rPr>
          <w:rFonts w:cs="Times New Roman"/>
          <w:lang w:val="en-GB"/>
        </w:rPr>
        <w:t xml:space="preserve">SSA, </w:t>
      </w:r>
      <w:r w:rsidRPr="00BA587F">
        <w:rPr>
          <w:rFonts w:cs="Times New Roman"/>
          <w:lang w:val="en-GB"/>
        </w:rPr>
        <w:t xml:space="preserve">the region where most deaths occur). However, there is a lack of information on the main causes of death in this region because the systems to collect the data have not yet been established. Using the Demographic Surveillance System (DSS), which routinely conducts a </w:t>
      </w:r>
      <w:r>
        <w:rPr>
          <w:rFonts w:cs="Times New Roman"/>
          <w:lang w:val="en-GB"/>
        </w:rPr>
        <w:t>VA (</w:t>
      </w:r>
      <w:r w:rsidRPr="00BA587F">
        <w:rPr>
          <w:rFonts w:cs="Times New Roman"/>
          <w:lang w:val="en-GB"/>
        </w:rPr>
        <w:t xml:space="preserve">a method of asking the family of the dead infant about the characteristics of the child's final illness), the authors recorded 1118 neonatal deaths in </w:t>
      </w:r>
      <w:proofErr w:type="spellStart"/>
      <w:r w:rsidRPr="00BA587F">
        <w:rPr>
          <w:rFonts w:cs="Times New Roman"/>
          <w:lang w:val="en-GB"/>
        </w:rPr>
        <w:t>Kassena</w:t>
      </w:r>
      <w:proofErr w:type="spellEnd"/>
      <w:r w:rsidRPr="00BA587F">
        <w:rPr>
          <w:rFonts w:cs="Times New Roman"/>
          <w:lang w:val="en-GB"/>
        </w:rPr>
        <w:t xml:space="preserve">–Nankana District (KND) in northern Ghana between 1995 and 2002. Using this tool, the authors found that 63% of deaths occurred in the early neonatal period (first seven days of life) and 57% of deaths were due to prematurity and birth injuries. They also found that infectious causes were the main cause of late neonatal deaths (66% of all deaths). In this way, the authors identified the main causes of neonatal deaths in the district and enabled the development and implementation of strategies to </w:t>
      </w:r>
      <w:r w:rsidRPr="00BA587F">
        <w:rPr>
          <w:rFonts w:cs="Times New Roman"/>
          <w:lang w:val="en-GB"/>
        </w:rPr>
        <w:lastRenderedPageBreak/>
        <w:t>reduce mortality rates. They also showed how routinely collected data at DSS sites in sub-Saharan Africa can be used to assess trends in key demographic and health indicators.</w:t>
      </w:r>
    </w:p>
    <w:p w14:paraId="6388AF68" w14:textId="2BCED103"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&lt;EndNote&gt;&lt;Cite&gt;&lt;Author&gt;Edmond&lt;/Author&gt;&lt;Year&gt;2008&lt;/Year&gt;&lt;RecNum&gt;1859&lt;/RecNum&gt;&lt;DisplayText&gt;Edmond et al., 2008b&lt;/DisplayText&gt;&lt;record&gt;&lt;rec-number&gt;1859&lt;/rec-number&gt;&lt;foreign-keys&gt;&lt;key app="EN" db-id="fs9tzaewcs0w5hex9rmvxrsipvf5dpsvst5f" timestamp="1689251782"&gt;1859&lt;/key&gt;&lt;/foreign-keys&gt;&lt;ref-type name="Journal Article"&gt;17&lt;/ref-type&gt;&lt;contributors&gt;&lt;authors&gt;&lt;author&gt;Edmond, K. M.&lt;/author&gt;&lt;author&gt;Quigley, M. A.&lt;/author&gt;&lt;author&gt;Zandoh, C.&lt;/author&gt;&lt;author&gt;Danso, S.&lt;/author&gt;&lt;author&gt;Hurt, C.&lt;/author&gt;&lt;author&gt;Agyei, S. O.&lt;/author&gt;&lt;author&gt;Kirkwood, B. R.&lt;/author&gt;&lt;/authors&gt;&lt;/contributors&gt;&lt;titles&gt;&lt;title&gt;Diagnostic accuracy of verbal autopsies in ascertaining the causes of stillbirths and neonatal deaths in rural Ghana&lt;/title&gt;&lt;secondary-title&gt;Paediatric and Perinatal Epidemiology&lt;/secondary-title&gt;&lt;/titles&gt;&lt;periodical&gt;&lt;full-title&gt;Paediatric and Perinatal Epidemiology&lt;/full-title&gt;&lt;/periodical&gt;&lt;pages&gt;417-429&lt;/pages&gt;&lt;volume&gt;22&lt;/volume&gt;&lt;number&gt;5&lt;/number&gt;&lt;dates&gt;&lt;year&gt;2008&lt;/year&gt;&lt;pub-dates&gt;&lt;date&gt;Sep&lt;/date&gt;&lt;/pub-dates&gt;&lt;/dates&gt;&lt;isbn&gt;0269-5022&lt;/isbn&gt;&lt;accession-num&gt;WOS:000259263200003&lt;/accession-num&gt;&lt;urls&gt;&lt;related-urls&gt;&lt;url&gt;&amp;lt;Go to ISI&amp;gt;://WOS:000259263200003&lt;/url&gt;&lt;/related-urls&gt;&lt;/urls&gt;&lt;electronic-resource-num&gt;10.1111/j.1365-3016.2008.00962.x&lt;/electronic-resource-num&gt;&lt;/record&gt;&lt;/Cite&gt;&lt;/EndNote&gt;</w:instrText>
      </w:r>
      <w:r>
        <w:rPr>
          <w:rFonts w:cs="Times New Roman"/>
          <w:b/>
          <w:bCs/>
          <w:lang w:val="en-GB"/>
        </w:rPr>
        <w:fldChar w:fldCharType="separate"/>
      </w:r>
      <w:r>
        <w:rPr>
          <w:rFonts w:cs="Times New Roman"/>
          <w:b/>
          <w:bCs/>
          <w:noProof/>
          <w:lang w:val="en-GB"/>
        </w:rPr>
        <w:t>Edmond et al., 2008b</w:t>
      </w:r>
      <w:r>
        <w:rPr>
          <w:rFonts w:cs="Times New Roman"/>
          <w:b/>
          <w:bCs/>
          <w:lang w:val="en-GB"/>
        </w:rPr>
        <w:fldChar w:fldCharType="end"/>
      </w:r>
      <w:r w:rsidR="00C07395" w:rsidRPr="00C07395">
        <w:rPr>
          <w:rFonts w:cs="Times New Roman"/>
          <w:b/>
          <w:bCs/>
          <w:lang w:val="en-GB"/>
        </w:rPr>
        <w:t xml:space="preserve"> (node 100_2008)</w:t>
      </w:r>
    </w:p>
    <w:p w14:paraId="0DBE1EA6" w14:textId="3D6D32B6" w:rsidR="00C07395" w:rsidRPr="00C07395" w:rsidRDefault="006119D2" w:rsidP="00C07395">
      <w:pPr>
        <w:rPr>
          <w:rFonts w:cs="Times New Roman"/>
          <w:lang w:val="en-GB"/>
        </w:rPr>
      </w:pPr>
      <w:r w:rsidRPr="006119D2">
        <w:rPr>
          <w:rFonts w:cs="Times New Roman"/>
          <w:lang w:val="en-GB"/>
        </w:rPr>
        <w:t>Considering that estimating the causes of perinatal and neonatal deaths is essential for developing and evaluating the performance of maternal and newborn health programmes, the authors analysed the accuracy of VA as a tool for obtaining information on causes of death. They highlighted the importance of studies examining the main causes of neonatal deaths using VA as the previous one</w:t>
      </w:r>
      <w:r w:rsidR="00C07395" w:rsidRPr="00C07395">
        <w:rPr>
          <w:rFonts w:cs="Times New Roman"/>
          <w:lang w:val="en-GB"/>
        </w:rPr>
        <w:t xml:space="preserve"> (Baiden et al., 2006). </w:t>
      </w:r>
      <w:r w:rsidRPr="006119D2">
        <w:rPr>
          <w:rFonts w:cs="Times New Roman"/>
          <w:lang w:val="en-GB"/>
        </w:rPr>
        <w:t>However, they stressed that these studies should be complemented by research on the performance of such a technique if it is to be widely accepted in the community. The causes of death reported by VA were compared with those collected from the four hospitals in central Ghana. The authors used the classification system of causes of death in</w:t>
      </w:r>
      <w:r>
        <w:rPr>
          <w:rFonts w:cs="Times New Roman"/>
          <w:lang w:val="en-GB"/>
        </w:rPr>
        <w:t xml:space="preserve"> </w:t>
      </w:r>
      <w:r w:rsidR="00C07395" w:rsidRPr="00C07395">
        <w:rPr>
          <w:rFonts w:cs="Times New Roman"/>
          <w:lang w:val="en-GB"/>
        </w:rPr>
        <w:t xml:space="preserve">Lawn, </w:t>
      </w:r>
      <w:proofErr w:type="spellStart"/>
      <w:r w:rsidR="00C07395" w:rsidRPr="00C07395">
        <w:rPr>
          <w:rFonts w:cs="Times New Roman"/>
          <w:lang w:val="en-GB"/>
        </w:rPr>
        <w:t>Wilczynska-Ketende</w:t>
      </w:r>
      <w:proofErr w:type="spellEnd"/>
      <w:r w:rsidR="00C07395" w:rsidRPr="00C07395">
        <w:rPr>
          <w:rFonts w:cs="Times New Roman"/>
          <w:lang w:val="en-GB"/>
        </w:rPr>
        <w:t xml:space="preserve">, &amp; Cousens, 2006 </w:t>
      </w:r>
      <w:r w:rsidRPr="006119D2">
        <w:rPr>
          <w:rFonts w:cs="Times New Roman"/>
          <w:lang w:val="en-GB"/>
        </w:rPr>
        <w:t xml:space="preserve">and found that among the 502 stillbirths and neonatal deaths with a hospital and VA diagnosis, 94.0%, 84.8% and 98.4% of antepartum stillbirths, intrapartum stillbirths and neonatal deaths were correctly classified by VA according to the time of death. The VA performed poorly in diagnosing stillbirths such as congenital anomalies and maternal haemorrhage. Accuracy was higher for intrapartum obstetric complications and antepartum maternal disease. For neonatal deaths, sensitivity was over 60% for all major causes, </w:t>
      </w:r>
      <w:r w:rsidR="00B00B0C">
        <w:rPr>
          <w:rFonts w:cs="Times New Roman"/>
          <w:lang w:val="en-GB"/>
        </w:rPr>
        <w:t xml:space="preserve">and </w:t>
      </w:r>
      <w:r w:rsidRPr="006119D2">
        <w:rPr>
          <w:rFonts w:cs="Times New Roman"/>
          <w:lang w:val="en-GB"/>
        </w:rPr>
        <w:t>specificity was 76% for birth asphyxia but more than 85% for prematurity and infections.</w:t>
      </w:r>
    </w:p>
    <w:p w14:paraId="51AA6F11" w14:textId="63BF0715"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&lt;EndNote&gt;&lt;Cite&gt;&lt;Author&gt;Edmond&lt;/Author&gt;&lt;Year&gt;2008&lt;/Year&gt;&lt;RecNum&gt;1860&lt;/RecNum&gt;&lt;DisplayText&gt;Edmond et al., 2008a&lt;/DisplayText&gt;&lt;record&gt;&lt;rec-number&gt;1860&lt;/rec-number&gt;&lt;foreign-keys&gt;&lt;key app="EN" db-id="fs9tzaewcs0w5hex9rmvxrsipvf5dpsvst5f" timestamp="1689259100"&gt;1860&lt;/key&gt;&lt;/foreign-keys&gt;&lt;ref-type name="Journal Article"&gt;17&lt;/ref-type&gt;&lt;contributors&gt;&lt;authors&gt;&lt;author&gt;Edmond, K. M.&lt;/author&gt;&lt;author&gt;Quigley, M. A.&lt;/author&gt;&lt;author&gt;Zandoh, C.&lt;/author&gt;&lt;author&gt;Danso, S.&lt;/author&gt;&lt;author&gt;Hurt, C.&lt;/author&gt;&lt;author&gt;Agyei, S. O.&lt;/author&gt;&lt;author&gt;Kirkwood, B. R.&lt;/author&gt;&lt;/authors&gt;&lt;/contributors&gt;&lt;titles&gt;&lt;title&gt;Aetiology of stillbirths and neonatal deaths in rural Ghana: implications for health programming in developing countries&lt;/title&gt;&lt;secondary-title&gt;Paediatric and Perinatal Epidemiology&lt;/secondary-title&gt;&lt;/titles&gt;&lt;periodical&gt;&lt;full-title&gt;Paediatric and Perinatal Epidemiology&lt;/full-title&gt;&lt;/periodical&gt;&lt;pages&gt;430-437&lt;/pages&gt;&lt;volume&gt;22&lt;/volume&gt;&lt;number&gt;5&lt;/number&gt;&lt;dates&gt;&lt;year&gt;2008&lt;/year&gt;&lt;pub-dates&gt;&lt;date&gt;Sep&lt;/date&gt;&lt;/pub-dates&gt;&lt;/dates&gt;&lt;isbn&gt;0269-5022&lt;/isbn&gt;&lt;accession-num&gt;WOS:000259263200004&lt;/accession-num&gt;&lt;urls&gt;&lt;related-urls&gt;&lt;url&gt;&amp;lt;Go to ISI&amp;gt;://WOS:000259263200004&lt;/url&gt;&lt;/related-urls&gt;&lt;/urls&gt;&lt;electronic-resource-num&gt;10.1111/j.1365-3016.2008.00961.x&lt;/electronic-resource-num&gt;&lt;/record&gt;&lt;/Cite&gt;&lt;/EndNote&gt;</w:instrText>
      </w:r>
      <w:r>
        <w:rPr>
          <w:rFonts w:cs="Times New Roman"/>
          <w:b/>
          <w:bCs/>
          <w:lang w:val="en-GB"/>
        </w:rPr>
        <w:fldChar w:fldCharType="separate"/>
      </w:r>
      <w:r>
        <w:rPr>
          <w:rFonts w:cs="Times New Roman"/>
          <w:b/>
          <w:bCs/>
          <w:noProof/>
          <w:lang w:val="en-GB"/>
        </w:rPr>
        <w:t>Edmond et al., 2008a</w:t>
      </w:r>
      <w:r>
        <w:rPr>
          <w:rFonts w:cs="Times New Roman"/>
          <w:b/>
          <w:bCs/>
          <w:lang w:val="en-GB"/>
        </w:rPr>
        <w:fldChar w:fldCharType="end"/>
      </w:r>
      <w:r w:rsidR="00C07395" w:rsidRPr="00C07395">
        <w:rPr>
          <w:rFonts w:cs="Times New Roman"/>
          <w:b/>
          <w:bCs/>
          <w:lang w:val="en-GB"/>
        </w:rPr>
        <w:t xml:space="preserve"> (node 87_2008)</w:t>
      </w:r>
    </w:p>
    <w:p w14:paraId="7B79AC89" w14:textId="213F3F18" w:rsidR="00C07395" w:rsidRPr="00C07395" w:rsidRDefault="00CA4034" w:rsidP="00C07395">
      <w:pPr>
        <w:rPr>
          <w:rFonts w:cs="Times New Roman"/>
          <w:lang w:val="en-GB"/>
        </w:rPr>
      </w:pPr>
      <w:r w:rsidRPr="00CA4034">
        <w:rPr>
          <w:rFonts w:cs="Times New Roman"/>
          <w:lang w:val="en-GB"/>
        </w:rPr>
        <w:t>This study is a follow-up to the study by Edmond et al. (with the same authors), which aimed to describe the timing and distribution of causes of stillbirths and neonatal deaths according to the place of death (health facility or home). Using a community-level questionnaire VA (the revised version of the World Health Organisation), the study found that infections were the most common cause of death in the antepartum (10.1%) and the neonatal period (40.3%). The main cause of intrapartum deaths was obstetric complications (59.3 %). The authors found no significant differences in the causes of stillbirths in health facilities and at home. There were significantly fewer neonatal deaths due to birth asphyxia at home (20.8%) than in health facilities (44.8%) and more deaths due to infections (49.6% at home and 31.0% in health facilities).</w:t>
      </w:r>
    </w:p>
    <w:p w14:paraId="05DD0F84" w14:textId="1019F4F1"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&lt;EndNote&gt;&lt;Cite&gt;&lt;Author&gt;Lawn&lt;/Author&gt;&lt;Year&gt;2011&lt;/Year&gt;&lt;RecNum&gt;1839&lt;/RecNum&gt;&lt;DisplayText&gt;Lawn et al., 2011&lt;/DisplayText&gt;&lt;record&gt;&lt;rec-number&gt;1839&lt;/rec-number&gt;&lt;foreign-keys&gt;&lt;key app="EN" db-id="fs9tzaewcs0w5hex9rmvxrsipvf5dpsvst5f" timestamp="1685445271"&gt;1839&lt;/key&gt;&lt;/foreign-keys&gt;&lt;ref-type name="Journal Article"&gt;17&lt;/ref-type&gt;&lt;contributors&gt;&lt;authors&gt;&lt;author&gt;Lawn, J. E.&lt;/author&gt;&lt;author&gt;Blencowe, H.&lt;/author&gt;&lt;author&gt;Pattinson, R.&lt;/author&gt;&lt;author&gt;Cousens, S.&lt;/author&gt;&lt;author&gt;Kumar, R.&lt;/author&gt;&lt;author&gt;Ibiebele, I.&lt;/author&gt;&lt;author&gt;Gardosi, J.&lt;/author&gt;&lt;author&gt;Day, L. T.&lt;/author&gt;&lt;author&gt;Stanton, C.&lt;/author&gt;&lt;author&gt;Lancet&amp;apos;s Stillbirths Series, Steeri&lt;/author&gt;&lt;/authors&gt;&lt;/contributors&gt;&lt;titles&gt;&lt;title&gt;Stillbirths: Where? When? Why? How to make the data count?&lt;/title&gt;&lt;secondary-title&gt;Lancet&lt;/secondary-title&gt;&lt;/titles&gt;&lt;periodical&gt;&lt;full-title&gt;Lancet&lt;/full-title&gt;&lt;/periodical&gt;&lt;pages&gt;1448-1463&lt;/pages&gt;&lt;volume&gt;377&lt;/volume&gt;&lt;number&gt;9775&lt;/number&gt;&lt;dates&gt;&lt;year&gt;2011&lt;/year&gt;&lt;pub-dates&gt;&lt;date&gt;Apr&lt;/date&gt;&lt;/pub-dates&gt;&lt;/dates&gt;&lt;isbn&gt;0140-6736&lt;/isbn&gt;&lt;accession-num&gt;WOS:000289963000034&lt;/accession-num&gt;&lt;urls&gt;&lt;related-urls&gt;&lt;url&gt;&lt;style face="underline" font="default" size="100%"&gt;&amp;lt;Go to ISI&amp;gt;://WOS:000289963000034&lt;/style&gt;&lt;/url&gt;&lt;/related-urls&gt;&lt;/urls&gt;&lt;electronic-resource-num&gt;10.1016/s0140-6736(10)62187-3&lt;/electronic-resource-num&gt;&lt;/record&gt;&lt;/Cite&gt;&lt;/EndNote&gt;</w:instrText>
      </w:r>
      <w:r>
        <w:rPr>
          <w:rFonts w:cs="Times New Roman"/>
          <w:b/>
          <w:bCs/>
          <w:lang w:val="en-GB"/>
        </w:rPr>
        <w:fldChar w:fldCharType="separate"/>
      </w:r>
      <w:r>
        <w:rPr>
          <w:rFonts w:cs="Times New Roman"/>
          <w:b/>
          <w:bCs/>
          <w:noProof/>
          <w:lang w:val="en-GB"/>
        </w:rPr>
        <w:t>Lawn et al., 2011</w:t>
      </w:r>
      <w:r>
        <w:rPr>
          <w:rFonts w:cs="Times New Roman"/>
          <w:b/>
          <w:bCs/>
          <w:lang w:val="en-GB"/>
        </w:rPr>
        <w:fldChar w:fldCharType="end"/>
      </w:r>
      <w:r w:rsidR="00C07395" w:rsidRPr="00C07395">
        <w:rPr>
          <w:rFonts w:cs="Times New Roman"/>
          <w:b/>
          <w:bCs/>
          <w:lang w:val="en-GB"/>
        </w:rPr>
        <w:t xml:space="preserve"> (node 11_2011)</w:t>
      </w:r>
    </w:p>
    <w:p w14:paraId="0CA8E54B" w14:textId="0D856B76" w:rsidR="00C07395" w:rsidRPr="00C07395" w:rsidRDefault="00CA4034" w:rsidP="00C07395">
      <w:pPr>
        <w:rPr>
          <w:rFonts w:cs="Times New Roman"/>
          <w:lang w:val="en-GB"/>
        </w:rPr>
      </w:pPr>
      <w:r w:rsidRPr="00CA4034">
        <w:rPr>
          <w:rFonts w:cs="Times New Roman"/>
          <w:lang w:val="en-GB"/>
        </w:rPr>
        <w:t>The study by</w:t>
      </w:r>
      <w:r>
        <w:rPr>
          <w:rFonts w:cs="Times New Roman"/>
          <w:lang w:val="en-GB"/>
        </w:rPr>
        <w:t xml:space="preserve"> </w:t>
      </w:r>
      <w:r w:rsidR="00C07395" w:rsidRPr="00C07395">
        <w:rPr>
          <w:rFonts w:cs="Times New Roman"/>
          <w:lang w:val="en-GB"/>
        </w:rPr>
        <w:t xml:space="preserve">Lawn et al., </w:t>
      </w:r>
      <w:r w:rsidRPr="00CA4034">
        <w:rPr>
          <w:rFonts w:cs="Times New Roman"/>
          <w:lang w:val="en-GB"/>
        </w:rPr>
        <w:t xml:space="preserve">addressed the lack of information on stillbirths despite the enormous number of cases (about 2.65 million in 2008). The authors presented epidemiological data to identify interventions to reduce stillbirths, particularly in LMICs where 98% of stillbirths occur </w:t>
      </w:r>
      <w:r w:rsidRPr="00CA4034">
        <w:rPr>
          <w:rFonts w:cs="Times New Roman"/>
          <w:lang w:val="en-GB"/>
        </w:rPr>
        <w:lastRenderedPageBreak/>
        <w:t>in the third trimester (more than three-quarters of them in South Asia and SSA). Through the research, the authors: (1) identified gaps in the definition of stillbirths and provided their definition, (2) noted the lack of national estimates of causes of stillbirths (here they mention the critical role of national estimates of neonatal causes of death in reducing deaths, as reported in</w:t>
      </w:r>
      <w:r>
        <w:rPr>
          <w:rFonts w:cs="Times New Roman"/>
          <w:lang w:val="en-GB"/>
        </w:rPr>
        <w:t xml:space="preserve"> </w:t>
      </w:r>
      <w:r w:rsidR="00C07395" w:rsidRPr="00C07395">
        <w:rPr>
          <w:rFonts w:cs="Times New Roman"/>
          <w:lang w:val="en-GB"/>
        </w:rPr>
        <w:t xml:space="preserve">Black et al., </w:t>
      </w:r>
      <w:r w:rsidRPr="00CA4034">
        <w:rPr>
          <w:rFonts w:cs="Times New Roman"/>
          <w:lang w:val="en-GB"/>
        </w:rPr>
        <w:t xml:space="preserve">to get the attention to the need of having such estimates on stillbirths), </w:t>
      </w:r>
      <w:r w:rsidR="001664D4">
        <w:rPr>
          <w:rFonts w:cs="Times New Roman"/>
          <w:lang w:val="en-GB"/>
        </w:rPr>
        <w:t xml:space="preserve">and </w:t>
      </w:r>
      <w:r w:rsidRPr="00CA4034">
        <w:rPr>
          <w:rFonts w:cs="Times New Roman"/>
          <w:lang w:val="en-GB"/>
        </w:rPr>
        <w:t>(3) revealed information on the geography associated with the occurrence of this event (here they highlight the high stillbirth rates in Africa) and provided data on when stillbirths occur and why. They also: (1) suggested a series of recommendations to improve national data on this issue and addressed the usability of VA to identify the main causes of stillbirths as described by</w:t>
      </w:r>
      <w:r w:rsidR="00C07395" w:rsidRPr="00C07395">
        <w:rPr>
          <w:rFonts w:cs="Times New Roman"/>
          <w:lang w:val="en-GB"/>
        </w:rPr>
        <w:t xml:space="preserve"> Edmond et al., 2008a </w:t>
      </w:r>
      <w:r w:rsidRPr="00CA4034">
        <w:rPr>
          <w:rFonts w:cs="Times New Roman"/>
          <w:lang w:val="en-GB"/>
        </w:rPr>
        <w:t>in their study for Central Ghana, (2) discussed, how stillbirths can be reduced through the use of tools that audit mortality (the authors mention the South African Perinatal Audit in</w:t>
      </w:r>
      <w:r w:rsidR="00C07395" w:rsidRPr="00C07395">
        <w:rPr>
          <w:rFonts w:cs="Times New Roman"/>
          <w:lang w:val="en-GB"/>
        </w:rPr>
        <w:t xml:space="preserve"> Pattinson et al., 2009 as a good example) </w:t>
      </w:r>
      <w:r w:rsidRPr="00CA4034">
        <w:rPr>
          <w:rFonts w:cs="Times New Roman"/>
          <w:lang w:val="en-GB"/>
        </w:rPr>
        <w:t>and the collection of data on pregnancy and childbirth care as supported by the findings of the</w:t>
      </w:r>
      <w:r w:rsidR="00C07395" w:rsidRPr="00C07395">
        <w:rPr>
          <w:rFonts w:cs="Times New Roman"/>
          <w:lang w:val="en-GB"/>
        </w:rPr>
        <w:t xml:space="preserve"> Lawn et al., 2009 study, </w:t>
      </w:r>
      <w:r w:rsidRPr="00CA4034">
        <w:rPr>
          <w:rFonts w:cs="Times New Roman"/>
          <w:lang w:val="en-GB"/>
        </w:rPr>
        <w:t>and (3) identified research priorities on this topic. Using this information, the authors have shown that stillbirths are a non-negligible burden and that there is still much to be done at various levels (especially data collection) if we are to reduce stillbirth rates specifically in LMICs such as in Africa.</w:t>
      </w:r>
    </w:p>
    <w:p w14:paraId="46711369" w14:textId="77777777" w:rsidR="00C07395" w:rsidRPr="00C07395" w:rsidRDefault="00C07395" w:rsidP="00C07395">
      <w:pPr>
        <w:rPr>
          <w:rFonts w:cs="Times New Roman"/>
          <w:lang w:val="en-GB"/>
        </w:rPr>
      </w:pPr>
    </w:p>
    <w:p w14:paraId="7B028094" w14:textId="2FD5D34E"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&lt;EndNote&gt;&lt;Cite&gt;&lt;Author&gt;Pitt&lt;/Author&gt;&lt;Year&gt;2012&lt;/Year&gt;&lt;RecNum&gt;1840&lt;/RecNum&gt;&lt;DisplayText&gt;Pitt et al., 2012&lt;/DisplayText&gt;&lt;record&gt;&lt;rec-number&gt;1840&lt;/rec-number&gt;&lt;foreign-keys&gt;&lt;key app="EN" db-id="fs9tzaewcs0w5hex9rmvxrsipvf5dpsvst5f" timestamp="1685460477"&gt;1840&lt;/key&gt;&lt;/foreign-keys&gt;&lt;ref-type name="Journal Article"&gt;17&lt;/ref-type&gt;&lt;contributors&gt;&lt;authors&gt;&lt;author&gt;Pitt, C.&lt;/author&gt;&lt;author&gt;Lawn, J. E.&lt;/author&gt;&lt;author&gt;Ranganathan, M.&lt;/author&gt;&lt;author&gt;Mills, A.&lt;/author&gt;&lt;author&gt;Hanson, K.&lt;/author&gt;&lt;/authors&gt;&lt;/contributors&gt;&lt;titles&gt;&lt;title&gt;Donor Funding for Newborn Survival: An Analysis of Donor-Reported Data, 2002-2010&lt;/title&gt;&lt;secondary-title&gt;Plos Medicine&lt;/secondary-title&gt;&lt;/titles&gt;&lt;periodical&gt;&lt;full-title&gt;Plos Medicine&lt;/full-title&gt;&lt;/periodical&gt;&lt;volume&gt;9&lt;/volume&gt;&lt;number&gt;10&lt;/number&gt;&lt;dates&gt;&lt;year&gt;2012&lt;/year&gt;&lt;pub-dates&gt;&lt;date&gt;Oct&lt;/date&gt;&lt;/pub-dates&gt;&lt;/dates&gt;&lt;isbn&gt;1549-1277&lt;/isbn&gt;&lt;accession-num&gt;WOS:000310579000014&lt;/accession-num&gt;&lt;urls&gt;&lt;related-urls&gt;&lt;url&gt;&amp;lt;Go to ISI&amp;gt;://WOS:000310579000014&lt;/url&gt;&lt;/related-urls&gt;&lt;/urls&gt;&lt;custom7&gt;e1001332&lt;/custom7&gt;&lt;electronic-resource-num&gt;10.1371/journal.pmed.1001332&lt;/electronic-resource-num&gt;&lt;/record&gt;&lt;/Cite&gt;&lt;/EndNote&gt;</w:instrText>
      </w:r>
      <w:r>
        <w:rPr>
          <w:rFonts w:cs="Times New Roman"/>
          <w:b/>
          <w:bCs/>
          <w:lang w:val="en-GB"/>
        </w:rPr>
        <w:fldChar w:fldCharType="separate"/>
      </w:r>
      <w:r>
        <w:rPr>
          <w:rFonts w:cs="Times New Roman"/>
          <w:b/>
          <w:bCs/>
          <w:noProof/>
          <w:lang w:val="en-GB"/>
        </w:rPr>
        <w:t>Pitt et al., 2012</w:t>
      </w:r>
      <w:r>
        <w:rPr>
          <w:rFonts w:cs="Times New Roman"/>
          <w:b/>
          <w:bCs/>
          <w:lang w:val="en-GB"/>
        </w:rPr>
        <w:fldChar w:fldCharType="end"/>
      </w:r>
      <w:r w:rsidR="00C07395" w:rsidRPr="00C07395">
        <w:rPr>
          <w:rFonts w:cs="Times New Roman"/>
          <w:b/>
          <w:bCs/>
          <w:lang w:val="en-GB"/>
        </w:rPr>
        <w:t xml:space="preserve"> (node 206_2012)</w:t>
      </w:r>
    </w:p>
    <w:p w14:paraId="2A0B9B03" w14:textId="01699502" w:rsidR="00C07395" w:rsidRPr="00C07395" w:rsidRDefault="00D30694" w:rsidP="00C07395">
      <w:pPr>
        <w:rPr>
          <w:rFonts w:cs="Times New Roman"/>
          <w:lang w:val="en-GB"/>
        </w:rPr>
      </w:pPr>
      <w:r w:rsidRPr="00D30694">
        <w:rPr>
          <w:rFonts w:cs="Times New Roman"/>
          <w:lang w:val="en-GB"/>
        </w:rPr>
        <w:t xml:space="preserve">The study is related to donor funding for newborn survival. The authors developed a methodology based on key concepts to analyse aid flows to newborns. They examined funding that exclusively benefits newborns or is also intended to improve the health of other population groups as well (hereafter not-exclusively newborns). Using the Creditor Reporting System (CRS)Aid Activity database, the authors found that the total value of aid provided for programmatic or advocacy activities (non-research activities) regarding the not-exclusively newborns increased from US$38.4 million in 2002 to US$717.1 million in 2010, while this value for projects that exclusively benefited newborns was US$5.7 million in 2010. Tanzania, Nigeria, </w:t>
      </w:r>
      <w:proofErr w:type="gramStart"/>
      <w:r w:rsidRPr="00D30694">
        <w:rPr>
          <w:rFonts w:cs="Times New Roman"/>
          <w:lang w:val="en-GB"/>
        </w:rPr>
        <w:t>Sudan</w:t>
      </w:r>
      <w:proofErr w:type="gramEnd"/>
      <w:r w:rsidRPr="00D30694">
        <w:rPr>
          <w:rFonts w:cs="Times New Roman"/>
          <w:lang w:val="en-GB"/>
        </w:rPr>
        <w:t xml:space="preserve"> and Ethiopia are among the 10 countries that received the largest amount of aid related to not- exclusively newborns between 2002 and 2010. Zambia, </w:t>
      </w:r>
      <w:proofErr w:type="gramStart"/>
      <w:r w:rsidRPr="00D30694">
        <w:rPr>
          <w:rFonts w:cs="Times New Roman"/>
          <w:lang w:val="en-GB"/>
        </w:rPr>
        <w:t>Tanzania</w:t>
      </w:r>
      <w:proofErr w:type="gramEnd"/>
      <w:r w:rsidRPr="00D30694">
        <w:rPr>
          <w:rFonts w:cs="Times New Roman"/>
          <w:lang w:val="en-GB"/>
        </w:rPr>
        <w:t xml:space="preserve"> and Mozambique are among the 10 countries that received the largest amount of aid exclusively for newborns. The picture changes when looking at the amount of aid per live birth, where there are only three African countries in the top 10 that received the highest amount of </w:t>
      </w:r>
      <w:proofErr w:type="gramStart"/>
      <w:r w:rsidRPr="00D30694">
        <w:rPr>
          <w:rFonts w:cs="Times New Roman"/>
          <w:lang w:val="en-GB"/>
        </w:rPr>
        <w:t>aid(</w:t>
      </w:r>
      <w:proofErr w:type="gramEnd"/>
      <w:r w:rsidRPr="00D30694">
        <w:rPr>
          <w:rFonts w:cs="Times New Roman"/>
          <w:lang w:val="en-GB"/>
        </w:rPr>
        <w:t>Eritrea and Liberia for not-exclusively newborns and Zambia and Eritrea for exclusively newborns). Finally, the US and the United Nations Children's Fund (UNICEF) provided the highest value of non-research funding, mentioning newborns and exclusively benefiting newborns, respectively. The authors also emphasised the consistency of their findings with the conclusions of</w:t>
      </w:r>
      <w:r>
        <w:rPr>
          <w:rFonts w:cs="Times New Roman"/>
          <w:lang w:val="en-GB"/>
        </w:rPr>
        <w:t xml:space="preserve"> </w:t>
      </w:r>
      <w:r w:rsidR="00C07395" w:rsidRPr="00C07395">
        <w:rPr>
          <w:rFonts w:cs="Times New Roman"/>
          <w:lang w:val="en-GB"/>
        </w:rPr>
        <w:t xml:space="preserve">Lawn et </w:t>
      </w:r>
      <w:r w:rsidR="00C07395" w:rsidRPr="00C07395">
        <w:rPr>
          <w:rFonts w:cs="Times New Roman"/>
          <w:lang w:val="en-GB"/>
        </w:rPr>
        <w:lastRenderedPageBreak/>
        <w:t xml:space="preserve">al., 2011, i.e., </w:t>
      </w:r>
      <w:r w:rsidRPr="00D30694">
        <w:rPr>
          <w:rFonts w:cs="Times New Roman"/>
          <w:lang w:val="en-GB"/>
        </w:rPr>
        <w:t>that stillbirths receive too little attention on the global health agenda despite their importance for public health.</w:t>
      </w:r>
    </w:p>
    <w:p w14:paraId="1A4695A3" w14:textId="642EB2DE" w:rsidR="00C07395" w:rsidRPr="00C07395" w:rsidRDefault="009C01C1"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&lt;EndNote&gt;&lt;Cite&gt;&lt;Author&gt;Blencowe&lt;/Author&gt;&lt;Year&gt;2012&lt;/Year&gt;&lt;RecNum&gt;1841&lt;/RecNum&gt;&lt;DisplayText&gt;Blencowe et al., 2012&lt;/DisplayText&gt;&lt;record&gt;&lt;rec-number&gt;1841&lt;/rec-number&gt;&lt;foreign-keys&gt;&lt;key app="EN" db-id="fs9tzaewcs0w5hex9rmvxrsipvf5dpsvst5f" timestamp="1685535826"&gt;1841&lt;/key&gt;&lt;/foreign-keys&gt;&lt;ref-type name="Journal Article"&gt;17&lt;/ref-type&gt;&lt;contributors&gt;&lt;authors&gt;&lt;author&gt;Blencowe, H.&lt;/author&gt;&lt;author&gt;Cousens, S.&lt;/author&gt;&lt;author&gt;Oestergaard, M. Z.&lt;/author&gt;&lt;author&gt;Chou, D.&lt;/author&gt;&lt;author&gt;Moller, A. B.&lt;/author&gt;&lt;author&gt;Narwal, R.&lt;/author&gt;&lt;author&gt;Adler, A.&lt;/author&gt;&lt;author&gt;Garcia, C. V.&lt;/author&gt;&lt;author&gt;Rohde, S.&lt;/author&gt;&lt;author&gt;Say, L.&lt;/author&gt;&lt;author&gt;Lawn, J. E.&lt;/author&gt;&lt;/authors&gt;&lt;/contributors&gt;&lt;titles&gt;&lt;title&gt;National, regional, and worldwide estimates of preterm birth rates in the year 2010 with time trends since 1990 for selected countries: a systematic analysis and implications&lt;/title&gt;&lt;secondary-title&gt;Lancet&lt;/secondary-title&gt;&lt;/titles&gt;&lt;periodical&gt;&lt;full-title&gt;Lancet&lt;/full-title&gt;&lt;/periodical&gt;&lt;pages&gt;2162-2172&lt;/pages&gt;&lt;volume&gt;379&lt;/volume&gt;&lt;number&gt;9832&lt;/number&gt;&lt;dates&gt;&lt;year&gt;2012&lt;/year&gt;&lt;pub-dates&gt;&lt;date&gt;Jun&lt;/date&gt;&lt;/pub-dates&gt;&lt;/dates&gt;&lt;isbn&gt;0140-6736&lt;/isbn&gt;&lt;accession-num&gt;WOS:000304990900032&lt;/accession-num&gt;&lt;urls&gt;&lt;related-urls&gt;&lt;url&gt;&amp;lt;Go to ISI&amp;gt;://WOS:000304990900032&lt;/url&gt;&lt;/related-urls&gt;&lt;/urls&gt;&lt;electronic-resource-num&gt;10.1016/s0140-6736(12)60820-4&lt;/electronic-resource-num&gt;&lt;/record&gt;&lt;/Cite&gt;&lt;/EndNote&gt;</w:instrText>
      </w:r>
      <w:r>
        <w:rPr>
          <w:rFonts w:cs="Times New Roman"/>
          <w:b/>
          <w:bCs/>
          <w:lang w:val="en-GB"/>
        </w:rPr>
        <w:fldChar w:fldCharType="separate"/>
      </w:r>
      <w:r>
        <w:rPr>
          <w:rFonts w:cs="Times New Roman"/>
          <w:b/>
          <w:bCs/>
          <w:noProof/>
          <w:lang w:val="en-GB"/>
        </w:rPr>
        <w:t>Blencowe et al., 2012</w:t>
      </w:r>
      <w:r>
        <w:rPr>
          <w:rFonts w:cs="Times New Roman"/>
          <w:b/>
          <w:bCs/>
          <w:lang w:val="en-GB"/>
        </w:rPr>
        <w:fldChar w:fldCharType="end"/>
      </w:r>
      <w:r w:rsidR="00C07395" w:rsidRPr="00C07395">
        <w:rPr>
          <w:rFonts w:cs="Times New Roman"/>
          <w:b/>
          <w:bCs/>
          <w:lang w:val="en-GB"/>
        </w:rPr>
        <w:t xml:space="preserve"> (node 3_2012)</w:t>
      </w:r>
    </w:p>
    <w:p w14:paraId="20E75600" w14:textId="5E8A149A" w:rsidR="00C07395" w:rsidRPr="00C07395" w:rsidRDefault="004120D0" w:rsidP="00C07395">
      <w:pPr>
        <w:rPr>
          <w:rFonts w:cs="Times New Roman"/>
          <w:lang w:val="en-GB"/>
        </w:rPr>
      </w:pPr>
      <w:r w:rsidRPr="004120D0">
        <w:rPr>
          <w:rFonts w:cs="Times New Roman"/>
          <w:lang w:val="en-GB"/>
        </w:rPr>
        <w:t>The authors point out that there are no national systematic data on preterm birth and cross-national time trends, even though complications of preterm birth account for 35% of annual neonatal deaths worldwide. The authors begin with a discussion of the causes of preterm birth and refer to the study by</w:t>
      </w:r>
      <w:r w:rsidR="00C07395" w:rsidRPr="00C07395">
        <w:rPr>
          <w:rFonts w:cs="Times New Roman"/>
          <w:lang w:val="en-GB"/>
        </w:rPr>
        <w:t xml:space="preserve"> Lawn et al., 2009 </w:t>
      </w:r>
      <w:r w:rsidRPr="004120D0">
        <w:rPr>
          <w:rFonts w:cs="Times New Roman"/>
          <w:lang w:val="en-GB"/>
        </w:rPr>
        <w:t xml:space="preserve">to highlight that the highest burden countries (which include most African countries) have very low rates of preterm birth due to induction of labour or elective caesarean section. Further, the authors highlight the lack of clear rules and guidelines for </w:t>
      </w:r>
      <w:r>
        <w:rPr>
          <w:rFonts w:cs="Times New Roman"/>
          <w:lang w:val="en-GB"/>
        </w:rPr>
        <w:t xml:space="preserve">the </w:t>
      </w:r>
      <w:r w:rsidRPr="004120D0">
        <w:rPr>
          <w:rFonts w:cs="Times New Roman"/>
          <w:lang w:val="en-GB"/>
        </w:rPr>
        <w:t>registration of live births, methods for measuring gestational age and other aspects essential for measuring preterm births. Therefore, referring to the study by</w:t>
      </w:r>
      <w:r>
        <w:rPr>
          <w:rFonts w:cs="Times New Roman"/>
          <w:lang w:val="en-GB"/>
        </w:rPr>
        <w:t xml:space="preserve"> </w:t>
      </w:r>
      <w:r w:rsidR="00C07395" w:rsidRPr="00C07395">
        <w:rPr>
          <w:rFonts w:cs="Times New Roman"/>
          <w:lang w:val="en-GB"/>
        </w:rPr>
        <w:t xml:space="preserve">Lawn et al., 2011, </w:t>
      </w:r>
      <w:r w:rsidRPr="004120D0">
        <w:rPr>
          <w:rFonts w:cs="Times New Roman"/>
          <w:lang w:val="en-GB"/>
        </w:rPr>
        <w:t>the authors present an overview of definitions and variable cut-offs that apply to pregnancy outcomes related to preterm births and stillbirths. They used this information to produce global, regional</w:t>
      </w:r>
      <w:r>
        <w:rPr>
          <w:rFonts w:cs="Times New Roman"/>
          <w:lang w:val="en-GB"/>
        </w:rPr>
        <w:t>,</w:t>
      </w:r>
      <w:r w:rsidRPr="004120D0">
        <w:rPr>
          <w:rFonts w:cs="Times New Roman"/>
          <w:lang w:val="en-GB"/>
        </w:rPr>
        <w:t xml:space="preserve"> and national estimates of preterm birth rates for 184 countries in 2010. The authors estimated that 14.9 million babies were born preterm and that more than 60% of babies were born in South Asia and SSA. In terms of the number of preterm births in 2010, Nigeria and the Democratic Republic of Congo were among the top 10 countries.</w:t>
      </w:r>
    </w:p>
    <w:p w14:paraId="65DAF1EC" w14:textId="2E348396" w:rsidR="00C07395" w:rsidRPr="00C07395" w:rsidRDefault="00BC2ECE" w:rsidP="00C07395">
      <w:pPr>
        <w:rPr>
          <w:rFonts w:cs="Times New Roman"/>
          <w:b/>
          <w:bCs/>
          <w:lang w:val="en-GB"/>
        </w:rPr>
      </w:pPr>
      <w:r>
        <w:rPr>
          <w:rFonts w:cs="Times New Roman"/>
          <w:b/>
          <w:bCs/>
          <w:lang w:val="en-GB"/>
        </w:rPr>
        <w:fldChar w:fldCharType="begin">
          <w:fldData xml:space="preserve">PEVuZE5vdGU+PENpdGU+PEF1dGhvcj5MZWU8L0F1dGhvcj48WWVhcj4yMDEzPC9ZZWFyPjxSZWNO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</w:fldData>
        </w:fldChar>
      </w:r>
      <w:r>
        <w:rPr>
          <w:rFonts w:cs="Times New Roman"/>
          <w:b/>
          <w:bCs/>
          <w:lang w:val="en-GB"/>
        </w:rPr>
        <w:instrText xml:space="preserve"> ADDIN EN.CITE </w:instrText>
      </w:r>
      <w:r>
        <w:rPr>
          <w:rFonts w:cs="Times New Roman"/>
          <w:b/>
          <w:bCs/>
          <w:lang w:val="en-GB"/>
        </w:rPr>
        <w:fldChar w:fldCharType="begin">
          <w:fldData xml:space="preserve">PEVuZE5vdGU+PENpdGU+PEF1dGhvcj5MZWU8L0F1dGhvcj48WWVhcj4yMDEzPC9ZZWFyPjxSZWNO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</w:fldData>
        </w:fldChar>
      </w:r>
      <w:r>
        <w:rPr>
          <w:rFonts w:cs="Times New Roman"/>
          <w:b/>
          <w:bCs/>
          <w:lang w:val="en-GB"/>
        </w:rPr>
        <w:instrText xml:space="preserve"> ADDIN EN.CITE.DATA </w:instrText>
      </w:r>
      <w:r>
        <w:rPr>
          <w:rFonts w:cs="Times New Roman"/>
          <w:b/>
          <w:bCs/>
          <w:lang w:val="en-GB"/>
        </w:rPr>
      </w:r>
      <w:r>
        <w:rPr>
          <w:rFonts w:cs="Times New Roman"/>
          <w:b/>
          <w:bCs/>
          <w:lang w:val="en-GB"/>
        </w:rPr>
        <w:fldChar w:fldCharType="end"/>
      </w:r>
      <w:r>
        <w:rPr>
          <w:rFonts w:cs="Times New Roman"/>
          <w:b/>
          <w:bCs/>
          <w:lang w:val="en-GB"/>
        </w:rPr>
      </w:r>
      <w:r>
        <w:rPr>
          <w:rFonts w:cs="Times New Roman"/>
          <w:b/>
          <w:bCs/>
          <w:lang w:val="en-GB"/>
        </w:rPr>
        <w:fldChar w:fldCharType="separate"/>
      </w:r>
      <w:r>
        <w:rPr>
          <w:rFonts w:cs="Times New Roman"/>
          <w:b/>
          <w:bCs/>
          <w:noProof/>
          <w:lang w:val="en-GB"/>
        </w:rPr>
        <w:t>Lee et al., 2013</w:t>
      </w:r>
      <w:r>
        <w:rPr>
          <w:rFonts w:cs="Times New Roman"/>
          <w:b/>
          <w:bCs/>
          <w:lang w:val="en-GB"/>
        </w:rPr>
        <w:fldChar w:fldCharType="end"/>
      </w:r>
      <w:r w:rsidR="00C07395" w:rsidRPr="00C07395">
        <w:rPr>
          <w:rFonts w:cs="Times New Roman"/>
          <w:b/>
          <w:bCs/>
          <w:lang w:val="en-GB"/>
        </w:rPr>
        <w:t xml:space="preserve"> (node 15_2013)</w:t>
      </w:r>
    </w:p>
    <w:p w14:paraId="1B8908C5" w14:textId="77777777" w:rsidR="00225524" w:rsidRDefault="00225524" w:rsidP="00C07395">
      <w:pPr>
        <w:rPr>
          <w:rFonts w:cs="Times New Roman"/>
          <w:lang w:val="en-GB"/>
        </w:rPr>
      </w:pPr>
      <w:r w:rsidRPr="00225524">
        <w:rPr>
          <w:rFonts w:cs="Times New Roman"/>
          <w:lang w:val="en-GB"/>
        </w:rPr>
        <w:t>This is another study that highlights the importance of having national estimates, this time for neonates born too small for gestational age at full term (≥37 weeks gestation; term-SGA) and for the co-occurrence of small for gestational age and preterm birth (preterm-SGA) in LMICs. In 2010, more than 32 million babies were born too small for gestational age in these countries (27% of live births). Based on the previous study, the authors present estimates for the prevalence of preterm SGA at the national (138 LMICs) and regional levels in 2010. In North Africa and SSA, 1.2% and 2.0% of live births were preterm-SGA, respectively, values lower than the 3% in Southeast Asia (the maximum value found by the authors). The prevalence of term-SGA in North Africa and SSA in 2010 was 8.5% and 23.5% respectively, much lower than the 41.5% in South Asia.</w:t>
      </w:r>
    </w:p>
    <w:p w14:paraId="14AFB303" w14:textId="600F30E2"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&lt;EndNote&gt;&lt;Cite&gt;&lt;Author&gt;Christian&lt;/Author&gt;&lt;Year&gt;2013&lt;/Year&gt;&lt;RecNum&gt;1844&lt;/RecNum&gt;&lt;DisplayText&gt;Christian et al., 2013&lt;/DisplayText&gt;&lt;record&gt;&lt;rec-number&gt;1844&lt;/rec-number&gt;&lt;foreign-keys&gt;&lt;key app="EN" db-id="fs9tzaewcs0w5hex9rmvxrsipvf5dpsvst5f" timestamp="1685610590"&gt;1844&lt;/key&gt;&lt;/foreign-keys&gt;&lt;ref-type name="Journal Article"&gt;17&lt;/ref-type&gt;&lt;contributors&gt;&lt;authors&gt;&lt;author&gt;Christian, P.&lt;/author&gt;&lt;author&gt;Lee, S. E.&lt;/author&gt;&lt;author&gt;Angel, M. D.&lt;/author&gt;&lt;author&gt;Adair, L. S.&lt;/author&gt;&lt;author&gt;Arifeen, S. E.&lt;/author&gt;&lt;author&gt;Ashorn, P.&lt;/author&gt;&lt;author&gt;Barros, F. C.&lt;/author&gt;&lt;author&gt;Fall, C. H. D.&lt;/author&gt;&lt;author&gt;Fawzi, W. W.&lt;/author&gt;&lt;author&gt;Hao, W.&lt;/author&gt;&lt;author&gt;Hu, G.&lt;/author&gt;&lt;author&gt;Humphrey, J. H.&lt;/author&gt;&lt;author&gt;Huybregts, L.&lt;/author&gt;&lt;author&gt;Joglekar, C. V.&lt;/author&gt;&lt;author&gt;Kariuki, S. K.&lt;/author&gt;&lt;author&gt;Kolsteren, P.&lt;/author&gt;&lt;author&gt;Krishnaveni, G. V.&lt;/author&gt;&lt;author&gt;Liu, E. Q.&lt;/author&gt;&lt;author&gt;Martorell, R.&lt;/author&gt;&lt;author&gt;Osrin, D.&lt;/author&gt;&lt;author&gt;Persson, L. A.&lt;/author&gt;&lt;author&gt;Ramakrishnan, U.&lt;/author&gt;&lt;author&gt;Richter, L.&lt;/author&gt;&lt;author&gt;Roberfroid, D.&lt;/author&gt;&lt;author&gt;Sania, A.&lt;/author&gt;&lt;author&gt;Ter Kuile, F. O.&lt;/author&gt;&lt;author&gt;Tielsch, J.&lt;/author&gt;&lt;author&gt;Victora, C. G.&lt;/author&gt;&lt;author&gt;Yajnik, C. S.&lt;/author&gt;&lt;author&gt;Yan, H.&lt;/author&gt;&lt;author&gt;Zeng, L. X.&lt;/author&gt;&lt;author&gt;Black, R. E.&lt;/author&gt;&lt;/authors&gt;&lt;/contributors&gt;&lt;titles&gt;&lt;title&gt;Risk of childhood undernutrition related to small-for-gestational age and preterm birth in low- and middle-income countries&lt;/title&gt;&lt;secondary-title&gt;International Journal of Epidemiology&lt;/secondary-title&gt;&lt;/titles&gt;&lt;periodical&gt;&lt;full-title&gt;International Journal of Epidemiology&lt;/full-title&gt;&lt;/periodical&gt;&lt;pages&gt;1340-1355&lt;/pages&gt;&lt;volume&gt;42&lt;/volume&gt;&lt;number&gt;5&lt;/number&gt;&lt;dates&gt;&lt;year&gt;2013&lt;/year&gt;&lt;pub-dates&gt;&lt;date&gt;Oct&lt;/date&gt;&lt;/pub-dates&gt;&lt;/dates&gt;&lt;isbn&gt;0300-5771&lt;/isbn&gt;&lt;accession-num&gt;WOS:000326726000023&lt;/accession-num&gt;&lt;urls&gt;&lt;related-urls&gt;&lt;url&gt;&amp;lt;Go to ISI&amp;gt;://WOS:000326726000023&lt;/url&gt;&lt;/related-urls&gt;&lt;/urls&gt;&lt;electronic-resource-num&gt;10.1093/ije/dyt109&lt;/electronic-resource-num&gt;&lt;/record&gt;&lt;/Cite&gt;&lt;/EndNote&gt;</w:instrText>
      </w:r>
      <w:r>
        <w:rPr>
          <w:rFonts w:cs="Times New Roman"/>
          <w:b/>
          <w:bCs/>
          <w:lang w:val="en-GB"/>
        </w:rPr>
        <w:fldChar w:fldCharType="separate"/>
      </w:r>
      <w:r>
        <w:rPr>
          <w:rFonts w:cs="Times New Roman"/>
          <w:b/>
          <w:bCs/>
          <w:noProof/>
          <w:lang w:val="en-GB"/>
        </w:rPr>
        <w:t>Christian et al., 2013</w:t>
      </w:r>
      <w:r>
        <w:rPr>
          <w:rFonts w:cs="Times New Roman"/>
          <w:b/>
          <w:bCs/>
          <w:lang w:val="en-GB"/>
        </w:rPr>
        <w:fldChar w:fldCharType="end"/>
      </w:r>
      <w:r w:rsidR="00C07395" w:rsidRPr="00C07395">
        <w:rPr>
          <w:rFonts w:cs="Times New Roman"/>
          <w:b/>
          <w:bCs/>
          <w:lang w:val="en-GB"/>
        </w:rPr>
        <w:t xml:space="preserve"> (node 19_2013)</w:t>
      </w:r>
    </w:p>
    <w:p w14:paraId="33732433" w14:textId="3A9A62E0" w:rsidR="00C07395" w:rsidRPr="00C07395" w:rsidRDefault="002A157F" w:rsidP="00C07395">
      <w:pPr>
        <w:rPr>
          <w:rFonts w:cs="Times New Roman"/>
          <w:lang w:val="en-GB"/>
        </w:rPr>
      </w:pPr>
      <w:r w:rsidRPr="002A157F">
        <w:rPr>
          <w:rFonts w:cs="Times New Roman"/>
          <w:lang w:val="en-GB"/>
        </w:rPr>
        <w:t xml:space="preserve">The authors addressed the risk of stunting, wasting and underweight in children aged 12-60 months in LMICs. In these countries, in 2011, 148 million children were estimated to be stunted. The authors noted that foetal growth and birth weight are likely to influence child growth and that high rates of low birth weight and childhood stunting coexist among children in several countries. Because low birth weight can be a consequence of foetal growth restriction or </w:t>
      </w:r>
      <w:r w:rsidRPr="002A157F">
        <w:rPr>
          <w:rFonts w:cs="Times New Roman"/>
          <w:lang w:val="en-GB"/>
        </w:rPr>
        <w:lastRenderedPageBreak/>
        <w:t xml:space="preserve">preterm birth, the authors estimated study-specific and pooled risk estimates for stunting, wasting and underweight due to foetal growth restriction or preterm birth using statistics from previous studies </w:t>
      </w:r>
      <w:r w:rsidR="00C07395" w:rsidRPr="00C07395">
        <w:rPr>
          <w:rFonts w:cs="Times New Roman"/>
          <w:lang w:val="en-GB"/>
        </w:rPr>
        <w:t xml:space="preserve">(Blencowe et al., 2012; Lee et al., 2013, described above) </w:t>
      </w:r>
      <w:r w:rsidRPr="002A157F">
        <w:rPr>
          <w:rFonts w:cs="Times New Roman"/>
          <w:lang w:val="en-GB"/>
        </w:rPr>
        <w:t>to highlight the high number of both events in these countries. The children were divided into 4 groups: Appropriate size for gestational age (AGA) and preterm birth; SGA and term; SGA and preterm; and AGA and term (the reference group). For LMICs, the authors found that relative to AGA and term,</w:t>
      </w:r>
      <w:r>
        <w:rPr>
          <w:rFonts w:cs="Times New Roman"/>
          <w:lang w:val="en-GB"/>
        </w:rPr>
        <w:t xml:space="preserve"> </w:t>
      </w:r>
      <w:r w:rsidRPr="002A157F">
        <w:rPr>
          <w:rFonts w:cs="Times New Roman"/>
          <w:lang w:val="en-GB"/>
        </w:rPr>
        <w:t>the odds ratios for stunting associated with AGA and preterm, SGA and term, and SGA and preterm w</w:t>
      </w:r>
      <w:r>
        <w:rPr>
          <w:rFonts w:cs="Times New Roman"/>
          <w:lang w:val="en-GB"/>
        </w:rPr>
        <w:t xml:space="preserve">ere </w:t>
      </w:r>
      <w:r w:rsidRPr="002A157F">
        <w:rPr>
          <w:rFonts w:cs="Times New Roman"/>
          <w:lang w:val="en-GB"/>
        </w:rPr>
        <w:t>1.93, 2.43 and 4.51, respectively. A similar magnitude of risk was also observed for wasting and underweight. In SSA, the odds ratios for stunting associated with AGA and preterm, SGA and term, and SGA and preterm w</w:t>
      </w:r>
      <w:r>
        <w:rPr>
          <w:rFonts w:cs="Times New Roman"/>
          <w:lang w:val="en-GB"/>
        </w:rPr>
        <w:t>ere</w:t>
      </w:r>
      <w:r w:rsidRPr="002A157F">
        <w:rPr>
          <w:rFonts w:cs="Times New Roman"/>
          <w:lang w:val="en-GB"/>
        </w:rPr>
        <w:t xml:space="preserve"> 2.13, 2.36 and 5.95, respectively. Similar values were also observed for wasting and underweight, except for wasting and SGA and preterm with a lower odds ratio (3.44)</w:t>
      </w:r>
      <w:r w:rsidR="00C07395" w:rsidRPr="00C07395">
        <w:rPr>
          <w:rFonts w:cs="Times New Roman"/>
          <w:lang w:val="en-GB"/>
        </w:rPr>
        <w:t xml:space="preserve">. </w:t>
      </w:r>
    </w:p>
    <w:p w14:paraId="63409583" w14:textId="2BAD1AE7"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&lt;EndNote&gt;&lt;Cite&gt;&lt;Author&gt;Lawn&lt;/Author&gt;&lt;Year&gt;2014&lt;/Year&gt;&lt;RecNum&gt;1847&lt;/RecNum&gt;&lt;DisplayText&gt;Lawn et al., 2014&lt;/DisplayText&gt;&lt;record&gt;&lt;rec-number&gt;1847&lt;/rec-number&gt;&lt;foreign-keys&gt;&lt;key app="EN" db-id="fs9tzaewcs0w5hex9rmvxrsipvf5dpsvst5f" timestamp="1689066865"&gt;1847&lt;/key&gt;&lt;/foreign-keys&gt;&lt;ref-type name="Journal Article"&gt;17&lt;/ref-type&gt;&lt;contributors&gt;&lt;authors&gt;&lt;author&gt;Lawn, J. E.&lt;/author&gt;&lt;author&gt;Blencowe, H.&lt;/author&gt;&lt;author&gt;Oza, S.&lt;/author&gt;&lt;author&gt;You, D. Z.&lt;/author&gt;&lt;author&gt;Lee, A. C. C.&lt;/author&gt;&lt;author&gt;Waiswa, P.&lt;/author&gt;&lt;author&gt;Lalli, M.&lt;/author&gt;&lt;author&gt;Bhutta, Z.&lt;/author&gt;&lt;author&gt;Barros, A. J. D.&lt;/author&gt;&lt;author&gt;Christian, P.&lt;/author&gt;&lt;author&gt;Mathers, C.&lt;/author&gt;&lt;author&gt;Cousens, S. N.&lt;/author&gt;&lt;author&gt;Lancet Every Newborn Study, Grp&lt;/author&gt;&lt;/authors&gt;&lt;/contributors&gt;&lt;titles&gt;&lt;title&gt;Every Newborn: progress, priorities, and potential beyond survival&lt;/title&gt;&lt;secondary-title&gt;Lancet&lt;/secondary-title&gt;&lt;/titles&gt;&lt;periodical&gt;&lt;full-title&gt;Lancet&lt;/full-title&gt;&lt;/periodical&gt;&lt;pages&gt;189-205&lt;/pages&gt;&lt;volume&gt;384&lt;/volume&gt;&lt;number&gt;9938&lt;/number&gt;&lt;dates&gt;&lt;year&gt;2014&lt;/year&gt;&lt;pub-dates&gt;&lt;date&gt;Jul&lt;/date&gt;&lt;/pub-dates&gt;&lt;/dates&gt;&lt;isbn&gt;0140-6736&lt;/isbn&gt;&lt;accession-num&gt;WOS:000338921500038&lt;/accession-num&gt;&lt;urls&gt;&lt;related-urls&gt;&lt;url&gt;&amp;lt;Go to ISI&amp;gt;://WOS:000338921500038&lt;/url&gt;&lt;/related-urls&gt;&lt;/urls&gt;&lt;electronic-resource-num&gt;10.1016/s0140-6736(14)60496-7&lt;/electronic-resource-num&gt;&lt;/record&gt;&lt;/Cite&gt;&lt;/EndNote&gt;</w:instrText>
      </w:r>
      <w:r>
        <w:rPr>
          <w:rFonts w:cs="Times New Roman"/>
          <w:b/>
          <w:bCs/>
          <w:lang w:val="en-GB"/>
        </w:rPr>
        <w:fldChar w:fldCharType="separate"/>
      </w:r>
      <w:r>
        <w:rPr>
          <w:rFonts w:cs="Times New Roman"/>
          <w:b/>
          <w:bCs/>
          <w:noProof/>
          <w:lang w:val="en-GB"/>
        </w:rPr>
        <w:t>Lawn et al., 2014</w:t>
      </w:r>
      <w:r>
        <w:rPr>
          <w:rFonts w:cs="Times New Roman"/>
          <w:b/>
          <w:bCs/>
          <w:lang w:val="en-GB"/>
        </w:rPr>
        <w:fldChar w:fldCharType="end"/>
      </w:r>
      <w:r w:rsidR="00C07395" w:rsidRPr="00C07395">
        <w:rPr>
          <w:rFonts w:cs="Times New Roman"/>
          <w:b/>
          <w:bCs/>
          <w:lang w:val="en-GB"/>
        </w:rPr>
        <w:t xml:space="preserve"> (node 7_2014)</w:t>
      </w:r>
    </w:p>
    <w:p w14:paraId="3FB4AC64" w14:textId="281F4830" w:rsidR="00C07395" w:rsidRPr="00C07395" w:rsidRDefault="00093EA5" w:rsidP="00C07395">
      <w:pPr>
        <w:rPr>
          <w:rFonts w:cs="Times New Roman"/>
          <w:lang w:val="en-GB"/>
        </w:rPr>
      </w:pPr>
      <w:r w:rsidRPr="00093EA5">
        <w:rPr>
          <w:rFonts w:cs="Times New Roman"/>
          <w:lang w:val="en-GB"/>
        </w:rPr>
        <w:t>The authors aimed to review the status of newborn health and progress since the 2005 Lancet Neonatal Survival Series. They highlight the fact that newborn survival and preterm birth make part of national agendas due to the policy hook of the Millennium Development Goals and improved epidemiological estimates. However, they draw on</w:t>
      </w:r>
      <w:r>
        <w:rPr>
          <w:rFonts w:cs="Times New Roman"/>
          <w:lang w:val="en-GB"/>
        </w:rPr>
        <w:t xml:space="preserve"> </w:t>
      </w:r>
      <w:r w:rsidR="00C07395" w:rsidRPr="00C07395">
        <w:rPr>
          <w:rFonts w:cs="Times New Roman"/>
          <w:lang w:val="en-GB"/>
        </w:rPr>
        <w:t xml:space="preserve">Pitt et al., 2012 </w:t>
      </w:r>
      <w:r w:rsidRPr="00093EA5">
        <w:rPr>
          <w:rFonts w:cs="Times New Roman"/>
          <w:lang w:val="en-GB"/>
        </w:rPr>
        <w:t>study to emphasize that adequate funding is missing.</w:t>
      </w:r>
    </w:p>
    <w:p w14:paraId="31827086" w14:textId="42C3B1A1" w:rsidR="00093EA5" w:rsidRDefault="00093EA5" w:rsidP="00C07395">
      <w:pPr>
        <w:rPr>
          <w:rFonts w:cs="Times New Roman"/>
          <w:lang w:val="en-GB"/>
        </w:rPr>
      </w:pPr>
      <w:r w:rsidRPr="00093EA5">
        <w:rPr>
          <w:rFonts w:cs="Times New Roman"/>
          <w:lang w:val="en-GB"/>
        </w:rPr>
        <w:t xml:space="preserve">The authors found that the global neonatal mortality rate (NMR) has decreased by 37% since 1990, from 33 to 21 deaths per 1000 live births. However, in SSA, the NMR decreased by only 28%. In 2012, nine countries had an NMR above 40 (40 deaths per 1000 live births) and eight of these were African (Central African Republic, Mali, Democratic Republic of Congo, Lesotho, Angola, Guinea-Bissau, </w:t>
      </w:r>
      <w:proofErr w:type="gramStart"/>
      <w:r w:rsidRPr="00093EA5">
        <w:rPr>
          <w:rFonts w:cs="Times New Roman"/>
          <w:lang w:val="en-GB"/>
        </w:rPr>
        <w:t>Somalia</w:t>
      </w:r>
      <w:proofErr w:type="gramEnd"/>
      <w:r w:rsidRPr="00093EA5">
        <w:rPr>
          <w:rFonts w:cs="Times New Roman"/>
          <w:lang w:val="en-GB"/>
        </w:rPr>
        <w:t xml:space="preserve"> and Sierra Leone). </w:t>
      </w:r>
      <w:r w:rsidR="00466BF5" w:rsidRPr="00093EA5">
        <w:rPr>
          <w:rFonts w:cs="Times New Roman"/>
          <w:lang w:val="en-GB"/>
        </w:rPr>
        <w:t>Considering</w:t>
      </w:r>
      <w:r w:rsidRPr="00093EA5">
        <w:rPr>
          <w:rFonts w:cs="Times New Roman"/>
          <w:lang w:val="en-GB"/>
        </w:rPr>
        <w:t xml:space="preserve"> previous statistics, a series of epidemiological analyses and consultations, a target of no more than 10 stillbirths per 1000 total births and no more than 10 neonatal deaths per 1000 live births was set for 2035.</w:t>
      </w:r>
    </w:p>
    <w:p w14:paraId="193C2281" w14:textId="77777777" w:rsidR="001C456A" w:rsidRDefault="0064210D" w:rsidP="00C07395">
      <w:pPr>
        <w:rPr>
          <w:rFonts w:cs="Times New Roman"/>
          <w:lang w:val="en-GB"/>
        </w:rPr>
      </w:pPr>
      <w:r w:rsidRPr="0064210D">
        <w:rPr>
          <w:rFonts w:cs="Times New Roman"/>
          <w:lang w:val="en-GB"/>
        </w:rPr>
        <w:t xml:space="preserve">However, the authors stated that to achieve the target it is necessary to have information that will help in defining and implementing action plans. Looking at previous studies or through their own calculations, it was found that the countries with the highest NMR also have the highest fertility rates coupled with thin coverage of care. Therefore, these are the ones that need the most attention. As for the main causes of neonatal deaths in 2012, complications of preterm birth, intrapartum-related conditions, and infections stand out. </w:t>
      </w:r>
    </w:p>
    <w:p w14:paraId="0412F4F1" w14:textId="4E14890C" w:rsidR="00C07395" w:rsidRDefault="0064210D" w:rsidP="00C07395">
      <w:pPr>
        <w:rPr>
          <w:rFonts w:cs="Times New Roman"/>
          <w:lang w:val="en-GB"/>
        </w:rPr>
      </w:pPr>
      <w:r w:rsidRPr="0064210D">
        <w:rPr>
          <w:rFonts w:cs="Times New Roman"/>
          <w:lang w:val="en-GB"/>
        </w:rPr>
        <w:t xml:space="preserve">To go further, the authors drew on previous studies on preterm birth and SGA </w:t>
      </w:r>
      <w:r w:rsidR="00C07395" w:rsidRPr="00C07395">
        <w:rPr>
          <w:rFonts w:cs="Times New Roman"/>
          <w:lang w:val="en-GB"/>
        </w:rPr>
        <w:t xml:space="preserve">(Blencowe et al., 2012; Christian et al., 2013; Lee et al., 2013, </w:t>
      </w:r>
      <w:r>
        <w:rPr>
          <w:rFonts w:cs="Times New Roman"/>
          <w:lang w:val="en-GB"/>
        </w:rPr>
        <w:t>as</w:t>
      </w:r>
      <w:r w:rsidR="00C07395" w:rsidRPr="00C07395">
        <w:rPr>
          <w:rFonts w:cs="Times New Roman"/>
          <w:lang w:val="en-GB"/>
        </w:rPr>
        <w:t xml:space="preserve"> described above) </w:t>
      </w:r>
      <w:r w:rsidRPr="0064210D">
        <w:rPr>
          <w:rFonts w:cs="Times New Roman"/>
          <w:lang w:val="en-GB"/>
        </w:rPr>
        <w:t>to discuss the estimated consequences of SGA and preterm birth in terms of neonatal mortality and stunting</w:t>
      </w:r>
      <w:r>
        <w:rPr>
          <w:rFonts w:cs="Times New Roman"/>
          <w:lang w:val="en-GB"/>
        </w:rPr>
        <w:t>.</w:t>
      </w:r>
      <w:r w:rsidR="001C456A">
        <w:rPr>
          <w:rFonts w:cs="Times New Roman"/>
          <w:lang w:val="en-GB"/>
        </w:rPr>
        <w:t xml:space="preserve"> </w:t>
      </w:r>
      <w:r w:rsidR="00C07395" w:rsidRPr="00C07395">
        <w:rPr>
          <w:rFonts w:cs="Times New Roman"/>
          <w:lang w:val="en-GB"/>
        </w:rPr>
        <w:t xml:space="preserve">Babies who are term SGA low birthweight are at risk of stunting and adult-onset metabolic conditions, while </w:t>
      </w:r>
      <w:r w:rsidR="00C07395" w:rsidRPr="00C07395">
        <w:rPr>
          <w:rFonts w:cs="Times New Roman"/>
          <w:lang w:val="en-GB"/>
        </w:rPr>
        <w:lastRenderedPageBreak/>
        <w:t>those that represent preterm births are at the highest risk of neonatal death, and important risk of long-term neurodevelopmental impairment, stunting, and non-communicable conditions. Other neonates have life-threatening or disabling conditions including intrapartum-related brain injury, severe bacterial infections, or pathological jaundice.</w:t>
      </w:r>
    </w:p>
    <w:p w14:paraId="6B4A386A" w14:textId="77777777" w:rsidR="00466BF5" w:rsidRPr="00C07395" w:rsidRDefault="00466BF5" w:rsidP="00C07395">
      <w:pPr>
        <w:rPr>
          <w:rFonts w:cs="Times New Roman"/>
          <w:lang w:val="en-GB"/>
        </w:rPr>
      </w:pPr>
    </w:p>
    <w:p w14:paraId="664B7819" w14:textId="19C53FE7" w:rsidR="00C07395" w:rsidRPr="00C07395" w:rsidRDefault="00BC2ECE" w:rsidP="00C07395">
      <w:pPr>
        <w:rPr>
          <w:rFonts w:cs="Times New Roman"/>
          <w:b/>
          <w:bCs/>
          <w:lang w:val="en-GB"/>
        </w:rPr>
      </w:pPr>
      <w:r>
        <w:rPr>
          <w:rFonts w:cs="Times New Roman"/>
          <w:b/>
          <w:bCs/>
          <w:lang w:val="en-GB"/>
        </w:rPr>
        <w:fldChar w:fldCharType="begin">
          <w:fldData xml:space="preserve">PEVuZE5vdGU+PENpdGU+PEF1dGhvcj5BbHRoYWJlPC9BdXRob3I+PFllYXI+MjAxNTwvWWVhcj48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</w:fldData>
        </w:fldChar>
      </w:r>
      <w:r>
        <w:rPr>
          <w:rFonts w:cs="Times New Roman"/>
          <w:b/>
          <w:bCs/>
          <w:lang w:val="en-GB"/>
        </w:rPr>
        <w:instrText xml:space="preserve"> ADDIN EN.CITE </w:instrText>
      </w:r>
      <w:r>
        <w:rPr>
          <w:rFonts w:cs="Times New Roman"/>
          <w:b/>
          <w:bCs/>
          <w:lang w:val="en-GB"/>
        </w:rPr>
        <w:fldChar w:fldCharType="begin">
          <w:fldData xml:space="preserve">PEVuZE5vdGU+PENpdGU+PEF1dGhvcj5BbHRoYWJlPC9BdXRob3I+PFllYXI+MjAxNTwvWWVhcj48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</w:fldData>
        </w:fldChar>
      </w:r>
      <w:r>
        <w:rPr>
          <w:rFonts w:cs="Times New Roman"/>
          <w:b/>
          <w:bCs/>
          <w:lang w:val="en-GB"/>
        </w:rPr>
        <w:instrText xml:space="preserve"> ADDIN EN.CITE.DATA </w:instrText>
      </w:r>
      <w:r>
        <w:rPr>
          <w:rFonts w:cs="Times New Roman"/>
          <w:b/>
          <w:bCs/>
          <w:lang w:val="en-GB"/>
        </w:rPr>
      </w:r>
      <w:r>
        <w:rPr>
          <w:rFonts w:cs="Times New Roman"/>
          <w:b/>
          <w:bCs/>
          <w:lang w:val="en-GB"/>
        </w:rPr>
        <w:fldChar w:fldCharType="end"/>
      </w:r>
      <w:r>
        <w:rPr>
          <w:rFonts w:cs="Times New Roman"/>
          <w:b/>
          <w:bCs/>
          <w:lang w:val="en-GB"/>
        </w:rPr>
      </w:r>
      <w:r>
        <w:rPr>
          <w:rFonts w:cs="Times New Roman"/>
          <w:b/>
          <w:bCs/>
          <w:lang w:val="en-GB"/>
        </w:rPr>
        <w:fldChar w:fldCharType="separate"/>
      </w:r>
      <w:r>
        <w:rPr>
          <w:rFonts w:cs="Times New Roman"/>
          <w:b/>
          <w:bCs/>
          <w:noProof/>
          <w:lang w:val="en-GB"/>
        </w:rPr>
        <w:t>Althabe et al., 2015</w:t>
      </w:r>
      <w:r>
        <w:rPr>
          <w:rFonts w:cs="Times New Roman"/>
          <w:b/>
          <w:bCs/>
          <w:lang w:val="en-GB"/>
        </w:rPr>
        <w:fldChar w:fldCharType="end"/>
      </w:r>
      <w:r w:rsidR="00C07395" w:rsidRPr="00C07395">
        <w:rPr>
          <w:rFonts w:cs="Times New Roman"/>
          <w:b/>
          <w:bCs/>
          <w:lang w:val="en-GB"/>
        </w:rPr>
        <w:t xml:space="preserve"> (node 25_2015)</w:t>
      </w:r>
    </w:p>
    <w:p w14:paraId="56AC0125" w14:textId="0749B4C3" w:rsidR="00497EFB" w:rsidRDefault="00497EFB" w:rsidP="00C07395">
      <w:pPr>
        <w:rPr>
          <w:rFonts w:cs="Times New Roman"/>
          <w:lang w:val="en-GB"/>
        </w:rPr>
      </w:pPr>
      <w:r w:rsidRPr="00497EFB">
        <w:rPr>
          <w:rFonts w:cs="Times New Roman"/>
          <w:lang w:val="en-GB"/>
        </w:rPr>
        <w:t xml:space="preserve">The authors investigated the use of antenatal corticosteroids in pregnant women at high risk of preterm birth to reduce the high neonatal mortality associated with preterm birth found in the previous study </w:t>
      </w:r>
      <w:r w:rsidR="00C07395" w:rsidRPr="00C07395">
        <w:rPr>
          <w:rFonts w:cs="Times New Roman"/>
          <w:lang w:val="en-GB"/>
        </w:rPr>
        <w:t xml:space="preserve">(Lawn et al., 2014). </w:t>
      </w:r>
      <w:r w:rsidRPr="00497EFB">
        <w:rPr>
          <w:rFonts w:cs="Times New Roman"/>
          <w:lang w:val="en-GB"/>
        </w:rPr>
        <w:t xml:space="preserve">The study included clusters at seven sites of the Global Network for Women’s and Children’s Health Research </w:t>
      </w:r>
      <w:r w:rsidR="00C07395" w:rsidRPr="00C07395">
        <w:rPr>
          <w:rFonts w:cs="Times New Roman"/>
          <w:lang w:val="en-GB"/>
        </w:rPr>
        <w:t xml:space="preserve">(Argentina, Zambia, Guatemala, India, India, Pakistan, and Kenya). </w:t>
      </w:r>
      <w:r w:rsidRPr="00497EFB">
        <w:rPr>
          <w:rFonts w:cs="Times New Roman"/>
          <w:lang w:val="en-GB"/>
        </w:rPr>
        <w:t xml:space="preserve">Studies reporting the administration of this type of treatment in hospitals with neonatal intensive care units emphasised the positive effect </w:t>
      </w:r>
      <w:r w:rsidR="009C01C1">
        <w:rPr>
          <w:rFonts w:cs="Times New Roman"/>
          <w:lang w:val="en-GB"/>
        </w:rPr>
        <w:t>in</w:t>
      </w:r>
      <w:r w:rsidRPr="00497EFB">
        <w:rPr>
          <w:rFonts w:cs="Times New Roman"/>
          <w:lang w:val="en-GB"/>
        </w:rPr>
        <w:t xml:space="preserve"> reducing neonatal mortality. However, the authors did not find the same positive results in </w:t>
      </w:r>
      <w:r>
        <w:rPr>
          <w:rFonts w:cs="Times New Roman"/>
          <w:lang w:val="en-GB"/>
        </w:rPr>
        <w:t>these clusters</w:t>
      </w:r>
      <w:r w:rsidRPr="00497EFB">
        <w:rPr>
          <w:rFonts w:cs="Times New Roman"/>
          <w:lang w:val="en-GB"/>
        </w:rPr>
        <w:t>. The authors reported a relative increase of 11-12% in neonatal and perinatal mortality in the overall population.</w:t>
      </w:r>
    </w:p>
    <w:p w14:paraId="78F98FE2" w14:textId="4FADB37E"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&lt;EndNote&gt;&lt;Cite&gt;&lt;Author&gt;Massawe&lt;/Author&gt;&lt;Year&gt;2018&lt;/Year&gt;&lt;RecNum&gt;1851&lt;/RecNum&gt;&lt;DisplayText&gt;Massawe et al., 2018&lt;/DisplayText&gt;&lt;record&gt;&lt;rec-number&gt;1851&lt;/rec-number&gt;&lt;foreign-keys&gt;&lt;key app="EN" db-id="fs9tzaewcs0w5hex9rmvxrsipvf5dpsvst5f" timestamp="1689112304"&gt;1851&lt;/key&gt;&lt;/foreign-keys&gt;&lt;ref-type name="Journal Article"&gt;17&lt;/ref-type&gt;&lt;contributors&gt;&lt;authors&gt;&lt;author&gt;Massawe, A.&lt;/author&gt;&lt;author&gt;Kidanto, H. L.&lt;/author&gt;&lt;author&gt;Moshiro, R.&lt;/author&gt;&lt;author&gt;Majaliwa, E.&lt;/author&gt;&lt;author&gt;Chacha, F.&lt;/author&gt;&lt;author&gt;Shayo, A.&lt;/author&gt;&lt;author&gt;Mdoe, P.&lt;/author&gt;&lt;author&gt;Ringia, P.&lt;/author&gt;&lt;author&gt;Azayo, M.&lt;/author&gt;&lt;author&gt;Msemo, G.&lt;/author&gt;&lt;author&gt;Mduma, E.&lt;/author&gt;&lt;author&gt;Ersdal, H. L.&lt;/author&gt;&lt;author&gt;Perlman, J. M.&lt;/author&gt;&lt;/authors&gt;&lt;/contributors&gt;&lt;titles&gt;&lt;title&gt;A care bundle including antenatal corticosteroids reduces preterm infant mortality in Tanzania a low resource country&lt;/title&gt;&lt;secondary-title&gt;Plos One&lt;/secondary-title&gt;&lt;/titles&gt;&lt;periodical&gt;&lt;full-title&gt;Plos One&lt;/full-title&gt;&lt;abbr-1&gt;PLoS One&lt;/abbr-1&gt;&lt;/periodical&gt;&lt;volume&gt;13&lt;/volume&gt;&lt;number&gt;3&lt;/number&gt;&lt;dates&gt;&lt;year&gt;2018&lt;/year&gt;&lt;pub-dates&gt;&lt;date&gt;Mar&lt;/date&gt;&lt;/pub-dates&gt;&lt;/dates&gt;&lt;isbn&gt;1932-6203&lt;/isbn&gt;&lt;accession-num&gt;WOS:000426896800040&lt;/accession-num&gt;&lt;urls&gt;&lt;related-urls&gt;&lt;url&gt;&amp;lt;Go to ISI&amp;gt;://WOS:000426896800040&lt;/url&gt;&lt;/related-urls&gt;&lt;/urls&gt;&lt;custom7&gt;e0193146&lt;/custom7&gt;&lt;electronic-resource-num&gt;10.1371/journal.pone.0193146&lt;/electronic-resource-num&gt;&lt;/record&gt;&lt;/Cite&gt;&lt;/EndNote&gt;</w:instrText>
      </w:r>
      <w:r>
        <w:rPr>
          <w:rFonts w:cs="Times New Roman"/>
          <w:b/>
          <w:bCs/>
          <w:lang w:val="en-GB"/>
        </w:rPr>
        <w:fldChar w:fldCharType="separate"/>
      </w:r>
      <w:r>
        <w:rPr>
          <w:rFonts w:cs="Times New Roman"/>
          <w:b/>
          <w:bCs/>
          <w:noProof/>
          <w:lang w:val="en-GB"/>
        </w:rPr>
        <w:t>Massawe et al., 2018</w:t>
      </w:r>
      <w:r>
        <w:rPr>
          <w:rFonts w:cs="Times New Roman"/>
          <w:b/>
          <w:bCs/>
          <w:lang w:val="en-GB"/>
        </w:rPr>
        <w:fldChar w:fldCharType="end"/>
      </w:r>
      <w:r w:rsidR="00C07395" w:rsidRPr="00C07395">
        <w:rPr>
          <w:rFonts w:cs="Times New Roman"/>
          <w:b/>
          <w:bCs/>
          <w:lang w:val="en-GB"/>
        </w:rPr>
        <w:t xml:space="preserve"> (node 607_2018)</w:t>
      </w:r>
    </w:p>
    <w:p w14:paraId="4269B73C" w14:textId="77777777" w:rsidR="002705D4" w:rsidRDefault="002705D4" w:rsidP="00C07395">
      <w:pPr>
        <w:rPr>
          <w:rFonts w:cs="Times New Roman"/>
          <w:lang w:val="en-GB"/>
        </w:rPr>
      </w:pPr>
      <w:r w:rsidRPr="002705D4">
        <w:rPr>
          <w:rFonts w:cs="Times New Roman"/>
          <w:lang w:val="en-GB"/>
        </w:rPr>
        <w:t xml:space="preserve">The study examined the effect of a care package on reducing neonatal mortality in the first 7 days after birth in infants with an estimated gestational age of 28 to 34 6/7 weeks in four hospitals in Tanzania. The package, which has been shown to be successful in high-income countries, included the administration of antenatal corticosteroids to mothers in preterm labour, maternal antibiotics in active labour, immediate stabilisation/resuscitation of the newborn including avoidance of moderate hypothermia (&lt; 36˚C), and early neonatal antibiotics. In defining this strategy, the authors considered the key findings of </w:t>
      </w:r>
      <w:proofErr w:type="spellStart"/>
      <w:r w:rsidR="00C07395" w:rsidRPr="00C07395">
        <w:rPr>
          <w:rFonts w:cs="Times New Roman"/>
          <w:lang w:val="en-GB"/>
        </w:rPr>
        <w:t>Althabe</w:t>
      </w:r>
      <w:proofErr w:type="spellEnd"/>
      <w:r w:rsidR="00C07395" w:rsidRPr="00C07395">
        <w:rPr>
          <w:rFonts w:cs="Times New Roman"/>
          <w:lang w:val="en-GB"/>
        </w:rPr>
        <w:t xml:space="preserve"> et al., 2015 </w:t>
      </w:r>
      <w:r w:rsidRPr="002705D4">
        <w:rPr>
          <w:rFonts w:cs="Times New Roman"/>
          <w:lang w:val="en-GB"/>
        </w:rPr>
        <w:t xml:space="preserve">that the administration of antenatal corticosteroids was associated with an increase in neonatal and perinatal mortality. Implementation of the care package in four hospitals in Tanzania led to a decrease in neonatal mortality in the first 7 days after birth. The authors pointed out the increase in mortality when the package included only the administration of antenatal corticosteroids and maternal antibiotics only or only the administration of antenatal corticosteroids only. The authors discuss the latter results </w:t>
      </w:r>
      <w:proofErr w:type="gramStart"/>
      <w:r w:rsidRPr="002705D4">
        <w:rPr>
          <w:rFonts w:cs="Times New Roman"/>
          <w:lang w:val="en-GB"/>
        </w:rPr>
        <w:t>in light of</w:t>
      </w:r>
      <w:proofErr w:type="gramEnd"/>
      <w:r w:rsidRPr="002705D4">
        <w:rPr>
          <w:rFonts w:cs="Times New Roman"/>
          <w:lang w:val="en-GB"/>
        </w:rPr>
        <w:t xml:space="preserve"> the findings of</w:t>
      </w:r>
      <w:r w:rsidR="00C07395" w:rsidRPr="00C07395">
        <w:rPr>
          <w:rFonts w:cs="Times New Roman"/>
          <w:lang w:val="en-GB"/>
        </w:rPr>
        <w:t xml:space="preserve"> </w:t>
      </w:r>
      <w:proofErr w:type="spellStart"/>
      <w:r w:rsidR="00C07395" w:rsidRPr="00C07395">
        <w:rPr>
          <w:rFonts w:cs="Times New Roman"/>
          <w:lang w:val="en-GB"/>
        </w:rPr>
        <w:t>Althabe</w:t>
      </w:r>
      <w:proofErr w:type="spellEnd"/>
      <w:r w:rsidR="00C07395" w:rsidRPr="00C07395">
        <w:rPr>
          <w:rFonts w:cs="Times New Roman"/>
          <w:lang w:val="en-GB"/>
        </w:rPr>
        <w:t xml:space="preserve"> et al., 2015, </w:t>
      </w:r>
      <w:r w:rsidRPr="002705D4">
        <w:rPr>
          <w:rFonts w:cs="Times New Roman"/>
          <w:lang w:val="en-GB"/>
        </w:rPr>
        <w:t>as the results in both studies are consistent. Finally, the authors emphasise that the care package is very attractive if these results can be observed in other settings with limited resources. In addition to the good results in reducing neonatal mortality, the authors also highlight the ease of administration by an obstetrician and the low cost ($6-7 per mother-infant pair).</w:t>
      </w:r>
    </w:p>
    <w:p w14:paraId="5C2CE85B" w14:textId="56F2AE10"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&lt;EndNote&gt;&lt;Cite&gt;&lt;Author&gt;Moshiro&lt;/Author&gt;&lt;Year&gt;2019&lt;/Year&gt;&lt;RecNum&gt;1862&lt;/RecNum&gt;&lt;DisplayText&gt;Moshiro et al., 2019&lt;/DisplayText&gt;&lt;record&gt;&lt;rec-number&gt;1862&lt;/rec-number&gt;&lt;foreign-keys&gt;&lt;key app="EN" db-id="fs9tzaewcs0w5hex9rmvxrsipvf5dpsvst5f" timestamp="1689330488"&gt;1862&lt;/key&gt;&lt;/foreign-keys&gt;&lt;ref-type name="Journal Article"&gt;17&lt;/ref-type&gt;&lt;contributors&gt;&lt;authors&gt;&lt;author&gt;Moshiro, R.&lt;/author&gt;&lt;author&gt;Perlman, J. M.&lt;/author&gt;&lt;author&gt;Mdoe, P.&lt;/author&gt;&lt;author&gt;Kidanto, H.&lt;/author&gt;&lt;author&gt;Kvaloy, T.&lt;/author&gt;&lt;author&gt;Ersdal, H. L.&lt;/author&gt;&lt;/authors&gt;&lt;/contributors&gt;&lt;titles&gt;&lt;title&gt;Potential causes of early death among admitted newborns in a rural Tanzanian hospital&lt;/title&gt;&lt;secondary-title&gt;Plos One&lt;/secondary-title&gt;&lt;/titles&gt;&lt;periodical&gt;&lt;full-title&gt;Plos One&lt;/full-title&gt;&lt;abbr-1&gt;PLoS One&lt;/abbr-1&gt;&lt;/periodical&gt;&lt;volume&gt;14&lt;/volume&gt;&lt;number&gt;10&lt;/number&gt;&lt;dates&gt;&lt;year&gt;2019&lt;/year&gt;&lt;pub-dates&gt;&lt;date&gt;Oct&lt;/date&gt;&lt;/pub-dates&gt;&lt;/dates&gt;&lt;isbn&gt;1932-6203&lt;/isbn&gt;&lt;accession-num&gt;WOS:000532388000018&lt;/accession-num&gt;&lt;urls&gt;&lt;related-urls&gt;&lt;url&gt;&amp;lt;Go to ISI&amp;gt;://WOS:000532388000018&lt;/url&gt;&lt;/related-urls&gt;&lt;/urls&gt;&lt;custom7&gt;e0222935&lt;/custom7&gt;&lt;electronic-resource-num&gt;10.1371/journal.pone.0222935&lt;/electronic-resource-num&gt;&lt;/record&gt;&lt;/Cite&gt;&lt;/EndNote&gt;</w:instrText>
      </w:r>
      <w:r>
        <w:rPr>
          <w:rFonts w:cs="Times New Roman"/>
          <w:b/>
          <w:bCs/>
          <w:lang w:val="en-GB"/>
        </w:rPr>
        <w:fldChar w:fldCharType="separate"/>
      </w:r>
      <w:r>
        <w:rPr>
          <w:rFonts w:cs="Times New Roman"/>
          <w:b/>
          <w:bCs/>
          <w:noProof/>
          <w:lang w:val="en-GB"/>
        </w:rPr>
        <w:t>Moshiro et al., 2019</w:t>
      </w:r>
      <w:r>
        <w:rPr>
          <w:rFonts w:cs="Times New Roman"/>
          <w:b/>
          <w:bCs/>
          <w:lang w:val="en-GB"/>
        </w:rPr>
        <w:fldChar w:fldCharType="end"/>
      </w:r>
      <w:r w:rsidR="00C07395" w:rsidRPr="00C07395">
        <w:rPr>
          <w:rFonts w:cs="Times New Roman"/>
          <w:b/>
          <w:bCs/>
          <w:lang w:val="en-GB"/>
        </w:rPr>
        <w:t xml:space="preserve"> (node 719_2019)</w:t>
      </w:r>
    </w:p>
    <w:p w14:paraId="29D2656E" w14:textId="03825D90" w:rsidR="00E51069" w:rsidRPr="00E51069" w:rsidRDefault="00E51069" w:rsidP="00E51069">
      <w:pPr>
        <w:rPr>
          <w:rFonts w:cs="Times New Roman"/>
          <w:lang w:val="en-GB"/>
        </w:rPr>
      </w:pPr>
      <w:r w:rsidRPr="00E51069">
        <w:rPr>
          <w:rFonts w:cs="Times New Roman"/>
          <w:lang w:val="en-GB"/>
        </w:rPr>
        <w:lastRenderedPageBreak/>
        <w:t xml:space="preserve">n a prospective observational study of newborns admitted to </w:t>
      </w:r>
      <w:proofErr w:type="spellStart"/>
      <w:r w:rsidRPr="00E51069">
        <w:rPr>
          <w:rFonts w:cs="Times New Roman"/>
          <w:lang w:val="en-GB"/>
        </w:rPr>
        <w:t>Haydom</w:t>
      </w:r>
      <w:proofErr w:type="spellEnd"/>
      <w:r w:rsidRPr="00E51069">
        <w:rPr>
          <w:rFonts w:cs="Times New Roman"/>
          <w:lang w:val="en-GB"/>
        </w:rPr>
        <w:t xml:space="preserve">, a rural hospital in Northern Tanzania, the authors identified intrapartum-related complications (birth asphyxia and meconium aspiration syndrome accounted for 58% of all deaths), prematurity and presumed sepsis as the leading causes of death. After identifying the main causes of death, the authors highlight several strategies that can be used to reduce the high mortality rates. In combination with the findings of the previous study </w:t>
      </w:r>
      <w:r w:rsidR="00C07395" w:rsidRPr="00C07395">
        <w:rPr>
          <w:rFonts w:cs="Times New Roman"/>
          <w:lang w:val="en-GB"/>
        </w:rPr>
        <w:t>(</w:t>
      </w:r>
      <w:proofErr w:type="spellStart"/>
      <w:r w:rsidR="00C07395" w:rsidRPr="00C07395">
        <w:rPr>
          <w:rFonts w:cs="Times New Roman"/>
          <w:lang w:val="en-GB"/>
        </w:rPr>
        <w:t>Massawe</w:t>
      </w:r>
      <w:proofErr w:type="spellEnd"/>
      <w:r w:rsidR="00C07395" w:rsidRPr="00C07395">
        <w:rPr>
          <w:rFonts w:cs="Times New Roman"/>
          <w:lang w:val="en-GB"/>
        </w:rPr>
        <w:t xml:space="preserve"> et al., 2018)</w:t>
      </w:r>
      <w:proofErr w:type="gramStart"/>
      <w:r w:rsidR="00C07395" w:rsidRPr="00C07395">
        <w:rPr>
          <w:rFonts w:cs="Times New Roman"/>
          <w:lang w:val="en-GB"/>
        </w:rPr>
        <w:t xml:space="preserve">, </w:t>
      </w:r>
      <w:r w:rsidRPr="00E51069">
        <w:rPr>
          <w:rFonts w:cs="Times New Roman"/>
          <w:lang w:val="en-GB"/>
        </w:rPr>
        <w:t>,</w:t>
      </w:r>
      <w:proofErr w:type="gramEnd"/>
      <w:r w:rsidRPr="00E51069">
        <w:rPr>
          <w:rFonts w:cs="Times New Roman"/>
          <w:lang w:val="en-GB"/>
        </w:rPr>
        <w:t xml:space="preserve"> the authors recommend the administration of antenatal corticosteroids to women at immediate risk of preterm labour and antibiotics to women with preterm rupture of membranes to reduce high preterm mortality. Other recommendations include continuous foetal heart rate monitoring after delivery, more effective resuscitation, and endotracheal intubation.</w:t>
      </w:r>
    </w:p>
    <w:p w14:paraId="3FCEA0C5" w14:textId="706D8C71"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&lt;EndNote&gt;&lt;Cite&gt;&lt;Author&gt;Slusher&lt;/Author&gt;&lt;Year&gt;2015&lt;/Year&gt;&lt;RecNum&gt;1848&lt;/RecNum&gt;&lt;DisplayText&gt;Slusher et al., 2015&lt;/DisplayText&gt;&lt;record&gt;&lt;rec-number&gt;1848&lt;/rec-number&gt;&lt;foreign-keys&gt;&lt;key app="EN" db-id="fs9tzaewcs0w5hex9rmvxrsipvf5dpsvst5f" timestamp="1689071680"&gt;1848&lt;/key&gt;&lt;/foreign-keys&gt;&lt;ref-type name="Journal Article"&gt;17&lt;/ref-type&gt;&lt;contributors&gt;&lt;authors&gt;&lt;author&gt;Slusher, T. M.&lt;/author&gt;&lt;author&gt;Olusanya, B. O.&lt;/author&gt;&lt;author&gt;Vreman, H. J.&lt;/author&gt;&lt;author&gt;Brearley, A. M.&lt;/author&gt;&lt;author&gt;Vaucher, Y. E.&lt;/author&gt;&lt;author&gt;Lund, T. C.&lt;/author&gt;&lt;author&gt;Wong, R. J.&lt;/author&gt;&lt;author&gt;Emokpae, A. A.&lt;/author&gt;&lt;author&gt;Stevenson, D. K.&lt;/author&gt;&lt;/authors&gt;&lt;/contributors&gt;&lt;titles&gt;&lt;title&gt;A Randomized Trial of Phototherapy with Filtered Sunlight in African Neonates&lt;/title&gt;&lt;secondary-title&gt;New England Journal of Medicine&lt;/secondary-title&gt;&lt;/titles&gt;&lt;periodical&gt;&lt;full-title&gt;New England Journal of Medicine&lt;/full-title&gt;&lt;/periodical&gt;&lt;pages&gt;1115-1124&lt;/pages&gt;&lt;volume&gt;373&lt;/volume&gt;&lt;number&gt;12&lt;/number&gt;&lt;dates&gt;&lt;year&gt;2015&lt;/year&gt;&lt;pub-dates&gt;&lt;date&gt;Sep&lt;/date&gt;&lt;/pub-dates&gt;&lt;/dates&gt;&lt;isbn&gt;0028-4793&lt;/isbn&gt;&lt;accession-num&gt;WOS:000361556400007&lt;/accession-num&gt;&lt;urls&gt;&lt;related-urls&gt;&lt;url&gt;&amp;lt;Go to ISI&amp;gt;://WOS:000361556400007&lt;/url&gt;&lt;/related-urls&gt;&lt;/urls&gt;&lt;electronic-resource-num&gt;10.1056/NEJMoa1501074&lt;/electronic-resource-num&gt;&lt;/record&gt;&lt;/Cite&gt;&lt;/EndNote&gt;</w:instrText>
      </w:r>
      <w:r>
        <w:rPr>
          <w:rFonts w:cs="Times New Roman"/>
          <w:b/>
          <w:bCs/>
          <w:lang w:val="en-GB"/>
        </w:rPr>
        <w:fldChar w:fldCharType="separate"/>
      </w:r>
      <w:r>
        <w:rPr>
          <w:rFonts w:cs="Times New Roman"/>
          <w:b/>
          <w:bCs/>
          <w:noProof/>
          <w:lang w:val="en-GB"/>
        </w:rPr>
        <w:t>Slusher et al., 2015</w:t>
      </w:r>
      <w:r>
        <w:rPr>
          <w:rFonts w:cs="Times New Roman"/>
          <w:b/>
          <w:bCs/>
          <w:lang w:val="en-GB"/>
        </w:rPr>
        <w:fldChar w:fldCharType="end"/>
      </w:r>
      <w:r w:rsidR="00C07395" w:rsidRPr="00C07395">
        <w:rPr>
          <w:rFonts w:cs="Times New Roman"/>
          <w:b/>
          <w:bCs/>
          <w:lang w:val="en-GB"/>
        </w:rPr>
        <w:t xml:space="preserve"> (node 152_2015)</w:t>
      </w:r>
    </w:p>
    <w:p w14:paraId="74FA70B7" w14:textId="1203A955" w:rsidR="00C07395" w:rsidRPr="00C07395" w:rsidRDefault="00EF59FB" w:rsidP="00C07395">
      <w:pPr>
        <w:rPr>
          <w:rFonts w:cs="Times New Roman"/>
          <w:lang w:val="en-GB"/>
        </w:rPr>
      </w:pPr>
      <w:r w:rsidRPr="00EF59FB">
        <w:rPr>
          <w:rFonts w:cs="Times New Roman"/>
          <w:lang w:val="en-GB"/>
        </w:rPr>
        <w:t xml:space="preserve">The study addressed hyperbilirubinemia one of the </w:t>
      </w:r>
      <w:r w:rsidR="001C456A">
        <w:rPr>
          <w:rFonts w:cs="Times New Roman"/>
          <w:lang w:val="en-GB"/>
        </w:rPr>
        <w:t>pathologies that affect</w:t>
      </w:r>
      <w:r w:rsidRPr="00EF59FB">
        <w:rPr>
          <w:rFonts w:cs="Times New Roman"/>
          <w:lang w:val="en-GB"/>
        </w:rPr>
        <w:t xml:space="preserve"> term and near-term newborn infants in LMICs, as mentioned in</w:t>
      </w:r>
      <w:r>
        <w:rPr>
          <w:rFonts w:cs="Times New Roman"/>
          <w:lang w:val="en-GB"/>
        </w:rPr>
        <w:t xml:space="preserve"> </w:t>
      </w:r>
      <w:r w:rsidR="00C07395" w:rsidRPr="00C07395">
        <w:rPr>
          <w:rFonts w:cs="Times New Roman"/>
          <w:lang w:val="en-GB"/>
        </w:rPr>
        <w:t>Lawn et al., 2014</w:t>
      </w:r>
      <w:r w:rsidR="001C456A">
        <w:rPr>
          <w:rFonts w:cs="Times New Roman"/>
          <w:lang w:val="en-GB"/>
        </w:rPr>
        <w:t>.</w:t>
      </w:r>
    </w:p>
    <w:p w14:paraId="46C323CD" w14:textId="6F977388" w:rsidR="00C07395" w:rsidRPr="00C07395" w:rsidRDefault="00EF59FB" w:rsidP="00C07395">
      <w:pPr>
        <w:rPr>
          <w:rFonts w:cs="Times New Roman"/>
          <w:lang w:val="en-GB"/>
        </w:rPr>
      </w:pPr>
      <w:r w:rsidRPr="00EF59FB">
        <w:rPr>
          <w:rFonts w:cs="Times New Roman"/>
          <w:lang w:val="en-GB"/>
        </w:rPr>
        <w:t xml:space="preserve">Although previous studies have shown that filtered sunlight is successful in lowering total bilirubin </w:t>
      </w:r>
      <w:r w:rsidR="00C07395" w:rsidRPr="00C07395">
        <w:rPr>
          <w:rFonts w:cs="Times New Roman"/>
          <w:lang w:val="en-GB"/>
        </w:rPr>
        <w:t xml:space="preserve">(e.g., Slusher et al., 2014), </w:t>
      </w:r>
      <w:r w:rsidRPr="00EF59FB">
        <w:rPr>
          <w:rFonts w:cs="Times New Roman"/>
          <w:lang w:val="en-GB"/>
        </w:rPr>
        <w:t>its performance has not been studied in comparison with conventional phototherapy.</w:t>
      </w:r>
    </w:p>
    <w:p w14:paraId="23C189BA" w14:textId="77777777" w:rsidR="00EF59FB" w:rsidRDefault="00EF59FB" w:rsidP="00C07395">
      <w:pPr>
        <w:rPr>
          <w:rFonts w:cs="Times New Roman"/>
          <w:lang w:val="en-GB"/>
        </w:rPr>
      </w:pPr>
      <w:r w:rsidRPr="00EF59FB">
        <w:rPr>
          <w:rFonts w:cs="Times New Roman"/>
          <w:lang w:val="en-GB"/>
        </w:rPr>
        <w:t>The authors compared the effect of filtered sunlight and conventional phototherapy in the treatment of hyperbilirubinemia in term and late-preterm neonates in Island Maternity Hospital, Nigeria. The results showed that phototherapy with filtered sunlight is safe and has the same efficacy as conventional phototherapy.</w:t>
      </w:r>
    </w:p>
    <w:p w14:paraId="2EEB50A2" w14:textId="58794C93"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&lt;EndNote&gt;&lt;Cite&gt;&lt;Author&gt;Olusanya&lt;/Author&gt;&lt;Year&gt;2016&lt;/Year&gt;&lt;RecNum&gt;1853&lt;/RecNum&gt;&lt;DisplayText&gt;Olusanya, Imosemi, &amp;amp; Emokpae, 2016&lt;/DisplayText&gt;&lt;record&gt;&lt;rec-number&gt;1853&lt;/rec-number&gt;&lt;foreign-keys&gt;&lt;key app="EN" db-id="fs9tzaewcs0w5hex9rmvxrsipvf5dpsvst5f" timestamp="1689162189"&gt;1853&lt;/key&gt;&lt;/foreign-keys&gt;&lt;ref-type name="Journal Article"&gt;17&lt;/ref-type&gt;&lt;contributors&gt;&lt;authors&gt;&lt;author&gt;Olusanya, B. O.&lt;/author&gt;&lt;author&gt;Imosemi, D. O.&lt;/author&gt;&lt;author&gt;Emokpae, A. A.&lt;/author&gt;&lt;/authors&gt;&lt;/contributors&gt;&lt;titles&gt;&lt;title&gt;Differences Between Transcutaneous and Serum Bilirubin Measurements in Black African Neonates&lt;/title&gt;&lt;secondary-title&gt;Pediatrics&lt;/secondary-title&gt;&lt;/titles&gt;&lt;periodical&gt;&lt;full-title&gt;Pediatrics&lt;/full-title&gt;&lt;/periodical&gt;&lt;volume&gt;138&lt;/volume&gt;&lt;number&gt;3&lt;/number&gt;&lt;dates&gt;&lt;year&gt;2016&lt;/year&gt;&lt;pub-dates&gt;&lt;date&gt;Sep&lt;/date&gt;&lt;/pub-dates&gt;&lt;/dates&gt;&lt;isbn&gt;0031-4005&lt;/isbn&gt;&lt;accession-num&gt;WOS:000384002100038&lt;/accession-num&gt;&lt;urls&gt;&lt;related-urls&gt;&lt;url&gt;&amp;lt;Go to ISI&amp;gt;://WOS:000384002100038&lt;/url&gt;&lt;/related-urls&gt;&lt;/urls&gt;&lt;custom7&gt;e20160907&lt;/custom7&gt;&lt;electronic-resource-num&gt;10.1542/peds.2016-0907&lt;/electronic-resource-num&gt;&lt;/record&gt;&lt;/Cite&gt;&lt;/EndNote&gt;</w:instrText>
      </w:r>
      <w:r>
        <w:rPr>
          <w:rFonts w:cs="Times New Roman"/>
          <w:b/>
          <w:bCs/>
          <w:lang w:val="en-GB"/>
        </w:rPr>
        <w:fldChar w:fldCharType="separate"/>
      </w:r>
      <w:r>
        <w:rPr>
          <w:rFonts w:cs="Times New Roman"/>
          <w:b/>
          <w:bCs/>
          <w:noProof/>
          <w:lang w:val="en-GB"/>
        </w:rPr>
        <w:t>Olusanya, Imosemi, &amp; Emokpae, 2016</w:t>
      </w:r>
      <w:r>
        <w:rPr>
          <w:rFonts w:cs="Times New Roman"/>
          <w:b/>
          <w:bCs/>
          <w:lang w:val="en-GB"/>
        </w:rPr>
        <w:fldChar w:fldCharType="end"/>
      </w:r>
      <w:r w:rsidR="00C07395" w:rsidRPr="00C07395">
        <w:rPr>
          <w:rFonts w:cs="Times New Roman"/>
          <w:b/>
          <w:bCs/>
          <w:lang w:val="en-GB"/>
        </w:rPr>
        <w:t xml:space="preserve"> (node 315_2016)</w:t>
      </w:r>
    </w:p>
    <w:p w14:paraId="2EA1DF58" w14:textId="77777777" w:rsidR="00EF59FB" w:rsidRDefault="00EF59FB" w:rsidP="00C07395">
      <w:pPr>
        <w:rPr>
          <w:rFonts w:cs="Times New Roman"/>
          <w:lang w:val="en-GB"/>
        </w:rPr>
      </w:pPr>
      <w:r w:rsidRPr="00EF59FB">
        <w:rPr>
          <w:rFonts w:cs="Times New Roman"/>
          <w:lang w:val="en-GB"/>
        </w:rPr>
        <w:t xml:space="preserve">The authors investigated the use of </w:t>
      </w:r>
      <w:proofErr w:type="spellStart"/>
      <w:r w:rsidRPr="00EF59FB">
        <w:rPr>
          <w:rFonts w:cs="Times New Roman"/>
          <w:lang w:val="en-GB"/>
        </w:rPr>
        <w:t>BiliChek</w:t>
      </w:r>
      <w:proofErr w:type="spellEnd"/>
      <w:r w:rsidRPr="00EF59FB">
        <w:rPr>
          <w:rFonts w:cs="Times New Roman"/>
          <w:lang w:val="en-GB"/>
        </w:rPr>
        <w:t xml:space="preserve"> and JM-103 bilirubinometers in estimating total serum bilirubin (TSB) in black African newborns. Based on the results of previous studies showing a reduced risk of severe hyperbilirubinemia but an increased risk of kernicterus underpinned by glucose-6-phosphate dehydrogenase (G6PD) deficiency, the authors analysed transcutaneous bilirubin and TSB in 1553 late preterm and term neonates at Island Maternity Hospital in Nigeria.</w:t>
      </w:r>
    </w:p>
    <w:p w14:paraId="37D1AF08" w14:textId="27D9427F" w:rsidR="00C07395" w:rsidRPr="00C07395" w:rsidRDefault="00966E0F" w:rsidP="00C07395">
      <w:pPr>
        <w:rPr>
          <w:rFonts w:cs="Times New Roman"/>
          <w:lang w:val="en-GB"/>
        </w:rPr>
      </w:pPr>
      <w:r w:rsidRPr="00966E0F">
        <w:rPr>
          <w:rFonts w:cs="Times New Roman"/>
          <w:lang w:val="en-GB"/>
        </w:rPr>
        <w:t xml:space="preserve">Using a set of possible predictors of bilirubin, including G6PD levels as determined in the study by </w:t>
      </w:r>
      <w:r w:rsidR="00C07395" w:rsidRPr="00C07395">
        <w:rPr>
          <w:rFonts w:cs="Times New Roman"/>
          <w:lang w:val="en-GB"/>
        </w:rPr>
        <w:t xml:space="preserve">Slusher et al., 2015, </w:t>
      </w:r>
      <w:r w:rsidRPr="00966E0F">
        <w:rPr>
          <w:rFonts w:cs="Times New Roman"/>
          <w:lang w:val="en-GB"/>
        </w:rPr>
        <w:t xml:space="preserve">the authors highlighted the limitations of transcutaneous bilirubin as a screening tool or proxy for TSB in black African </w:t>
      </w:r>
      <w:proofErr w:type="gramStart"/>
      <w:r w:rsidRPr="00966E0F">
        <w:rPr>
          <w:rFonts w:cs="Times New Roman"/>
          <w:lang w:val="en-GB"/>
        </w:rPr>
        <w:t>neonates</w:t>
      </w:r>
      <w:proofErr w:type="gramEnd"/>
      <w:r w:rsidRPr="00966E0F">
        <w:rPr>
          <w:rFonts w:cs="Times New Roman"/>
          <w:lang w:val="en-GB"/>
        </w:rPr>
        <w:t xml:space="preserve"> contrary to the studies that have found a positive association between the two. The authors noted that current transcutaneous bilirubin devices are only highly sensitive at low TSB levels and tend to overestimate TSB with increasing age in African neonates. The authors argue that these findings should be considered in the management of infants at risk of kernicterus to avoid unnecessary blood sampling.</w:t>
      </w:r>
    </w:p>
    <w:p w14:paraId="3499D9D3" w14:textId="1B06A370" w:rsidR="00C07395" w:rsidRPr="00C07395" w:rsidRDefault="00BC2ECE" w:rsidP="00C07395">
      <w:pPr>
        <w:rPr>
          <w:rFonts w:cs="Times New Roman"/>
          <w:b/>
          <w:bCs/>
          <w:lang w:val="en-GB"/>
        </w:rPr>
      </w:pPr>
      <w:r>
        <w:rPr>
          <w:rFonts w:cs="Times New Roman"/>
          <w:b/>
          <w:bCs/>
          <w:lang w:val="en-GB"/>
        </w:rPr>
        <w:lastRenderedPageBreak/>
        <w:fldChar w:fldCharType="begin"/>
      </w:r>
      <w:r>
        <w:rPr>
          <w:rFonts w:cs="Times New Roman"/>
          <w:b/>
          <w:bCs/>
          <w:lang w:val="en-GB"/>
        </w:rPr>
        <w:instrText xml:space="preserve"> ADDIN EN.CITE &lt;EndNote&gt;&lt;Cite&gt;&lt;Author&gt;Greco&lt;/Author&gt;&lt;Year&gt;2017&lt;/Year&gt;&lt;RecNum&gt;1865&lt;/RecNum&gt;&lt;DisplayText&gt;Greco et al., 2017&lt;/DisplayText&gt;&lt;record&gt;&lt;rec-number&gt;1865&lt;/rec-number&gt;&lt;foreign-keys&gt;&lt;key app="EN" db-id="fs9tzaewcs0w5hex9rmvxrsipvf5dpsvst5f" timestamp="1689690864"&gt;1865&lt;/key&gt;&lt;/foreign-keys&gt;&lt;ref-type name="Journal Article"&gt;17&lt;/ref-type&gt;&lt;contributors&gt;&lt;authors&gt;&lt;author&gt;Greco, C.&lt;/author&gt;&lt;author&gt;Iskander, I. F.&lt;/author&gt;&lt;author&gt;Akmal, D. M.&lt;/author&gt;&lt;author&gt;El Houchi, S. Z.&lt;/author&gt;&lt;author&gt;Khairy, D. A.&lt;/author&gt;&lt;author&gt;Bedogni, G.&lt;/author&gt;&lt;author&gt;Wennberg, R. P.&lt;/author&gt;&lt;author&gt;Tiribelli, C.&lt;/author&gt;&lt;author&gt;Zabetta, C. D. C.&lt;/author&gt;&lt;/authors&gt;&lt;/contributors&gt;&lt;titles&gt;&lt;title&gt;Comparison between Bilistick System and transcutaneous bilirubin in assessing total bilirubin serum concentration in jaundiced newborns&lt;/title&gt;&lt;secondary-title&gt;Journal of Perinatology&lt;/secondary-title&gt;&lt;/titles&gt;&lt;periodical&gt;&lt;full-title&gt;Journal of Perinatology&lt;/full-title&gt;&lt;/periodical&gt;&lt;pages&gt;1028-1031&lt;/pages&gt;&lt;volume&gt;37&lt;/volume&gt;&lt;number&gt;9&lt;/number&gt;&lt;dates&gt;&lt;year&gt;2017&lt;/year&gt;&lt;pub-dates&gt;&lt;date&gt;Sep&lt;/date&gt;&lt;/pub-dates&gt;&lt;/dates&gt;&lt;isbn&gt;0743-8346&lt;/isbn&gt;&lt;accession-num&gt;WOS:000410020600008&lt;/accession-num&gt;&lt;urls&gt;&lt;related-urls&gt;&lt;url&gt;&amp;lt;Go to ISI&amp;gt;://WOS:000410020600008&lt;/url&gt;&lt;/related-urls&gt;&lt;/urls&gt;&lt;electronic-resource-num&gt;10.1038/jp.2017.94&lt;/electronic-resource-num&gt;&lt;/record&gt;&lt;/Cite&gt;&lt;/EndNote&gt;</w:instrText>
      </w:r>
      <w:r>
        <w:rPr>
          <w:rFonts w:cs="Times New Roman"/>
          <w:b/>
          <w:bCs/>
          <w:lang w:val="en-GB"/>
        </w:rPr>
        <w:fldChar w:fldCharType="separate"/>
      </w:r>
      <w:r>
        <w:rPr>
          <w:rFonts w:cs="Times New Roman"/>
          <w:b/>
          <w:bCs/>
          <w:noProof/>
          <w:lang w:val="en-GB"/>
        </w:rPr>
        <w:t>Greco et al., 2017</w:t>
      </w:r>
      <w:r>
        <w:rPr>
          <w:rFonts w:cs="Times New Roman"/>
          <w:b/>
          <w:bCs/>
          <w:lang w:val="en-GB"/>
        </w:rPr>
        <w:fldChar w:fldCharType="end"/>
      </w:r>
      <w:r w:rsidR="00C07395" w:rsidRPr="00C07395">
        <w:rPr>
          <w:rFonts w:cs="Times New Roman"/>
          <w:b/>
          <w:bCs/>
          <w:lang w:val="en-GB"/>
        </w:rPr>
        <w:t xml:space="preserve"> (node 526_2017)</w:t>
      </w:r>
    </w:p>
    <w:p w14:paraId="0D4634C5" w14:textId="0A59EF12" w:rsidR="00C07395" w:rsidRPr="00C07395" w:rsidRDefault="00966E0F" w:rsidP="00C07395">
      <w:pPr>
        <w:rPr>
          <w:rFonts w:cs="Times New Roman"/>
          <w:lang w:val="en-GB"/>
        </w:rPr>
      </w:pPr>
      <w:r w:rsidRPr="00966E0F">
        <w:rPr>
          <w:rFonts w:cs="Times New Roman"/>
          <w:lang w:val="en-GB"/>
        </w:rPr>
        <w:t xml:space="preserve">This study explored the performance and accuracy of the JM-103 transcutaneous bilirubinometer and </w:t>
      </w:r>
      <w:proofErr w:type="spellStart"/>
      <w:r w:rsidRPr="00966E0F">
        <w:rPr>
          <w:rFonts w:cs="Times New Roman"/>
          <w:lang w:val="en-GB"/>
        </w:rPr>
        <w:t>Bilistick</w:t>
      </w:r>
      <w:proofErr w:type="spellEnd"/>
      <w:r w:rsidRPr="00966E0F">
        <w:rPr>
          <w:rFonts w:cs="Times New Roman"/>
          <w:lang w:val="en-GB"/>
        </w:rPr>
        <w:t xml:space="preserve"> System (BS) in measuring TSB in 126 newborns with a gestational age of &gt; 36 weeks readmitted and investigated for jaundiced at the Neonatal Intensive Care Unit of Cairo University Children’s Hospital. The authors used the results of the previous study </w:t>
      </w:r>
      <w:r w:rsidR="00C07395" w:rsidRPr="00C07395">
        <w:rPr>
          <w:rFonts w:cs="Times New Roman"/>
          <w:lang w:val="en-GB"/>
        </w:rPr>
        <w:t xml:space="preserve">(Olusanya, </w:t>
      </w:r>
      <w:proofErr w:type="spellStart"/>
      <w:r w:rsidR="00C07395" w:rsidRPr="00C07395">
        <w:rPr>
          <w:rFonts w:cs="Times New Roman"/>
          <w:lang w:val="en-GB"/>
        </w:rPr>
        <w:t>Imosemi</w:t>
      </w:r>
      <w:proofErr w:type="spellEnd"/>
      <w:r w:rsidR="00C07395" w:rsidRPr="00C07395">
        <w:rPr>
          <w:rFonts w:cs="Times New Roman"/>
          <w:lang w:val="en-GB"/>
        </w:rPr>
        <w:t xml:space="preserve">, &amp; </w:t>
      </w:r>
      <w:proofErr w:type="spellStart"/>
      <w:r w:rsidR="00C07395" w:rsidRPr="00C07395">
        <w:rPr>
          <w:rFonts w:cs="Times New Roman"/>
          <w:lang w:val="en-GB"/>
        </w:rPr>
        <w:t>Emokpae</w:t>
      </w:r>
      <w:proofErr w:type="spellEnd"/>
      <w:r w:rsidR="00C07395" w:rsidRPr="00C07395">
        <w:rPr>
          <w:rFonts w:cs="Times New Roman"/>
          <w:lang w:val="en-GB"/>
        </w:rPr>
        <w:t xml:space="preserve">, 2016) </w:t>
      </w:r>
      <w:r w:rsidRPr="00966E0F">
        <w:rPr>
          <w:rFonts w:cs="Times New Roman"/>
          <w:lang w:val="en-GB"/>
        </w:rPr>
        <w:t>to highlight the need to investigate the usefulness of these tools. When compared to the reference method (analysis in a clinical laboratory), the authors found that both JM-103 and BS are reliable methods for screening jaundiced newborns and that the BS can be an alternative to the JM-103 device in resource-limited settings due to its low cost.</w:t>
      </w:r>
      <w:r w:rsidR="00C07395" w:rsidRPr="00C07395">
        <w:rPr>
          <w:rFonts w:cs="Times New Roman"/>
          <w:lang w:val="en-GB"/>
        </w:rPr>
        <w:t xml:space="preserve"> </w:t>
      </w:r>
    </w:p>
    <w:p w14:paraId="4CED632E" w14:textId="5ED55CB3"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&lt;EndNote&gt;&lt;Cite&gt;&lt;Author&gt;Keahey&lt;/Author&gt;&lt;Year&gt;2017&lt;/Year&gt;&lt;RecNum&gt;1855&lt;/RecNum&gt;&lt;DisplayText&gt;Keahey et al., 2017&lt;/DisplayText&gt;&lt;record&gt;&lt;rec-number&gt;1855&lt;/rec-number&gt;&lt;foreign-keys&gt;&lt;key app="EN" db-id="fs9tzaewcs0w5hex9rmvxrsipvf5dpsvst5f" timestamp="1689167191"&gt;1855&lt;/key&gt;&lt;/foreign-keys&gt;&lt;ref-type name="Journal Article"&gt;17&lt;/ref-type&gt;&lt;contributors&gt;&lt;authors&gt;&lt;author&gt;Keahey, P. A.&lt;/author&gt;&lt;author&gt;Simeral, M. L.&lt;/author&gt;&lt;author&gt;Schroder, K. J.&lt;/author&gt;&lt;author&gt;Bond, M. M.&lt;/author&gt;&lt;author&gt;Mtenthaonnga, P. J.&lt;/author&gt;&lt;author&gt;Miros, R. H.&lt;/author&gt;&lt;author&gt;Dube, Q.&lt;/author&gt;&lt;author&gt;Richards-Kortum, R. R.&lt;/author&gt;&lt;/authors&gt;&lt;/contributors&gt;&lt;titles&gt;&lt;title&gt;Point-of-care device to diagnose and monitor neonatal jaundice in low-resource settings&lt;/title&gt;&lt;secondary-title&gt;Proceedings of the National Academy of Sciences of the United States of America&lt;/secondary-title&gt;&lt;/titles&gt;&lt;periodical&gt;&lt;full-title&gt;Proceedings of the National Academy of Sciences of the United States of America&lt;/full-title&gt;&lt;/periodical&gt;&lt;pages&gt;E10965-E10971&lt;/pages&gt;&lt;volume&gt;114&lt;/volume&gt;&lt;number&gt;51&lt;/number&gt;&lt;dates&gt;&lt;year&gt;2017&lt;/year&gt;&lt;pub-dates&gt;&lt;date&gt;Dec&lt;/date&gt;&lt;/pub-dates&gt;&lt;/dates&gt;&lt;isbn&gt;0027-8424&lt;/isbn&gt;&lt;accession-num&gt;WOS:000418321600016&lt;/accession-num&gt;&lt;urls&gt;&lt;related-urls&gt;&lt;url&gt;&amp;lt;Go to ISI&amp;gt;://WOS:000418321600016&lt;/url&gt;&lt;/related-urls&gt;&lt;/urls&gt;&lt;electronic-resource-num&gt;10.1073/pnas.1714020114&lt;/electronic-resource-num&gt;&lt;/record&gt;&lt;/Cite&gt;&lt;/EndNote&gt;</w:instrText>
      </w:r>
      <w:r>
        <w:rPr>
          <w:rFonts w:cs="Times New Roman"/>
          <w:b/>
          <w:bCs/>
          <w:lang w:val="en-GB"/>
        </w:rPr>
        <w:fldChar w:fldCharType="separate"/>
      </w:r>
      <w:r>
        <w:rPr>
          <w:rFonts w:cs="Times New Roman"/>
          <w:b/>
          <w:bCs/>
          <w:noProof/>
          <w:lang w:val="en-GB"/>
        </w:rPr>
        <w:t>Keahey et al., 2017</w:t>
      </w:r>
      <w:r>
        <w:rPr>
          <w:rFonts w:cs="Times New Roman"/>
          <w:b/>
          <w:bCs/>
          <w:lang w:val="en-GB"/>
        </w:rPr>
        <w:fldChar w:fldCharType="end"/>
      </w:r>
      <w:r w:rsidR="00C07395" w:rsidRPr="00C07395">
        <w:rPr>
          <w:rFonts w:cs="Times New Roman"/>
          <w:b/>
          <w:bCs/>
          <w:lang w:val="en-GB"/>
        </w:rPr>
        <w:t xml:space="preserve"> (node 436_2017)</w:t>
      </w:r>
    </w:p>
    <w:p w14:paraId="4A02C895" w14:textId="6B89568E" w:rsidR="00C07395" w:rsidRPr="00C07395" w:rsidRDefault="00FE3097" w:rsidP="00C07395">
      <w:pPr>
        <w:rPr>
          <w:rFonts w:cs="Times New Roman"/>
          <w:lang w:val="en-GB"/>
        </w:rPr>
      </w:pPr>
      <w:r w:rsidRPr="00FE3097">
        <w:rPr>
          <w:rFonts w:cs="Times New Roman"/>
          <w:lang w:val="en-GB"/>
        </w:rPr>
        <w:t xml:space="preserve">Considering the advantages and disadvantages of available instruments for measuring bilirubin, the authors have developed a low-cost, battery-powered reader that can rapidly quantify serum bilirubin levels from small drops of whole blood applied to a lateral flow card, the </w:t>
      </w:r>
      <w:proofErr w:type="spellStart"/>
      <w:r w:rsidRPr="00FE3097">
        <w:rPr>
          <w:rFonts w:cs="Times New Roman"/>
          <w:lang w:val="en-GB"/>
        </w:rPr>
        <w:t>BiliSpec</w:t>
      </w:r>
      <w:proofErr w:type="spellEnd"/>
      <w:r w:rsidRPr="00FE3097">
        <w:rPr>
          <w:rFonts w:cs="Times New Roman"/>
          <w:lang w:val="en-GB"/>
        </w:rPr>
        <w:t xml:space="preserve">. The new device was tested at Queen Elizabeth Central Hospital in Blantyre, Malawi, using the blood of 94 newborns at risk of jaundice. Comparison of the results obtained with the </w:t>
      </w:r>
      <w:proofErr w:type="spellStart"/>
      <w:r w:rsidRPr="00FE3097">
        <w:rPr>
          <w:rFonts w:cs="Times New Roman"/>
          <w:lang w:val="en-GB"/>
        </w:rPr>
        <w:t>BiliSpec</w:t>
      </w:r>
      <w:proofErr w:type="spellEnd"/>
      <w:r w:rsidRPr="00FE3097">
        <w:rPr>
          <w:rFonts w:cs="Times New Roman"/>
          <w:lang w:val="en-GB"/>
        </w:rPr>
        <w:t xml:space="preserve"> with those obtained with a laboratory reference standard showed a good correlation (r=0.97). The authors also found a slight overestimation of bilirubin concentration compared to the laboratory reference; a deviation of 0.3 mg/dL was found. Referring to previous studies, including that of</w:t>
      </w:r>
      <w:r>
        <w:rPr>
          <w:rFonts w:cs="Times New Roman"/>
          <w:lang w:val="en-GB"/>
        </w:rPr>
        <w:t xml:space="preserve"> </w:t>
      </w:r>
      <w:r w:rsidR="00C07395" w:rsidRPr="00C07395">
        <w:rPr>
          <w:rFonts w:cs="Times New Roman"/>
          <w:lang w:val="en-GB"/>
        </w:rPr>
        <w:t xml:space="preserve">Greco et al., 2017, </w:t>
      </w:r>
      <w:r w:rsidRPr="00FE3097">
        <w:rPr>
          <w:rFonts w:cs="Times New Roman"/>
          <w:lang w:val="en-GB"/>
        </w:rPr>
        <w:t>the authors emphasise the higher accuracy of the new device and the need for fewer user steps and disposables.</w:t>
      </w:r>
    </w:p>
    <w:p w14:paraId="67D5D30B" w14:textId="36536376" w:rsidR="00C07395" w:rsidRPr="00C07395" w:rsidRDefault="00BC2ECE" w:rsidP="00C07395">
      <w:pPr>
        <w:rPr>
          <w:rFonts w:cs="Times New Roman"/>
          <w:b/>
          <w:bCs/>
          <w:lang w:val="en-GB"/>
        </w:rPr>
      </w:pPr>
      <w:r>
        <w:rPr>
          <w:rFonts w:cs="Times New Roman"/>
          <w:b/>
          <w:bCs/>
          <w:lang w:val="en-GB"/>
        </w:rPr>
        <w:fldChar w:fldCharType="begin"/>
      </w:r>
      <w:r>
        <w:rPr>
          <w:rFonts w:cs="Times New Roman"/>
          <w:b/>
          <w:bCs/>
          <w:lang w:val="en-GB"/>
        </w:rPr>
        <w:instrText xml:space="preserve"> ADDIN EN.CITE &lt;EndNote&gt;&lt;Cite&gt;&lt;Author&gt;Bell&lt;/Author&gt;&lt;Year&gt;2019&lt;/Year&gt;&lt;RecNum&gt;1863&lt;/RecNum&gt;&lt;DisplayText&gt;Bell et al., 2019&lt;/DisplayText&gt;&lt;record&gt;&lt;rec-number&gt;1863&lt;/rec-number&gt;&lt;foreign-keys&gt;&lt;key app="EN" db-id="fs9tzaewcs0w5hex9rmvxrsipvf5dpsvst5f" timestamp="1689330607"&gt;1863&lt;/key&gt;&lt;/foreign-keys&gt;&lt;ref-type name="Journal Article"&gt;17&lt;/ref-type&gt;&lt;contributors&gt;&lt;authors&gt;&lt;author&gt;Bell, J. G.&lt;/author&gt;&lt;author&gt;Mousavi, M. P. S.&lt;/author&gt;&lt;author&gt;Abd El-Rahmana, M. K.&lt;/author&gt;&lt;author&gt;Tan, E. K. W.&lt;/author&gt;&lt;author&gt;Homer-Vanniasinkam, S.&lt;/author&gt;&lt;author&gt;Whitesides, G. M.&lt;/author&gt;&lt;/authors&gt;&lt;/contributors&gt;&lt;titles&gt;&lt;title&gt;Paper-based potentiometric sensing of free bilirubin in blood serum&lt;/title&gt;&lt;secondary-title&gt;Biosensors &amp;amp; Bioelectronics&lt;/secondary-title&gt;&lt;/titles&gt;&lt;periodical&gt;&lt;full-title&gt;Biosensors &amp;amp; Bioelectronics&lt;/full-title&gt;&lt;/periodical&gt;&lt;pages&gt;115-121&lt;/pages&gt;&lt;volume&gt;126&lt;/volume&gt;&lt;dates&gt;&lt;year&gt;2019&lt;/year&gt;&lt;pub-dates&gt;&lt;date&gt;Feb&lt;/date&gt;&lt;/pub-dates&gt;&lt;/dates&gt;&lt;isbn&gt;0956-5663&lt;/isbn&gt;&lt;accession-num&gt;WOS:000457659500016&lt;/accession-num&gt;&lt;urls&gt;&lt;related-urls&gt;&lt;url&gt;&amp;lt;Go to ISI&amp;gt;://WOS:000457659500016&lt;/url&gt;&lt;/related-urls&gt;&lt;/urls&gt;&lt;electronic-resource-num&gt;10.1016/j.bios.2018.10.055&lt;/electronic-resource-num&gt;&lt;/record&gt;&lt;/Cite&gt;&lt;/EndNote&gt;</w:instrText>
      </w:r>
      <w:r>
        <w:rPr>
          <w:rFonts w:cs="Times New Roman"/>
          <w:b/>
          <w:bCs/>
          <w:lang w:val="en-GB"/>
        </w:rPr>
        <w:fldChar w:fldCharType="separate"/>
      </w:r>
      <w:r>
        <w:rPr>
          <w:rFonts w:cs="Times New Roman"/>
          <w:b/>
          <w:bCs/>
          <w:noProof/>
          <w:lang w:val="en-GB"/>
        </w:rPr>
        <w:t>Bell et al., 2019</w:t>
      </w:r>
      <w:r>
        <w:rPr>
          <w:rFonts w:cs="Times New Roman"/>
          <w:b/>
          <w:bCs/>
          <w:lang w:val="en-GB"/>
        </w:rPr>
        <w:fldChar w:fldCharType="end"/>
      </w:r>
      <w:r w:rsidR="00C07395" w:rsidRPr="00C07395">
        <w:rPr>
          <w:rFonts w:cs="Times New Roman"/>
          <w:b/>
          <w:bCs/>
          <w:lang w:val="en-GB"/>
        </w:rPr>
        <w:t xml:space="preserve"> (node 249_2019)</w:t>
      </w:r>
    </w:p>
    <w:p w14:paraId="29785CC5" w14:textId="302345D9" w:rsidR="00CA3A4C" w:rsidRPr="00C07395" w:rsidRDefault="00FE3097" w:rsidP="00C07395">
      <w:pPr>
        <w:rPr>
          <w:rFonts w:cs="Times New Roman"/>
          <w:lang w:val="en-US"/>
        </w:rPr>
      </w:pPr>
      <w:r w:rsidRPr="00FE3097">
        <w:rPr>
          <w:rFonts w:cs="Times New Roman"/>
          <w:lang w:val="en-GB"/>
        </w:rPr>
        <w:t>This study recognises the need to have a device for measuring bilirubin whose characteristics are compatible with an environment characterised by limited resources. A potentiometric sensor for the quantification of free bilirubin in blood serum is presented. Looking at the disadvantages of the devices developed and presented in previous studies, such as</w:t>
      </w:r>
      <w:r>
        <w:rPr>
          <w:rFonts w:cs="Times New Roman"/>
          <w:lang w:val="en-GB"/>
        </w:rPr>
        <w:t xml:space="preserve"> </w:t>
      </w:r>
      <w:r w:rsidR="00C07395" w:rsidRPr="00C07395">
        <w:rPr>
          <w:rFonts w:cs="Times New Roman"/>
          <w:lang w:val="en-GB"/>
        </w:rPr>
        <w:t xml:space="preserve">in Keahey et al., 2017, </w:t>
      </w:r>
      <w:r w:rsidRPr="00FE3097">
        <w:rPr>
          <w:rFonts w:cs="Times New Roman"/>
          <w:lang w:val="en-GB"/>
        </w:rPr>
        <w:t>the authors highlighted the unnecessary separation of blood components to measure the amount of bilirubin as an advantage of the potentiometric sensor.</w:t>
      </w:r>
    </w:p>
    <w:p w14:paraId="235114A5" w14:textId="77777777" w:rsidR="007E3955" w:rsidRDefault="007E3955" w:rsidP="007E3955">
      <w:pPr>
        <w:rPr>
          <w:rFonts w:cs="Times New Roman"/>
          <w:noProof/>
          <w:lang w:val="en-US"/>
        </w:rPr>
      </w:pPr>
    </w:p>
    <w:p w14:paraId="7891B5FC" w14:textId="77777777" w:rsidR="007E3955" w:rsidRPr="0064370E" w:rsidRDefault="007E3955" w:rsidP="007E3955">
      <w:pPr>
        <w:rPr>
          <w:rFonts w:cs="Times New Roman"/>
          <w:noProof/>
          <w:lang w:val="en-US"/>
        </w:rPr>
        <w:sectPr w:rsidR="007E3955" w:rsidRPr="0064370E">
          <w:pgSz w:w="11906" w:h="16838"/>
          <w:pgMar w:top="1417" w:right="1701" w:bottom="1417" w:left="1701" w:header="708" w:footer="708" w:gutter="0"/>
          <w:cols w:space="708"/>
          <w:docGrid w:linePitch="360"/>
        </w:sectPr>
      </w:pPr>
    </w:p>
    <w:p w14:paraId="593D12CE" w14:textId="34DE1E4C" w:rsidR="006A6DA1" w:rsidRPr="00D64849" w:rsidRDefault="008A281B" w:rsidP="0020039F">
      <w:pPr>
        <w:rPr>
          <w:b/>
          <w:bCs/>
          <w:lang w:val="en-GB"/>
        </w:rPr>
      </w:pPr>
      <w:r w:rsidRPr="00D64849">
        <w:rPr>
          <w:b/>
          <w:bCs/>
          <w:lang w:val="en-GB"/>
        </w:rPr>
        <w:lastRenderedPageBreak/>
        <w:t>References</w:t>
      </w:r>
    </w:p>
    <w:p w14:paraId="7B4931DB" w14:textId="77777777" w:rsidR="0091486E" w:rsidRPr="0091486E" w:rsidRDefault="009C01C1" w:rsidP="0091486E">
      <w:pPr>
        <w:pStyle w:val="EndNoteBibliography"/>
        <w:spacing w:after="0"/>
        <w:ind w:left="720" w:hanging="720"/>
      </w:pPr>
      <w:r>
        <w:rPr>
          <w:b/>
          <w:color w:val="FF0000"/>
        </w:rPr>
        <w:fldChar w:fldCharType="begin"/>
      </w:r>
      <w:r>
        <w:rPr>
          <w:b/>
          <w:color w:val="FF0000"/>
        </w:rPr>
        <w:instrText xml:space="preserve"> ADDIN EN.REFLIST </w:instrText>
      </w:r>
      <w:r>
        <w:rPr>
          <w:b/>
          <w:color w:val="FF0000"/>
        </w:rPr>
        <w:fldChar w:fldCharType="separate"/>
      </w:r>
      <w:r w:rsidR="0091486E" w:rsidRPr="0091486E">
        <w:t xml:space="preserve">Althabe, F., Belizan, J. M., McClure, E. M., Hemingway-Foday, J., Berrueta, M., Mazzoni, A., . . . Buekens, P. M. (2015). A population-based, multifaceted strategy to implement antenatal corticosteroid treatment versus standard care for the reduction of neonatal mortality due to preterm birth in low-income and middle-income countries: the ACT cluster-randomised trial. </w:t>
      </w:r>
      <w:r w:rsidR="0091486E" w:rsidRPr="0091486E">
        <w:rPr>
          <w:i/>
        </w:rPr>
        <w:t>Lancet, 385</w:t>
      </w:r>
      <w:r w:rsidR="0091486E" w:rsidRPr="0091486E">
        <w:t>(9968), 629-639. doi:10.1016/s0140-6736(14)61651-2</w:t>
      </w:r>
    </w:p>
    <w:p w14:paraId="51BAD552" w14:textId="77777777" w:rsidR="0091486E" w:rsidRPr="0091486E" w:rsidRDefault="0091486E" w:rsidP="0091486E">
      <w:pPr>
        <w:pStyle w:val="EndNoteBibliography"/>
        <w:spacing w:after="0"/>
        <w:ind w:left="720" w:hanging="720"/>
      </w:pPr>
      <w:r w:rsidRPr="0091486E">
        <w:t xml:space="preserve">Baiden, F., Hodgson, A., Adjuik, M., Adongo, P., Ayaga, B., &amp; Binka, F. (2006). Trend and causes of neonatal mortality in the Kassena-Nankana district of northern Ghana, 1995-2002. </w:t>
      </w:r>
      <w:r w:rsidRPr="0091486E">
        <w:rPr>
          <w:i/>
        </w:rPr>
        <w:t>Tropical Medicine &amp; International Health, 11</w:t>
      </w:r>
      <w:r w:rsidRPr="0091486E">
        <w:t>(4), 532-539. doi:10.1111/j.1365-3156.2006.01582.x</w:t>
      </w:r>
    </w:p>
    <w:p w14:paraId="358AA398" w14:textId="77777777" w:rsidR="0091486E" w:rsidRPr="0091486E" w:rsidRDefault="0091486E" w:rsidP="0091486E">
      <w:pPr>
        <w:pStyle w:val="EndNoteBibliography"/>
        <w:spacing w:after="0"/>
        <w:ind w:left="720" w:hanging="720"/>
      </w:pPr>
      <w:r w:rsidRPr="0091486E">
        <w:t xml:space="preserve">Bell, J. G., Mousavi, M. P. S., Abd El-Rahmana, M. K., Tan, E. K. W., Homer-Vanniasinkam, S., &amp; Whitesides, G. M. (2019). Paper-based potentiometric sensing of free bilirubin in blood serum. </w:t>
      </w:r>
      <w:r w:rsidRPr="0091486E">
        <w:rPr>
          <w:i/>
        </w:rPr>
        <w:t>Biosensors &amp; Bioelectronics, 126</w:t>
      </w:r>
      <w:r w:rsidRPr="0091486E">
        <w:t>, 115-121. doi:10.1016/j.bios.2018.10.055</w:t>
      </w:r>
    </w:p>
    <w:p w14:paraId="5B9C6327" w14:textId="77777777" w:rsidR="0091486E" w:rsidRPr="0091486E" w:rsidRDefault="0091486E" w:rsidP="0091486E">
      <w:pPr>
        <w:pStyle w:val="EndNoteBibliography"/>
        <w:spacing w:after="0"/>
        <w:ind w:left="720" w:hanging="720"/>
      </w:pPr>
      <w:r w:rsidRPr="0091486E">
        <w:t xml:space="preserve">Black, R. E., Cousens, S., Johnson, H. L., Lawn, J. E., Rudan, I., Bassani, D. G., . . . Who, U. (2010). Global, regional, and national causes of child mortality in 2008: a systematic analysis. </w:t>
      </w:r>
      <w:r w:rsidRPr="0091486E">
        <w:rPr>
          <w:i/>
        </w:rPr>
        <w:t>Lancet, 375</w:t>
      </w:r>
      <w:r w:rsidRPr="0091486E">
        <w:t>(9730), 1969-1987. doi:10.1016/s0140-6736(10)60549-1</w:t>
      </w:r>
    </w:p>
    <w:p w14:paraId="29D3DCCF" w14:textId="77777777" w:rsidR="0091486E" w:rsidRPr="0091486E" w:rsidRDefault="0091486E" w:rsidP="0091486E">
      <w:pPr>
        <w:pStyle w:val="EndNoteBibliography"/>
        <w:spacing w:after="0"/>
        <w:ind w:left="720" w:hanging="720"/>
      </w:pPr>
      <w:r w:rsidRPr="0091486E">
        <w:t xml:space="preserve">Blencowe, H., Cousens, S., Oestergaard, M. Z., Chou, D., Moller, A. B., Narwal, R., . . . Lawn, J. E. (2012). National, regional, and worldwide estimates of preterm birth rates in the year 2010 with time trends since 1990 for selected countries: a systematic analysis and implications. </w:t>
      </w:r>
      <w:r w:rsidRPr="0091486E">
        <w:rPr>
          <w:i/>
        </w:rPr>
        <w:t>Lancet, 379</w:t>
      </w:r>
      <w:r w:rsidRPr="0091486E">
        <w:t>(9832), 2162-2172. doi:10.1016/s0140-6736(12)60820-4</w:t>
      </w:r>
    </w:p>
    <w:p w14:paraId="60B37F07" w14:textId="77777777" w:rsidR="0091486E" w:rsidRPr="0091486E" w:rsidRDefault="0091486E" w:rsidP="0091486E">
      <w:pPr>
        <w:pStyle w:val="EndNoteBibliography"/>
        <w:spacing w:after="0"/>
        <w:ind w:left="720" w:hanging="720"/>
      </w:pPr>
      <w:r w:rsidRPr="0091486E">
        <w:t xml:space="preserve">Buchmann, E. J., &amp; Pattinson, R. C. (2006). Babies who die from labour-related intrapartum hypoxia: a confidential enquiry in South African public hospitals. </w:t>
      </w:r>
      <w:r w:rsidRPr="0091486E">
        <w:rPr>
          <w:i/>
        </w:rPr>
        <w:t>Tropical Doctor, 36</w:t>
      </w:r>
      <w:r w:rsidRPr="0091486E">
        <w:t>(1), 8-10. doi:10.1258/004947506775598879</w:t>
      </w:r>
    </w:p>
    <w:p w14:paraId="18F33A57" w14:textId="77777777" w:rsidR="0091486E" w:rsidRPr="0091486E" w:rsidRDefault="0091486E" w:rsidP="0091486E">
      <w:pPr>
        <w:pStyle w:val="EndNoteBibliography"/>
        <w:spacing w:after="0"/>
        <w:ind w:left="720" w:hanging="720"/>
      </w:pPr>
      <w:r w:rsidRPr="0091486E">
        <w:t xml:space="preserve">Buchmann, E. J., Pattinson, R. C., &amp; Nyathikazi, N. (2002). Intrapartum-related birth asphyxia in South Africa - Lessons from the First National Perinatal Care Survey. </w:t>
      </w:r>
      <w:r w:rsidRPr="0091486E">
        <w:rPr>
          <w:i/>
        </w:rPr>
        <w:t>Samj South African Medical Journal, 92</w:t>
      </w:r>
      <w:r w:rsidRPr="0091486E">
        <w:t>(11), 897-901. Retrieved from &lt;Go to ISI&gt;://WOS:000179516100034</w:t>
      </w:r>
    </w:p>
    <w:p w14:paraId="34D1E3D6" w14:textId="77777777" w:rsidR="0091486E" w:rsidRPr="0091486E" w:rsidRDefault="0091486E" w:rsidP="0091486E">
      <w:pPr>
        <w:pStyle w:val="EndNoteBibliography"/>
        <w:spacing w:after="0"/>
        <w:ind w:left="720" w:hanging="720"/>
      </w:pPr>
      <w:r w:rsidRPr="0091486E">
        <w:t xml:space="preserve">Buchmann, E. J., &amp; Velaphi, S. C. (2009). Confidential enquiries into hypoxic ischaemic encephalopathy. </w:t>
      </w:r>
      <w:r w:rsidRPr="0091486E">
        <w:rPr>
          <w:i/>
        </w:rPr>
        <w:t>Best Practice &amp; Research Clinical Obstetrics &amp; Gynaecology, 23</w:t>
      </w:r>
      <w:r w:rsidRPr="0091486E">
        <w:t>(3), 357-368. doi:10.1016/j.bpobgyn.2008.12.004</w:t>
      </w:r>
    </w:p>
    <w:p w14:paraId="0930E897" w14:textId="77777777" w:rsidR="0091486E" w:rsidRPr="0091486E" w:rsidRDefault="0091486E" w:rsidP="0091486E">
      <w:pPr>
        <w:pStyle w:val="EndNoteBibliography"/>
        <w:spacing w:after="0"/>
        <w:ind w:left="720" w:hanging="720"/>
      </w:pPr>
      <w:r w:rsidRPr="0091486E">
        <w:t xml:space="preserve">Christian, P., Lee, S. E., Angel, M. D., Adair, L. S., Arifeen, S. E., Ashorn, P., . . . Black, R. E. (2013). Risk of childhood undernutrition related to small-for-gestational age and preterm birth in low- and middle-income countries. </w:t>
      </w:r>
      <w:r w:rsidRPr="0091486E">
        <w:rPr>
          <w:i/>
        </w:rPr>
        <w:t>International Journal of Epidemiology, 42</w:t>
      </w:r>
      <w:r w:rsidRPr="0091486E">
        <w:t>(5), 1340-1355. doi:10.1093/ije/dyt109</w:t>
      </w:r>
    </w:p>
    <w:p w14:paraId="61F79976" w14:textId="77777777" w:rsidR="0091486E" w:rsidRPr="0091486E" w:rsidRDefault="0091486E" w:rsidP="0091486E">
      <w:pPr>
        <w:pStyle w:val="EndNoteBibliography"/>
        <w:spacing w:after="0"/>
        <w:ind w:left="720" w:hanging="720"/>
      </w:pPr>
      <w:r w:rsidRPr="0091486E">
        <w:t xml:space="preserve">Edmond, K. M., Quigley, M. A., Zandoh, C., Danso, S., Hurt, C., Agyei, S. O., &amp; Kirkwood, B. R. (2008a). Aetiology of stillbirths and neonatal deaths in rural Ghana: implications for health programming in developing countries. </w:t>
      </w:r>
      <w:r w:rsidRPr="0091486E">
        <w:rPr>
          <w:i/>
        </w:rPr>
        <w:t>Paediatric and Perinatal Epidemiology, 22</w:t>
      </w:r>
      <w:r w:rsidRPr="0091486E">
        <w:t>(5), 430-437. doi:10.1111/j.1365-3016.2008.00961.x</w:t>
      </w:r>
    </w:p>
    <w:p w14:paraId="648F7C66" w14:textId="77777777" w:rsidR="0091486E" w:rsidRPr="0091486E" w:rsidRDefault="0091486E" w:rsidP="0091486E">
      <w:pPr>
        <w:pStyle w:val="EndNoteBibliography"/>
        <w:spacing w:after="0"/>
        <w:ind w:left="720" w:hanging="720"/>
      </w:pPr>
      <w:r w:rsidRPr="0091486E">
        <w:t xml:space="preserve">Edmond, K. M., Quigley, M. A., Zandoh, C., Danso, S., Hurt, C., Agyei, S. O., &amp; Kirkwood, B. R. (2008b). Diagnostic accuracy of verbal autopsies in ascertaining the causes of stillbirths and neonatal deaths in rural Ghana. </w:t>
      </w:r>
      <w:r w:rsidRPr="0091486E">
        <w:rPr>
          <w:i/>
        </w:rPr>
        <w:t>Paediatric and Perinatal Epidemiology, 22</w:t>
      </w:r>
      <w:r w:rsidRPr="0091486E">
        <w:t>(5), 417-429. doi:10.1111/j.1365-3016.2008.00962.x</w:t>
      </w:r>
    </w:p>
    <w:p w14:paraId="0C59D29E" w14:textId="77777777" w:rsidR="0091486E" w:rsidRPr="0091486E" w:rsidRDefault="0091486E" w:rsidP="0091486E">
      <w:pPr>
        <w:pStyle w:val="EndNoteBibliography"/>
        <w:spacing w:after="0"/>
        <w:ind w:left="720" w:hanging="720"/>
      </w:pPr>
      <w:r w:rsidRPr="0091486E">
        <w:t xml:space="preserve">Greco, C., Iskander, I. F., Akmal, D. M., El Houchi, S. Z., Khairy, D. A., Bedogni, G., . . . Zabetta, C. D. C. (2017). Comparison between Bilistick System and transcutaneous bilirubin in assessing total bilirubin serum concentration in jaundiced newborns. </w:t>
      </w:r>
      <w:r w:rsidRPr="0091486E">
        <w:rPr>
          <w:i/>
        </w:rPr>
        <w:t>Journal of Perinatology, 37</w:t>
      </w:r>
      <w:r w:rsidRPr="0091486E">
        <w:t>(9), 1028-1031. doi:10.1038/jp.2017.94</w:t>
      </w:r>
    </w:p>
    <w:p w14:paraId="7BC1BEE0" w14:textId="77777777" w:rsidR="0091486E" w:rsidRPr="0091486E" w:rsidRDefault="0091486E" w:rsidP="0091486E">
      <w:pPr>
        <w:pStyle w:val="EndNoteBibliography"/>
        <w:spacing w:after="0"/>
        <w:ind w:left="720" w:hanging="720"/>
      </w:pPr>
      <w:r w:rsidRPr="0091486E">
        <w:t xml:space="preserve">Keahey, P. A., Simeral, M. L., Schroder, K. J., Bond, M. M., Mtenthaonnga, P. J., Miros, R. H., . . . Richards-Kortum, R. R. (2017). Point-of-care device to diagnose and monitor neonatal jaundice in low-resource settings. </w:t>
      </w:r>
      <w:r w:rsidRPr="0091486E">
        <w:rPr>
          <w:i/>
        </w:rPr>
        <w:t>Proceedings of the National Academy of Sciences of the United States of America, 114</w:t>
      </w:r>
      <w:r w:rsidRPr="0091486E">
        <w:t>(51), E10965-E10971. doi:10.1073/pnas.1714020114</w:t>
      </w:r>
    </w:p>
    <w:p w14:paraId="2EAC5DDA" w14:textId="77777777" w:rsidR="0091486E" w:rsidRPr="0091486E" w:rsidRDefault="0091486E" w:rsidP="0091486E">
      <w:pPr>
        <w:pStyle w:val="EndNoteBibliography"/>
        <w:spacing w:after="0"/>
        <w:ind w:left="720" w:hanging="720"/>
      </w:pPr>
      <w:r w:rsidRPr="0091486E">
        <w:lastRenderedPageBreak/>
        <w:t xml:space="preserve">Lawn, J. E., Blencowe, H., Oza, S., You, D. Z., Lee, A. C. C., Waiswa, P., . . . Lancet Every Newborn Study, G. (2014). Every Newborn: progress, priorities, and potential beyond survival. </w:t>
      </w:r>
      <w:r w:rsidRPr="0091486E">
        <w:rPr>
          <w:i/>
        </w:rPr>
        <w:t>Lancet, 384</w:t>
      </w:r>
      <w:r w:rsidRPr="0091486E">
        <w:t>(9938), 189-205. doi:10.1016/s0140-6736(14)60496-7</w:t>
      </w:r>
    </w:p>
    <w:p w14:paraId="3853B371" w14:textId="77777777" w:rsidR="0091486E" w:rsidRPr="0091486E" w:rsidRDefault="0091486E" w:rsidP="0091486E">
      <w:pPr>
        <w:pStyle w:val="EndNoteBibliography"/>
        <w:spacing w:after="0"/>
        <w:ind w:left="720" w:hanging="720"/>
      </w:pPr>
      <w:r w:rsidRPr="0091486E">
        <w:t xml:space="preserve">Lawn, J. E., Blencowe, H., Pattinson, R., Cousens, S., Kumar, R., Ibiebele, I., . . . Lancet's Stillbirths Series, S. (2011). Stillbirths: Where? When? Why? How to make the data count? </w:t>
      </w:r>
      <w:r w:rsidRPr="0091486E">
        <w:rPr>
          <w:i/>
        </w:rPr>
        <w:t>Lancet, 377</w:t>
      </w:r>
      <w:r w:rsidRPr="0091486E">
        <w:t>(9775), 1448-1463. doi:10.1016/s0140-6736(10)62187-3</w:t>
      </w:r>
    </w:p>
    <w:p w14:paraId="217E2C6B" w14:textId="77777777" w:rsidR="0091486E" w:rsidRPr="0091486E" w:rsidRDefault="0091486E" w:rsidP="0091486E">
      <w:pPr>
        <w:pStyle w:val="EndNoteBibliography"/>
        <w:spacing w:after="0"/>
        <w:ind w:left="720" w:hanging="720"/>
      </w:pPr>
      <w:r w:rsidRPr="0091486E">
        <w:t xml:space="preserve">Lawn, J. E., Kinney, M., Lee, A. C. C., Chopra, M., Donnay, F., Paul, V. K., . . . Darmstadt, G. L. (2009). Reducing intrapartum-related deaths and disability: Can the health system deliver? </w:t>
      </w:r>
      <w:r w:rsidRPr="0091486E">
        <w:rPr>
          <w:i/>
        </w:rPr>
        <w:t>International Journal of Gynecology &amp; Obstetrics, 107</w:t>
      </w:r>
      <w:r w:rsidRPr="0091486E">
        <w:t>, S123-S142. doi:10.1016/j.ijgo.2009.07.021</w:t>
      </w:r>
    </w:p>
    <w:p w14:paraId="229CE3B6" w14:textId="77777777" w:rsidR="0091486E" w:rsidRPr="0091486E" w:rsidRDefault="0091486E" w:rsidP="0091486E">
      <w:pPr>
        <w:pStyle w:val="EndNoteBibliography"/>
        <w:spacing w:after="0"/>
        <w:ind w:left="720" w:hanging="720"/>
      </w:pPr>
      <w:r w:rsidRPr="0091486E">
        <w:t xml:space="preserve">Lawn, J. E., Wilczynska-Ketende, K., &amp; Cousens, S. N. (2006). Estimating the causes of 4 million neonatal deaths in the year 2000. </w:t>
      </w:r>
      <w:r w:rsidRPr="0091486E">
        <w:rPr>
          <w:i/>
        </w:rPr>
        <w:t>International Journal of Epidemiology, 35</w:t>
      </w:r>
      <w:r w:rsidRPr="0091486E">
        <w:t>(3), 706-718. doi:10.1093/ije/dyl043</w:t>
      </w:r>
    </w:p>
    <w:p w14:paraId="0A4FF09B" w14:textId="77777777" w:rsidR="0091486E" w:rsidRPr="0091486E" w:rsidRDefault="0091486E" w:rsidP="0091486E">
      <w:pPr>
        <w:pStyle w:val="EndNoteBibliography"/>
        <w:spacing w:after="0"/>
        <w:ind w:left="720" w:hanging="720"/>
      </w:pPr>
      <w:r w:rsidRPr="0091486E">
        <w:t xml:space="preserve">Lee, A. C. C., Katz, J., Blencowe, H., Cousens, S., Kozuki, N., Vogel, J. P., . . . Birth, C. S.-P. (2013). National and regional estimates of term and preterm babies born small for gestational age in 138 low-income and middle-income countries in 2010. </w:t>
      </w:r>
      <w:r w:rsidRPr="0091486E">
        <w:rPr>
          <w:i/>
        </w:rPr>
        <w:t>Lancet Global Health, 1</w:t>
      </w:r>
      <w:r w:rsidRPr="0091486E">
        <w:t>(1), E26-E36. doi:10.1016/s2214-109x(13)70006-8</w:t>
      </w:r>
    </w:p>
    <w:p w14:paraId="39EF1E0B" w14:textId="77777777" w:rsidR="0091486E" w:rsidRPr="0091486E" w:rsidRDefault="0091486E" w:rsidP="0091486E">
      <w:pPr>
        <w:pStyle w:val="EndNoteBibliography"/>
        <w:spacing w:after="0"/>
        <w:ind w:left="720" w:hanging="720"/>
      </w:pPr>
      <w:r w:rsidRPr="0091486E">
        <w:t xml:space="preserve">Liu, J. S., &amp; Lu, L. Y. Y. (2012). An Integrated Approach for Main Path Analysis: Development of the Hirsch Index as an Example. </w:t>
      </w:r>
      <w:r w:rsidRPr="0091486E">
        <w:rPr>
          <w:i/>
        </w:rPr>
        <w:t>Journal of the American Society for Information Science and Technology, 63</w:t>
      </w:r>
      <w:r w:rsidRPr="0091486E">
        <w:t>(3), 528-542. doi:10.1002/asi.21692</w:t>
      </w:r>
    </w:p>
    <w:p w14:paraId="1DF6E1A6" w14:textId="77777777" w:rsidR="0091486E" w:rsidRPr="003953F1" w:rsidRDefault="0091486E" w:rsidP="0091486E">
      <w:pPr>
        <w:pStyle w:val="EndNoteBibliography"/>
        <w:spacing w:after="0"/>
        <w:ind w:left="720" w:hanging="720"/>
        <w:rPr>
          <w:lang w:val="pt-PT"/>
        </w:rPr>
      </w:pPr>
      <w:r w:rsidRPr="003953F1">
        <w:rPr>
          <w:lang w:val="pt-PT"/>
        </w:rPr>
        <w:t xml:space="preserve">Liu, J. S., Lu, L. Y. Y., &amp; Ho, M. H. C. (2019). </w:t>
      </w:r>
      <w:r w:rsidRPr="0091486E">
        <w:t xml:space="preserve">A few notes on main path analysis. </w:t>
      </w:r>
      <w:r w:rsidRPr="003953F1">
        <w:rPr>
          <w:i/>
          <w:lang w:val="pt-PT"/>
        </w:rPr>
        <w:t>Scientometrics, 119</w:t>
      </w:r>
      <w:r w:rsidRPr="003953F1">
        <w:rPr>
          <w:lang w:val="pt-PT"/>
        </w:rPr>
        <w:t>(1), 379-391. doi:10.1007/s11192-019-03034-x</w:t>
      </w:r>
    </w:p>
    <w:p w14:paraId="37B99F83" w14:textId="77777777" w:rsidR="0091486E" w:rsidRPr="0091486E" w:rsidRDefault="0091486E" w:rsidP="0091486E">
      <w:pPr>
        <w:pStyle w:val="EndNoteBibliography"/>
        <w:spacing w:after="0"/>
        <w:ind w:left="720" w:hanging="720"/>
      </w:pPr>
      <w:r w:rsidRPr="003953F1">
        <w:rPr>
          <w:lang w:val="pt-PT"/>
        </w:rPr>
        <w:t xml:space="preserve">Massawe, A., Kidanto, H. L., Moshiro, R., Majaliwa, E., Chacha, F., Shayo, A., . . . </w:t>
      </w:r>
      <w:r w:rsidRPr="0091486E">
        <w:t xml:space="preserve">Perlman, J. M. (2018). A care bundle including antenatal corticosteroids reduces preterm infant mortality in Tanzania a low resource country. </w:t>
      </w:r>
      <w:r w:rsidRPr="0091486E">
        <w:rPr>
          <w:i/>
        </w:rPr>
        <w:t>Plos One, 13</w:t>
      </w:r>
      <w:r w:rsidRPr="0091486E">
        <w:t>(3). doi:10.1371/journal.pone.0193146</w:t>
      </w:r>
    </w:p>
    <w:p w14:paraId="59954626" w14:textId="77777777" w:rsidR="0091486E" w:rsidRPr="0091486E" w:rsidRDefault="0091486E" w:rsidP="0091486E">
      <w:pPr>
        <w:pStyle w:val="EndNoteBibliography"/>
        <w:spacing w:after="0"/>
        <w:ind w:left="720" w:hanging="720"/>
      </w:pPr>
      <w:r w:rsidRPr="0091486E">
        <w:t xml:space="preserve">Moshiro, R., Perlman, J. M., Mdoe, P., Kidanto, H., Kvaloy, T., &amp; Ersdal, H. L. (2019). Potential causes of early death among admitted newborns in a rural Tanzanian hospital. </w:t>
      </w:r>
      <w:r w:rsidRPr="0091486E">
        <w:rPr>
          <w:i/>
        </w:rPr>
        <w:t>Plos One, 14</w:t>
      </w:r>
      <w:r w:rsidRPr="0091486E">
        <w:t>(10). doi:10.1371/journal.pone.0222935</w:t>
      </w:r>
    </w:p>
    <w:p w14:paraId="7AC14E6E" w14:textId="77777777" w:rsidR="0091486E" w:rsidRPr="0091486E" w:rsidRDefault="0091486E" w:rsidP="0091486E">
      <w:pPr>
        <w:pStyle w:val="EndNoteBibliography"/>
        <w:spacing w:after="0"/>
        <w:ind w:left="720" w:hanging="720"/>
      </w:pPr>
      <w:r w:rsidRPr="0091486E">
        <w:t xml:space="preserve">Olusanya, B. O., Imosemi, D. O., &amp; Emokpae, A. A. (2016). Differences Between Transcutaneous and Serum Bilirubin Measurements in Black African Neonates. </w:t>
      </w:r>
      <w:r w:rsidRPr="0091486E">
        <w:rPr>
          <w:i/>
        </w:rPr>
        <w:t>Pediatrics, 138</w:t>
      </w:r>
      <w:r w:rsidRPr="0091486E">
        <w:t>(3). doi:10.1542/peds.2016-0907</w:t>
      </w:r>
    </w:p>
    <w:p w14:paraId="6AF21059" w14:textId="77777777" w:rsidR="0091486E" w:rsidRPr="0091486E" w:rsidRDefault="0091486E" w:rsidP="0091486E">
      <w:pPr>
        <w:pStyle w:val="EndNoteBibliography"/>
        <w:spacing w:after="0"/>
        <w:ind w:left="720" w:hanging="720"/>
      </w:pPr>
      <w:r w:rsidRPr="0091486E">
        <w:t xml:space="preserve">Pattinson, R., Kerber, K., Waiswa, P., Day, L. T., Mussell, F., Asiruddin, S., . . . Lawn, J. E. (2009). Perinatal mortality audit: Counting, accountability, and overcoming challenges in scaling up in low- and middle-income countries. </w:t>
      </w:r>
      <w:r w:rsidRPr="0091486E">
        <w:rPr>
          <w:i/>
        </w:rPr>
        <w:t>International Journal of Gynecology &amp; Obstetrics, 107</w:t>
      </w:r>
      <w:r w:rsidRPr="0091486E">
        <w:t>, S113-S122. doi:10.1016/j.ijgo.2009.07.011</w:t>
      </w:r>
    </w:p>
    <w:p w14:paraId="7561809F" w14:textId="77777777" w:rsidR="0091486E" w:rsidRPr="0091486E" w:rsidRDefault="0091486E" w:rsidP="0091486E">
      <w:pPr>
        <w:pStyle w:val="EndNoteBibliography"/>
        <w:spacing w:after="0"/>
        <w:ind w:left="720" w:hanging="720"/>
      </w:pPr>
      <w:r w:rsidRPr="0091486E">
        <w:t xml:space="preserve">Pitt, C., Lawn, J. E., Ranganathan, M., Mills, A., &amp; Hanson, K. (2012). Donor Funding for Newborn Survival: An Analysis of Donor-Reported Data, 2002-2010. </w:t>
      </w:r>
      <w:r w:rsidRPr="0091486E">
        <w:rPr>
          <w:i/>
        </w:rPr>
        <w:t>Plos Medicine, 9</w:t>
      </w:r>
      <w:r w:rsidRPr="0091486E">
        <w:t>(10). doi:10.1371/journal.pmed.1001332</w:t>
      </w:r>
    </w:p>
    <w:p w14:paraId="06B17E9F" w14:textId="77777777" w:rsidR="0091486E" w:rsidRPr="0091486E" w:rsidRDefault="0091486E" w:rsidP="0091486E">
      <w:pPr>
        <w:pStyle w:val="EndNoteBibliography"/>
        <w:spacing w:after="0"/>
        <w:ind w:left="720" w:hanging="720"/>
      </w:pPr>
      <w:r w:rsidRPr="0091486E">
        <w:t xml:space="preserve">Slusher, T. M., Olusanya, B. O., Vreman, H. J., Brearley, A. M., Vaucher, Y. E., Lund, T. C., . . . Stevenson, D. K. (2015). A Randomized Trial of Phototherapy with Filtered Sunlight in African Neonates. </w:t>
      </w:r>
      <w:r w:rsidRPr="0091486E">
        <w:rPr>
          <w:i/>
        </w:rPr>
        <w:t>New England Journal of Medicine, 373</w:t>
      </w:r>
      <w:r w:rsidRPr="0091486E">
        <w:t>(12), 1115-1124. doi:10.1056/NEJMoa1501074</w:t>
      </w:r>
    </w:p>
    <w:p w14:paraId="2E73E99B" w14:textId="77777777" w:rsidR="0091486E" w:rsidRPr="0091486E" w:rsidRDefault="0091486E" w:rsidP="0091486E">
      <w:pPr>
        <w:pStyle w:val="EndNoteBibliography"/>
        <w:spacing w:after="0"/>
        <w:ind w:left="720" w:hanging="720"/>
      </w:pPr>
      <w:r w:rsidRPr="0091486E">
        <w:t xml:space="preserve">Velaphi, S., &amp; Pattinson, R. (2007). Avoidable factors and causes of neonatal deaths from perinatal asphyxia-hypoxia in South Africa: national perinatal survey. </w:t>
      </w:r>
      <w:r w:rsidRPr="0091486E">
        <w:rPr>
          <w:i/>
        </w:rPr>
        <w:t>Annals of Tropical Paediatrics, 27</w:t>
      </w:r>
      <w:r w:rsidRPr="0091486E">
        <w:t>(2), 99-106. doi:10.1179/146532807x192462</w:t>
      </w:r>
    </w:p>
    <w:p w14:paraId="0C7BC31F" w14:textId="77777777" w:rsidR="0091486E" w:rsidRPr="0091486E" w:rsidRDefault="0091486E" w:rsidP="0091486E">
      <w:pPr>
        <w:pStyle w:val="EndNoteBibliography"/>
        <w:ind w:left="720" w:hanging="720"/>
      </w:pPr>
      <w:r w:rsidRPr="0091486E">
        <w:t xml:space="preserve">Verspagen, B. (2007). Mapping Technological Trajectories as Patent citation Networks: a Study on the History of Fuel Cell Research. </w:t>
      </w:r>
      <w:r w:rsidRPr="0091486E">
        <w:rPr>
          <w:i/>
        </w:rPr>
        <w:t>Advances in Complex Systems (ACS), 10</w:t>
      </w:r>
      <w:r w:rsidRPr="0091486E">
        <w:t>, 93-115. doi:10.1142/S0219525907000945</w:t>
      </w:r>
    </w:p>
    <w:p w14:paraId="6D43876A" w14:textId="1769747D" w:rsidR="008A281B" w:rsidRPr="00D34106" w:rsidRDefault="009C01C1" w:rsidP="0020039F">
      <w:pPr>
        <w:rPr>
          <w:b/>
          <w:bCs/>
          <w:color w:val="FF0000"/>
        </w:rPr>
      </w:pPr>
      <w:r>
        <w:rPr>
          <w:b/>
          <w:bCs/>
          <w:color w:val="FF0000"/>
        </w:rPr>
        <w:fldChar w:fldCharType="end"/>
      </w:r>
      <w:bookmarkEnd w:id="0"/>
    </w:p>
    <w:sectPr w:rsidR="008A281B" w:rsidRPr="00D34106" w:rsidSect="008A281B">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5FA80C" w14:textId="77777777" w:rsidR="00A06E6C" w:rsidRDefault="00A06E6C">
      <w:pPr>
        <w:spacing w:after="0" w:line="240" w:lineRule="auto"/>
      </w:pPr>
      <w:r>
        <w:separator/>
      </w:r>
    </w:p>
  </w:endnote>
  <w:endnote w:type="continuationSeparator" w:id="0">
    <w:p w14:paraId="6558E143" w14:textId="77777777" w:rsidR="00A06E6C" w:rsidRDefault="00A06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5197616"/>
      <w:docPartObj>
        <w:docPartGallery w:val="Page Numbers (Bottom of Page)"/>
        <w:docPartUnique/>
      </w:docPartObj>
    </w:sdtPr>
    <w:sdtEndPr>
      <w:rPr>
        <w:noProof/>
      </w:rPr>
    </w:sdtEndPr>
    <w:sdtContent>
      <w:p w14:paraId="41FBB46B" w14:textId="77777777" w:rsidR="00FD4632" w:rsidRDefault="006A6DA1">
        <w:pPr>
          <w:pStyle w:val="Footer"/>
          <w:jc w:val="right"/>
        </w:pPr>
        <w:r>
          <w:fldChar w:fldCharType="begin"/>
        </w:r>
        <w:r>
          <w:instrText xml:space="preserve"> PAGE   \* MERGEFORMAT </w:instrText>
        </w:r>
        <w:r>
          <w:fldChar w:fldCharType="separate"/>
        </w:r>
        <w:r w:rsidR="0020039F">
          <w:rPr>
            <w:noProof/>
          </w:rPr>
          <w:t>4</w:t>
        </w:r>
        <w:r>
          <w:rPr>
            <w:noProof/>
          </w:rPr>
          <w:fldChar w:fldCharType="end"/>
        </w:r>
      </w:p>
    </w:sdtContent>
  </w:sdt>
  <w:p w14:paraId="704552FF" w14:textId="77777777" w:rsidR="00FD4632" w:rsidRDefault="00FD463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EE9F6" w14:textId="77777777" w:rsidR="00A06E6C" w:rsidRDefault="00A06E6C">
      <w:pPr>
        <w:spacing w:after="0" w:line="240" w:lineRule="auto"/>
      </w:pPr>
      <w:r>
        <w:separator/>
      </w:r>
    </w:p>
  </w:footnote>
  <w:footnote w:type="continuationSeparator" w:id="0">
    <w:p w14:paraId="58605850" w14:textId="77777777" w:rsidR="00A06E6C" w:rsidRDefault="00A06E6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773CF"/>
    <w:multiLevelType w:val="hybridMultilevel"/>
    <w:tmpl w:val="2236B69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 w15:restartNumberingAfterBreak="0">
    <w:nsid w:val="69943000"/>
    <w:multiLevelType w:val="multilevel"/>
    <w:tmpl w:val="08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16cid:durableId="705644887">
    <w:abstractNumId w:val="1"/>
  </w:num>
  <w:num w:numId="2" w16cid:durableId="536744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QwNTKwMDaxNDQyMjRR0lEKTi0uzszPAykwrAUANltbuywAAAA="/>
    <w:docVar w:name="EN.InstantFormat" w:val="&lt;ENInstantFormat&gt;&lt;Enabled&gt;1&lt;/Enabled&gt;&lt;ScanUnformatted&gt;1&lt;/ScanUnformatted&gt;&lt;ScanChanges&gt;1&lt;/ScanChanges&gt;&lt;Suspended&gt;0&lt;/Suspended&gt;&lt;/ENInstantFormat&gt;"/>
    <w:docVar w:name="EN.Layout" w:val="&lt;ENLayout&gt;&lt;Style&gt;APA 6th Copy&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s9tzaewcs0w5hex9rmvxrsipvf5dpsvst5f&quot;&gt;Bibliografia&lt;record-ids&gt;&lt;item&gt;1822&lt;/item&gt;&lt;item&gt;1823&lt;/item&gt;&lt;item&gt;1832&lt;/item&gt;&lt;item&gt;1834&lt;/item&gt;&lt;item&gt;1835&lt;/item&gt;&lt;item&gt;1836&lt;/item&gt;&lt;item&gt;1837&lt;/item&gt;&lt;item&gt;1838&lt;/item&gt;&lt;item&gt;1839&lt;/item&gt;&lt;item&gt;1840&lt;/item&gt;&lt;item&gt;1841&lt;/item&gt;&lt;item&gt;1843&lt;/item&gt;&lt;item&gt;1844&lt;/item&gt;&lt;item&gt;1847&lt;/item&gt;&lt;item&gt;1848&lt;/item&gt;&lt;item&gt;1850&lt;/item&gt;&lt;item&gt;1851&lt;/item&gt;&lt;item&gt;1853&lt;/item&gt;&lt;item&gt;1855&lt;/item&gt;&lt;item&gt;1856&lt;/item&gt;&lt;item&gt;1857&lt;/item&gt;&lt;item&gt;1858&lt;/item&gt;&lt;item&gt;1859&lt;/item&gt;&lt;item&gt;1860&lt;/item&gt;&lt;item&gt;1861&lt;/item&gt;&lt;item&gt;1862&lt;/item&gt;&lt;item&gt;1863&lt;/item&gt;&lt;item&gt;1865&lt;/item&gt;&lt;/record-ids&gt;&lt;/item&gt;&lt;/Libraries&gt;"/>
  </w:docVars>
  <w:rsids>
    <w:rsidRoot w:val="006E0EFF"/>
    <w:rsid w:val="00022CD8"/>
    <w:rsid w:val="00024799"/>
    <w:rsid w:val="0004061D"/>
    <w:rsid w:val="0005226D"/>
    <w:rsid w:val="00093EA5"/>
    <w:rsid w:val="000B479F"/>
    <w:rsid w:val="000C6A51"/>
    <w:rsid w:val="000F43DA"/>
    <w:rsid w:val="000F49B4"/>
    <w:rsid w:val="0010530D"/>
    <w:rsid w:val="00124BD2"/>
    <w:rsid w:val="0013663B"/>
    <w:rsid w:val="001664D4"/>
    <w:rsid w:val="00196D47"/>
    <w:rsid w:val="001C456A"/>
    <w:rsid w:val="001E1464"/>
    <w:rsid w:val="0020039F"/>
    <w:rsid w:val="00205503"/>
    <w:rsid w:val="00217722"/>
    <w:rsid w:val="00225524"/>
    <w:rsid w:val="002419FA"/>
    <w:rsid w:val="002443DD"/>
    <w:rsid w:val="002540B7"/>
    <w:rsid w:val="00254431"/>
    <w:rsid w:val="002705D4"/>
    <w:rsid w:val="002A157F"/>
    <w:rsid w:val="002A5138"/>
    <w:rsid w:val="002F219D"/>
    <w:rsid w:val="00301F59"/>
    <w:rsid w:val="003506B4"/>
    <w:rsid w:val="003606B4"/>
    <w:rsid w:val="0036233B"/>
    <w:rsid w:val="003953F1"/>
    <w:rsid w:val="003A6CE7"/>
    <w:rsid w:val="003C218E"/>
    <w:rsid w:val="003C3137"/>
    <w:rsid w:val="003E559A"/>
    <w:rsid w:val="003F3D31"/>
    <w:rsid w:val="00403ACD"/>
    <w:rsid w:val="00410DEF"/>
    <w:rsid w:val="004120D0"/>
    <w:rsid w:val="0042312B"/>
    <w:rsid w:val="00424704"/>
    <w:rsid w:val="00430622"/>
    <w:rsid w:val="00466BF5"/>
    <w:rsid w:val="00497EFB"/>
    <w:rsid w:val="004A7284"/>
    <w:rsid w:val="004B21F6"/>
    <w:rsid w:val="004D2063"/>
    <w:rsid w:val="00506265"/>
    <w:rsid w:val="005142DB"/>
    <w:rsid w:val="00545106"/>
    <w:rsid w:val="00556873"/>
    <w:rsid w:val="00572D5F"/>
    <w:rsid w:val="00590A5F"/>
    <w:rsid w:val="005D167E"/>
    <w:rsid w:val="005D244E"/>
    <w:rsid w:val="005D3A0F"/>
    <w:rsid w:val="005F3812"/>
    <w:rsid w:val="00604353"/>
    <w:rsid w:val="006119D2"/>
    <w:rsid w:val="0064210D"/>
    <w:rsid w:val="00675D52"/>
    <w:rsid w:val="00687CF2"/>
    <w:rsid w:val="006901C6"/>
    <w:rsid w:val="00690A8A"/>
    <w:rsid w:val="00691D1E"/>
    <w:rsid w:val="006A6DA1"/>
    <w:rsid w:val="006C1EFA"/>
    <w:rsid w:val="006E0EFF"/>
    <w:rsid w:val="00712C02"/>
    <w:rsid w:val="00714551"/>
    <w:rsid w:val="007200E4"/>
    <w:rsid w:val="007308B5"/>
    <w:rsid w:val="00746FBE"/>
    <w:rsid w:val="00754404"/>
    <w:rsid w:val="007744F8"/>
    <w:rsid w:val="007B2858"/>
    <w:rsid w:val="007C157C"/>
    <w:rsid w:val="007C2374"/>
    <w:rsid w:val="007C6163"/>
    <w:rsid w:val="007E3955"/>
    <w:rsid w:val="007E668E"/>
    <w:rsid w:val="007F5911"/>
    <w:rsid w:val="00804967"/>
    <w:rsid w:val="008317E4"/>
    <w:rsid w:val="00866751"/>
    <w:rsid w:val="00871028"/>
    <w:rsid w:val="008867B7"/>
    <w:rsid w:val="008A281B"/>
    <w:rsid w:val="008B7D79"/>
    <w:rsid w:val="008C2A6D"/>
    <w:rsid w:val="008D68F4"/>
    <w:rsid w:val="0091483E"/>
    <w:rsid w:val="0091486E"/>
    <w:rsid w:val="00916C4D"/>
    <w:rsid w:val="0093614B"/>
    <w:rsid w:val="009370E4"/>
    <w:rsid w:val="009413A3"/>
    <w:rsid w:val="00966E0F"/>
    <w:rsid w:val="00990A9A"/>
    <w:rsid w:val="00992EA1"/>
    <w:rsid w:val="009961A7"/>
    <w:rsid w:val="009A4B2C"/>
    <w:rsid w:val="009C01C1"/>
    <w:rsid w:val="009E6559"/>
    <w:rsid w:val="00A06E6C"/>
    <w:rsid w:val="00A44695"/>
    <w:rsid w:val="00A977C9"/>
    <w:rsid w:val="00AA2CD0"/>
    <w:rsid w:val="00AE2A38"/>
    <w:rsid w:val="00B00B0C"/>
    <w:rsid w:val="00B021C2"/>
    <w:rsid w:val="00B42C4D"/>
    <w:rsid w:val="00B54BCE"/>
    <w:rsid w:val="00B90394"/>
    <w:rsid w:val="00B979E4"/>
    <w:rsid w:val="00BA587F"/>
    <w:rsid w:val="00BC2ECE"/>
    <w:rsid w:val="00BF572A"/>
    <w:rsid w:val="00C02B92"/>
    <w:rsid w:val="00C07395"/>
    <w:rsid w:val="00C31599"/>
    <w:rsid w:val="00C44746"/>
    <w:rsid w:val="00C80314"/>
    <w:rsid w:val="00C94DEB"/>
    <w:rsid w:val="00CA3A4C"/>
    <w:rsid w:val="00CA4034"/>
    <w:rsid w:val="00CB49A8"/>
    <w:rsid w:val="00D30694"/>
    <w:rsid w:val="00D34106"/>
    <w:rsid w:val="00D64849"/>
    <w:rsid w:val="00D77B74"/>
    <w:rsid w:val="00D804A7"/>
    <w:rsid w:val="00D84C74"/>
    <w:rsid w:val="00D920BC"/>
    <w:rsid w:val="00DB0866"/>
    <w:rsid w:val="00DD1522"/>
    <w:rsid w:val="00E31AC7"/>
    <w:rsid w:val="00E51069"/>
    <w:rsid w:val="00E7300F"/>
    <w:rsid w:val="00E75495"/>
    <w:rsid w:val="00E836FB"/>
    <w:rsid w:val="00EE191E"/>
    <w:rsid w:val="00EF59FB"/>
    <w:rsid w:val="00F40C1D"/>
    <w:rsid w:val="00FA313C"/>
    <w:rsid w:val="00FD4632"/>
    <w:rsid w:val="00FE3097"/>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AD0F96"/>
  <w15:chartTrackingRefBased/>
  <w15:docId w15:val="{D7CE69AE-B77D-4865-B341-312A630B2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bCs/>
        <w:i/>
        <w:szCs w:val="22"/>
        <w:lang w:val="pt-P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955"/>
    <w:pPr>
      <w:spacing w:line="360" w:lineRule="auto"/>
    </w:pPr>
    <w:rPr>
      <w:rFonts w:cstheme="minorBidi"/>
      <w:bCs w:val="0"/>
      <w:i w:val="0"/>
      <w:sz w:val="22"/>
    </w:rPr>
  </w:style>
  <w:style w:type="paragraph" w:styleId="Heading1">
    <w:name w:val="heading 1"/>
    <w:basedOn w:val="Normal"/>
    <w:next w:val="Normal"/>
    <w:link w:val="Heading1Char"/>
    <w:uiPriority w:val="9"/>
    <w:qFormat/>
    <w:rsid w:val="007E3955"/>
    <w:pPr>
      <w:keepNext/>
      <w:keepLines/>
      <w:numPr>
        <w:numId w:val="1"/>
      </w:numPr>
      <w:spacing w:before="240" w:after="0"/>
      <w:outlineLvl w:val="0"/>
    </w:pPr>
    <w:rPr>
      <w:rFonts w:eastAsiaTheme="majorEastAsia" w:cstheme="majorBidi"/>
      <w:color w:val="2E74B5" w:themeColor="accent1" w:themeShade="BF"/>
      <w:sz w:val="28"/>
      <w:szCs w:val="32"/>
    </w:rPr>
  </w:style>
  <w:style w:type="paragraph" w:styleId="Heading2">
    <w:name w:val="heading 2"/>
    <w:basedOn w:val="Normal"/>
    <w:next w:val="Normal"/>
    <w:link w:val="Heading2Char"/>
    <w:uiPriority w:val="9"/>
    <w:unhideWhenUsed/>
    <w:qFormat/>
    <w:rsid w:val="007E3955"/>
    <w:pPr>
      <w:keepNext/>
      <w:keepLines/>
      <w:numPr>
        <w:ilvl w:val="1"/>
        <w:numId w:val="1"/>
      </w:numPr>
      <w:spacing w:before="40" w:after="0"/>
      <w:outlineLvl w:val="1"/>
    </w:pPr>
    <w:rPr>
      <w:rFonts w:eastAsiaTheme="majorEastAsia"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7E3955"/>
    <w:pPr>
      <w:keepNext/>
      <w:keepLines/>
      <w:numPr>
        <w:ilvl w:val="2"/>
        <w:numId w:val="1"/>
      </w:numPr>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7E3955"/>
    <w:pPr>
      <w:keepNext/>
      <w:keepLines/>
      <w:numPr>
        <w:ilvl w:val="3"/>
        <w:numId w:val="1"/>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7E3955"/>
    <w:pPr>
      <w:keepNext/>
      <w:keepLines/>
      <w:numPr>
        <w:ilvl w:val="4"/>
        <w:numId w:val="1"/>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7E3955"/>
    <w:pPr>
      <w:keepNext/>
      <w:keepLines/>
      <w:numPr>
        <w:ilvl w:val="5"/>
        <w:numId w:val="1"/>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7E3955"/>
    <w:pPr>
      <w:keepNext/>
      <w:keepLines/>
      <w:numPr>
        <w:ilvl w:val="6"/>
        <w:numId w:val="1"/>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7E3955"/>
    <w:pPr>
      <w:keepNext/>
      <w:keepLines/>
      <w:numPr>
        <w:ilvl w:val="7"/>
        <w:numId w:val="1"/>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E3955"/>
    <w:pPr>
      <w:keepNext/>
      <w:keepLines/>
      <w:numPr>
        <w:ilvl w:val="8"/>
        <w:numId w:val="1"/>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3955"/>
    <w:rPr>
      <w:rFonts w:eastAsiaTheme="majorEastAsia" w:cstheme="majorBidi"/>
      <w:bCs w:val="0"/>
      <w:i w:val="0"/>
      <w:color w:val="2E74B5" w:themeColor="accent1" w:themeShade="BF"/>
      <w:sz w:val="28"/>
      <w:szCs w:val="32"/>
    </w:rPr>
  </w:style>
  <w:style w:type="character" w:customStyle="1" w:styleId="Heading2Char">
    <w:name w:val="Heading 2 Char"/>
    <w:basedOn w:val="DefaultParagraphFont"/>
    <w:link w:val="Heading2"/>
    <w:uiPriority w:val="9"/>
    <w:rsid w:val="007E3955"/>
    <w:rPr>
      <w:rFonts w:eastAsiaTheme="majorEastAsia" w:cstheme="majorBidi"/>
      <w:bCs w:val="0"/>
      <w:i w:val="0"/>
      <w:color w:val="2E74B5" w:themeColor="accent1" w:themeShade="BF"/>
      <w:sz w:val="26"/>
      <w:szCs w:val="26"/>
    </w:rPr>
  </w:style>
  <w:style w:type="character" w:customStyle="1" w:styleId="Heading3Char">
    <w:name w:val="Heading 3 Char"/>
    <w:basedOn w:val="DefaultParagraphFont"/>
    <w:link w:val="Heading3"/>
    <w:uiPriority w:val="9"/>
    <w:semiHidden/>
    <w:rsid w:val="007E3955"/>
    <w:rPr>
      <w:rFonts w:asciiTheme="majorHAnsi" w:eastAsiaTheme="majorEastAsia" w:hAnsiTheme="majorHAnsi" w:cstheme="majorBidi"/>
      <w:bCs w:val="0"/>
      <w:i w:val="0"/>
      <w:color w:val="1F4D78" w:themeColor="accent1" w:themeShade="7F"/>
      <w:sz w:val="24"/>
      <w:szCs w:val="24"/>
    </w:rPr>
  </w:style>
  <w:style w:type="character" w:customStyle="1" w:styleId="Heading4Char">
    <w:name w:val="Heading 4 Char"/>
    <w:basedOn w:val="DefaultParagraphFont"/>
    <w:link w:val="Heading4"/>
    <w:uiPriority w:val="9"/>
    <w:semiHidden/>
    <w:rsid w:val="007E3955"/>
    <w:rPr>
      <w:rFonts w:asciiTheme="majorHAnsi" w:eastAsiaTheme="majorEastAsia" w:hAnsiTheme="majorHAnsi" w:cstheme="majorBidi"/>
      <w:bCs w:val="0"/>
      <w:iCs/>
      <w:color w:val="2E74B5" w:themeColor="accent1" w:themeShade="BF"/>
      <w:sz w:val="22"/>
    </w:rPr>
  </w:style>
  <w:style w:type="character" w:customStyle="1" w:styleId="Heading5Char">
    <w:name w:val="Heading 5 Char"/>
    <w:basedOn w:val="DefaultParagraphFont"/>
    <w:link w:val="Heading5"/>
    <w:uiPriority w:val="9"/>
    <w:semiHidden/>
    <w:rsid w:val="007E3955"/>
    <w:rPr>
      <w:rFonts w:asciiTheme="majorHAnsi" w:eastAsiaTheme="majorEastAsia" w:hAnsiTheme="majorHAnsi" w:cstheme="majorBidi"/>
      <w:bCs w:val="0"/>
      <w:i w:val="0"/>
      <w:color w:val="2E74B5" w:themeColor="accent1" w:themeShade="BF"/>
      <w:sz w:val="22"/>
    </w:rPr>
  </w:style>
  <w:style w:type="character" w:customStyle="1" w:styleId="Heading6Char">
    <w:name w:val="Heading 6 Char"/>
    <w:basedOn w:val="DefaultParagraphFont"/>
    <w:link w:val="Heading6"/>
    <w:uiPriority w:val="9"/>
    <w:semiHidden/>
    <w:rsid w:val="007E3955"/>
    <w:rPr>
      <w:rFonts w:asciiTheme="majorHAnsi" w:eastAsiaTheme="majorEastAsia" w:hAnsiTheme="majorHAnsi" w:cstheme="majorBidi"/>
      <w:bCs w:val="0"/>
      <w:i w:val="0"/>
      <w:color w:val="1F4D78" w:themeColor="accent1" w:themeShade="7F"/>
      <w:sz w:val="22"/>
    </w:rPr>
  </w:style>
  <w:style w:type="character" w:customStyle="1" w:styleId="Heading7Char">
    <w:name w:val="Heading 7 Char"/>
    <w:basedOn w:val="DefaultParagraphFont"/>
    <w:link w:val="Heading7"/>
    <w:uiPriority w:val="9"/>
    <w:semiHidden/>
    <w:rsid w:val="007E3955"/>
    <w:rPr>
      <w:rFonts w:asciiTheme="majorHAnsi" w:eastAsiaTheme="majorEastAsia" w:hAnsiTheme="majorHAnsi" w:cstheme="majorBidi"/>
      <w:bCs w:val="0"/>
      <w:iCs/>
      <w:color w:val="1F4D78" w:themeColor="accent1" w:themeShade="7F"/>
      <w:sz w:val="22"/>
    </w:rPr>
  </w:style>
  <w:style w:type="character" w:customStyle="1" w:styleId="Heading8Char">
    <w:name w:val="Heading 8 Char"/>
    <w:basedOn w:val="DefaultParagraphFont"/>
    <w:link w:val="Heading8"/>
    <w:uiPriority w:val="9"/>
    <w:semiHidden/>
    <w:rsid w:val="007E3955"/>
    <w:rPr>
      <w:rFonts w:asciiTheme="majorHAnsi" w:eastAsiaTheme="majorEastAsia" w:hAnsiTheme="majorHAnsi" w:cstheme="majorBidi"/>
      <w:bCs w:val="0"/>
      <w:i w:val="0"/>
      <w:color w:val="272727" w:themeColor="text1" w:themeTint="D8"/>
      <w:sz w:val="21"/>
      <w:szCs w:val="21"/>
    </w:rPr>
  </w:style>
  <w:style w:type="character" w:customStyle="1" w:styleId="Heading9Char">
    <w:name w:val="Heading 9 Char"/>
    <w:basedOn w:val="DefaultParagraphFont"/>
    <w:link w:val="Heading9"/>
    <w:uiPriority w:val="9"/>
    <w:semiHidden/>
    <w:rsid w:val="007E3955"/>
    <w:rPr>
      <w:rFonts w:asciiTheme="majorHAnsi" w:eastAsiaTheme="majorEastAsia" w:hAnsiTheme="majorHAnsi" w:cstheme="majorBidi"/>
      <w:bCs w:val="0"/>
      <w:iCs/>
      <w:color w:val="272727" w:themeColor="text1" w:themeTint="D8"/>
      <w:sz w:val="21"/>
      <w:szCs w:val="21"/>
    </w:rPr>
  </w:style>
  <w:style w:type="paragraph" w:styleId="Footer">
    <w:name w:val="footer"/>
    <w:basedOn w:val="Normal"/>
    <w:link w:val="FooterChar"/>
    <w:uiPriority w:val="99"/>
    <w:unhideWhenUsed/>
    <w:rsid w:val="007E3955"/>
    <w:pPr>
      <w:tabs>
        <w:tab w:val="center" w:pos="4252"/>
        <w:tab w:val="right" w:pos="8504"/>
      </w:tabs>
      <w:spacing w:after="0" w:line="240" w:lineRule="auto"/>
    </w:pPr>
  </w:style>
  <w:style w:type="character" w:customStyle="1" w:styleId="FooterChar">
    <w:name w:val="Footer Char"/>
    <w:basedOn w:val="DefaultParagraphFont"/>
    <w:link w:val="Footer"/>
    <w:uiPriority w:val="99"/>
    <w:rsid w:val="007E3955"/>
    <w:rPr>
      <w:rFonts w:cstheme="minorBidi"/>
      <w:bCs w:val="0"/>
      <w:i w:val="0"/>
      <w:sz w:val="22"/>
    </w:rPr>
  </w:style>
  <w:style w:type="paragraph" w:styleId="Caption">
    <w:name w:val="caption"/>
    <w:basedOn w:val="Normal"/>
    <w:next w:val="Normal"/>
    <w:uiPriority w:val="35"/>
    <w:unhideWhenUsed/>
    <w:qFormat/>
    <w:rsid w:val="007E3955"/>
    <w:pPr>
      <w:spacing w:after="200" w:line="240" w:lineRule="auto"/>
    </w:pPr>
    <w:rPr>
      <w:i/>
      <w:iCs/>
      <w:color w:val="44546A" w:themeColor="text2"/>
      <w:sz w:val="18"/>
      <w:szCs w:val="18"/>
    </w:rPr>
  </w:style>
  <w:style w:type="character" w:styleId="CommentReference">
    <w:name w:val="annotation reference"/>
    <w:basedOn w:val="DefaultParagraphFont"/>
    <w:uiPriority w:val="99"/>
    <w:semiHidden/>
    <w:unhideWhenUsed/>
    <w:rsid w:val="00E7300F"/>
    <w:rPr>
      <w:sz w:val="16"/>
      <w:szCs w:val="16"/>
    </w:rPr>
  </w:style>
  <w:style w:type="paragraph" w:styleId="CommentText">
    <w:name w:val="annotation text"/>
    <w:basedOn w:val="Normal"/>
    <w:link w:val="CommentTextChar"/>
    <w:uiPriority w:val="99"/>
    <w:unhideWhenUsed/>
    <w:rsid w:val="00E7300F"/>
    <w:pPr>
      <w:spacing w:line="240" w:lineRule="auto"/>
    </w:pPr>
    <w:rPr>
      <w:bCs/>
      <w:sz w:val="20"/>
      <w:szCs w:val="20"/>
    </w:rPr>
  </w:style>
  <w:style w:type="character" w:customStyle="1" w:styleId="CommentTextChar">
    <w:name w:val="Comment Text Char"/>
    <w:basedOn w:val="DefaultParagraphFont"/>
    <w:link w:val="CommentText"/>
    <w:uiPriority w:val="99"/>
    <w:rsid w:val="00E7300F"/>
    <w:rPr>
      <w:rFonts w:cstheme="minorBidi"/>
      <w:i w:val="0"/>
      <w:szCs w:val="20"/>
    </w:rPr>
  </w:style>
  <w:style w:type="paragraph" w:styleId="ListParagraph">
    <w:name w:val="List Paragraph"/>
    <w:basedOn w:val="Normal"/>
    <w:uiPriority w:val="34"/>
    <w:qFormat/>
    <w:rsid w:val="007F5911"/>
    <w:pPr>
      <w:ind w:left="720"/>
      <w:contextualSpacing/>
    </w:pPr>
  </w:style>
  <w:style w:type="paragraph" w:styleId="CommentSubject">
    <w:name w:val="annotation subject"/>
    <w:basedOn w:val="CommentText"/>
    <w:next w:val="CommentText"/>
    <w:link w:val="CommentSubjectChar"/>
    <w:uiPriority w:val="99"/>
    <w:semiHidden/>
    <w:unhideWhenUsed/>
    <w:rsid w:val="00675D52"/>
    <w:rPr>
      <w:b/>
    </w:rPr>
  </w:style>
  <w:style w:type="character" w:customStyle="1" w:styleId="CommentSubjectChar">
    <w:name w:val="Comment Subject Char"/>
    <w:basedOn w:val="CommentTextChar"/>
    <w:link w:val="CommentSubject"/>
    <w:uiPriority w:val="99"/>
    <w:semiHidden/>
    <w:rsid w:val="00675D52"/>
    <w:rPr>
      <w:rFonts w:cstheme="minorBidi"/>
      <w:b/>
      <w:i w:val="0"/>
      <w:szCs w:val="20"/>
    </w:rPr>
  </w:style>
  <w:style w:type="paragraph" w:customStyle="1" w:styleId="EndNoteBibliographyTitle">
    <w:name w:val="EndNote Bibliography Title"/>
    <w:basedOn w:val="Normal"/>
    <w:link w:val="EndNoteBibliographyTitleChar"/>
    <w:rsid w:val="009C01C1"/>
    <w:pPr>
      <w:spacing w:after="0"/>
      <w:jc w:val="center"/>
    </w:pPr>
    <w:rPr>
      <w:rFonts w:cs="Times New Roman"/>
      <w:noProof/>
      <w:lang w:val="en-US"/>
    </w:rPr>
  </w:style>
  <w:style w:type="character" w:customStyle="1" w:styleId="EndNoteBibliographyTitleChar">
    <w:name w:val="EndNote Bibliography Title Char"/>
    <w:basedOn w:val="DefaultParagraphFont"/>
    <w:link w:val="EndNoteBibliographyTitle"/>
    <w:rsid w:val="009C01C1"/>
    <w:rPr>
      <w:bCs w:val="0"/>
      <w:i w:val="0"/>
      <w:noProof/>
      <w:sz w:val="22"/>
      <w:lang w:val="en-US"/>
    </w:rPr>
  </w:style>
  <w:style w:type="paragraph" w:customStyle="1" w:styleId="EndNoteBibliography">
    <w:name w:val="EndNote Bibliography"/>
    <w:basedOn w:val="Normal"/>
    <w:link w:val="EndNoteBibliographyChar"/>
    <w:rsid w:val="009C01C1"/>
    <w:pPr>
      <w:spacing w:line="240" w:lineRule="auto"/>
    </w:pPr>
    <w:rPr>
      <w:rFonts w:cs="Times New Roman"/>
      <w:noProof/>
      <w:lang w:val="en-US"/>
    </w:rPr>
  </w:style>
  <w:style w:type="character" w:customStyle="1" w:styleId="EndNoteBibliographyChar">
    <w:name w:val="EndNote Bibliography Char"/>
    <w:basedOn w:val="DefaultParagraphFont"/>
    <w:link w:val="EndNoteBibliography"/>
    <w:rsid w:val="009C01C1"/>
    <w:rPr>
      <w:bCs w:val="0"/>
      <w:i w:val="0"/>
      <w:noProof/>
      <w:sz w:val="22"/>
      <w:lang w:val="en-US"/>
    </w:rPr>
  </w:style>
  <w:style w:type="character" w:styleId="Strong">
    <w:name w:val="Strong"/>
    <w:basedOn w:val="DefaultParagraphFont"/>
    <w:uiPriority w:val="22"/>
    <w:qFormat/>
    <w:rsid w:val="00E75495"/>
    <w:rPr>
      <w:b/>
      <w:b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6367700">
      <w:bodyDiv w:val="1"/>
      <w:marLeft w:val="0"/>
      <w:marRight w:val="0"/>
      <w:marTop w:val="0"/>
      <w:marBottom w:val="0"/>
      <w:divBdr>
        <w:top w:val="none" w:sz="0" w:space="0" w:color="auto"/>
        <w:left w:val="none" w:sz="0" w:space="0" w:color="auto"/>
        <w:bottom w:val="none" w:sz="0" w:space="0" w:color="auto"/>
        <w:right w:val="none" w:sz="0" w:space="0" w:color="auto"/>
      </w:divBdr>
    </w:div>
    <w:div w:id="838349925">
      <w:bodyDiv w:val="1"/>
      <w:marLeft w:val="0"/>
      <w:marRight w:val="0"/>
      <w:marTop w:val="0"/>
      <w:marBottom w:val="0"/>
      <w:divBdr>
        <w:top w:val="none" w:sz="0" w:space="0" w:color="auto"/>
        <w:left w:val="none" w:sz="0" w:space="0" w:color="auto"/>
        <w:bottom w:val="none" w:sz="0" w:space="0" w:color="auto"/>
        <w:right w:val="none" w:sz="0" w:space="0" w:color="auto"/>
      </w:divBdr>
    </w:div>
    <w:div w:id="1086876815">
      <w:bodyDiv w:val="1"/>
      <w:marLeft w:val="0"/>
      <w:marRight w:val="0"/>
      <w:marTop w:val="0"/>
      <w:marBottom w:val="0"/>
      <w:divBdr>
        <w:top w:val="none" w:sz="0" w:space="0" w:color="auto"/>
        <w:left w:val="none" w:sz="0" w:space="0" w:color="auto"/>
        <w:bottom w:val="none" w:sz="0" w:space="0" w:color="auto"/>
        <w:right w:val="none" w:sz="0" w:space="0" w:color="auto"/>
      </w:divBdr>
    </w:div>
    <w:div w:id="1315142630">
      <w:bodyDiv w:val="1"/>
      <w:marLeft w:val="0"/>
      <w:marRight w:val="0"/>
      <w:marTop w:val="0"/>
      <w:marBottom w:val="0"/>
      <w:divBdr>
        <w:top w:val="none" w:sz="0" w:space="0" w:color="auto"/>
        <w:left w:val="none" w:sz="0" w:space="0" w:color="auto"/>
        <w:bottom w:val="none" w:sz="0" w:space="0" w:color="auto"/>
        <w:right w:val="none" w:sz="0" w:space="0" w:color="auto"/>
      </w:divBdr>
    </w:div>
    <w:div w:id="2017002444">
      <w:bodyDiv w:val="1"/>
      <w:marLeft w:val="0"/>
      <w:marRight w:val="0"/>
      <w:marTop w:val="0"/>
      <w:marBottom w:val="0"/>
      <w:divBdr>
        <w:top w:val="none" w:sz="0" w:space="0" w:color="auto"/>
        <w:left w:val="none" w:sz="0" w:space="0" w:color="auto"/>
        <w:bottom w:val="none" w:sz="0" w:space="0" w:color="auto"/>
        <w:right w:val="none" w:sz="0" w:space="0" w:color="auto"/>
      </w:divBdr>
    </w:div>
    <w:div w:id="2019699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1A21E5-651C-423D-8B1F-2FAD23918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1050</TotalTime>
  <Pages>18</Pages>
  <Words>12160</Words>
  <Characters>65664</Characters>
  <Application>Microsoft Office Word</Application>
  <DocSecurity>0</DocSecurity>
  <Lines>547</Lines>
  <Paragraphs>155</Paragraphs>
  <ScaleCrop>false</ScaleCrop>
  <HeadingPairs>
    <vt:vector size="2" baseType="variant">
      <vt:variant>
        <vt:lpstr>Title</vt:lpstr>
      </vt:variant>
      <vt:variant>
        <vt:i4>1</vt:i4>
      </vt:variant>
    </vt:vector>
  </HeadingPairs>
  <TitlesOfParts>
    <vt:vector size="1" baseType="lpstr">
      <vt:lpstr/>
    </vt:vector>
  </TitlesOfParts>
  <Company>Universidade do Porto</Company>
  <LinksUpToDate>false</LinksUpToDate>
  <CharactersWithSpaces>77669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dc:creator>
  <cp:keywords/>
  <dc:description/>
  <cp:lastModifiedBy>Elizabeth</cp:lastModifiedBy>
  <cp:revision>42</cp:revision>
  <dcterms:created xsi:type="dcterms:W3CDTF">2022-06-30T08:41:00Z</dcterms:created>
  <dcterms:modified xsi:type="dcterms:W3CDTF">2023-09-06T13:14:00Z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25992a91bb3933cf45cc69962d52207b222cd95a86dddc8865154a026c5beae8</vt:lpwstr>
  </property>
</Properties>
</file>