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66D6F" w14:textId="15184DC8" w:rsidR="00662EDD" w:rsidRPr="00662EDD" w:rsidRDefault="00662EDD" w:rsidP="00662EDD">
      <w:pPr>
        <w:jc w:val="center"/>
        <w:rPr>
          <w:rFonts w:ascii="Times New Roman" w:hAnsi="Times New Roman" w:cs="Times New Roman"/>
          <w:sz w:val="40"/>
          <w:szCs w:val="44"/>
        </w:rPr>
      </w:pPr>
      <w:r w:rsidRPr="00662EDD">
        <w:rPr>
          <w:rFonts w:ascii="Times New Roman" w:hAnsi="Times New Roman" w:cs="Times New Roman"/>
          <w:sz w:val="28"/>
          <w:szCs w:val="32"/>
        </w:rPr>
        <w:t>S</w:t>
      </w:r>
      <w:r w:rsidRPr="00662EDD">
        <w:rPr>
          <w:rFonts w:ascii="Times New Roman" w:hAnsi="Times New Roman" w:cs="Times New Roman"/>
          <w:sz w:val="28"/>
          <w:szCs w:val="32"/>
        </w:rPr>
        <w:t>upplementary</w:t>
      </w:r>
      <w:r w:rsidRPr="00662EDD">
        <w:rPr>
          <w:rFonts w:ascii="Times New Roman" w:hAnsi="Times New Roman" w:cs="Times New Roman"/>
          <w:sz w:val="28"/>
          <w:szCs w:val="32"/>
        </w:rPr>
        <w:t xml:space="preserve"> </w:t>
      </w:r>
      <w:r w:rsidRPr="00662EDD">
        <w:rPr>
          <w:rFonts w:ascii="Times New Roman" w:hAnsi="Times New Roman" w:cs="Times New Roman" w:hint="eastAsia"/>
          <w:sz w:val="28"/>
          <w:szCs w:val="32"/>
        </w:rPr>
        <w:t>figures</w:t>
      </w:r>
    </w:p>
    <w:p w14:paraId="44668B3F" w14:textId="77777777" w:rsidR="00662EDD" w:rsidRDefault="00662EDD" w:rsidP="00830CDD">
      <w:pPr>
        <w:rPr>
          <w:rFonts w:ascii="Times New Roman" w:hAnsi="Times New Roman" w:cs="Times New Roman"/>
        </w:rPr>
      </w:pPr>
    </w:p>
    <w:p w14:paraId="0B062A25" w14:textId="7B9B0E7D" w:rsidR="00830CDD" w:rsidRPr="005F1A9F" w:rsidRDefault="00830CDD" w:rsidP="00830CDD">
      <w:pPr>
        <w:rPr>
          <w:rFonts w:ascii="Times New Roman" w:hAnsi="Times New Roman" w:cs="Times New Roman"/>
        </w:rPr>
      </w:pPr>
      <w:r w:rsidRPr="005F1A9F">
        <w:rPr>
          <w:rFonts w:ascii="Times New Roman" w:hAnsi="Times New Roman" w:cs="Times New Roman"/>
        </w:rPr>
        <w:t xml:space="preserve">Fig. </w:t>
      </w:r>
      <w:r w:rsidR="00662EDD">
        <w:rPr>
          <w:rFonts w:ascii="Times New Roman" w:hAnsi="Times New Roman" w:cs="Times New Roman"/>
        </w:rPr>
        <w:t>1</w:t>
      </w:r>
      <w:r w:rsidRPr="005F1A9F">
        <w:rPr>
          <w:rFonts w:ascii="Times New Roman" w:hAnsi="Times New Roman" w:cs="Times New Roman"/>
        </w:rPr>
        <w:t xml:space="preserve">: Evaluating the Diagnostic Performance of Various Models in the </w:t>
      </w:r>
      <w:r>
        <w:rPr>
          <w:rFonts w:ascii="Times New Roman" w:hAnsi="Times New Roman" w:cs="Times New Roman" w:hint="eastAsia"/>
        </w:rPr>
        <w:t>validation</w:t>
      </w:r>
      <w:r w:rsidRPr="005F1A9F">
        <w:rPr>
          <w:rFonts w:ascii="Times New Roman" w:hAnsi="Times New Roman" w:cs="Times New Roman"/>
        </w:rPr>
        <w:t xml:space="preserve"> set using Receiver Operating Characteristics Curves and Values of the Area Under the Curves.</w:t>
      </w:r>
    </w:p>
    <w:p w14:paraId="068B8604" w14:textId="77777777" w:rsidR="00830CDD" w:rsidRPr="004343E5" w:rsidRDefault="00830CDD" w:rsidP="00830CDD">
      <w:pPr>
        <w:jc w:val="center"/>
      </w:pPr>
    </w:p>
    <w:p w14:paraId="31A10040" w14:textId="77777777" w:rsidR="00830CDD" w:rsidRDefault="00830CDD" w:rsidP="00830CDD">
      <w:pPr>
        <w:jc w:val="center"/>
      </w:pPr>
      <w:r>
        <w:rPr>
          <w:rFonts w:ascii="Times New Roman" w:hAnsi="Times New Roman" w:cs="Times New Roman"/>
          <w:noProof/>
        </w:rPr>
        <w:drawing>
          <wp:inline distT="0" distB="0" distL="0" distR="0" wp14:anchorId="089364F4" wp14:editId="1994A5FB">
            <wp:extent cx="4136205" cy="2926800"/>
            <wp:effectExtent l="0" t="0" r="0" b="698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6205" cy="292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F1821" w14:textId="203CCB58" w:rsidR="00830CDD" w:rsidRPr="00662EDD" w:rsidRDefault="00830CDD" w:rsidP="00830CDD">
      <w:pPr>
        <w:rPr>
          <w:rFonts w:ascii="Times New Roman" w:hAnsi="Times New Roman" w:cs="Times New Roman"/>
        </w:rPr>
      </w:pPr>
      <w:r w:rsidRPr="00662EDD">
        <w:rPr>
          <w:rFonts w:ascii="Times New Roman" w:hAnsi="Times New Roman" w:cs="Times New Roman" w:hint="eastAsia"/>
        </w:rPr>
        <w:t>Fig</w:t>
      </w:r>
      <w:r w:rsidRPr="00662EDD">
        <w:rPr>
          <w:rFonts w:ascii="Times New Roman" w:hAnsi="Times New Roman" w:cs="Times New Roman"/>
        </w:rPr>
        <w:t xml:space="preserve"> </w:t>
      </w:r>
      <w:r w:rsidR="00662EDD" w:rsidRPr="00662EDD">
        <w:rPr>
          <w:rFonts w:ascii="Times New Roman" w:hAnsi="Times New Roman" w:cs="Times New Roman"/>
        </w:rPr>
        <w:t>2</w:t>
      </w:r>
      <w:r w:rsidRPr="00662EDD">
        <w:rPr>
          <w:rFonts w:ascii="Times New Roman" w:hAnsi="Times New Roman" w:cs="Times New Roman" w:hint="eastAsia"/>
        </w:rPr>
        <w:t>.</w:t>
      </w:r>
      <w:r w:rsidRPr="00662EDD">
        <w:rPr>
          <w:rFonts w:ascii="Times New Roman" w:hAnsi="Times New Roman" w:cs="Times New Roman"/>
        </w:rPr>
        <w:t xml:space="preserve"> The Decision Curve Analysis (DCA) demonstrates the role of the Ultrasound imaging radiomics combined prediction model in diagnosing benign and malignant thyroid nodules in the </w:t>
      </w:r>
      <w:r w:rsidRPr="00662EDD">
        <w:rPr>
          <w:rFonts w:ascii="Times New Roman" w:hAnsi="Times New Roman" w:cs="Times New Roman" w:hint="eastAsia"/>
        </w:rPr>
        <w:t>validation</w:t>
      </w:r>
      <w:r w:rsidRPr="00662EDD">
        <w:rPr>
          <w:rFonts w:ascii="Times New Roman" w:hAnsi="Times New Roman" w:cs="Times New Roman"/>
        </w:rPr>
        <w:t xml:space="preserve"> </w:t>
      </w:r>
      <w:r w:rsidRPr="00662EDD">
        <w:rPr>
          <w:rFonts w:ascii="Times New Roman" w:hAnsi="Times New Roman" w:cs="Times New Roman" w:hint="eastAsia"/>
        </w:rPr>
        <w:t>set</w:t>
      </w:r>
      <w:r w:rsidRPr="00662EDD">
        <w:rPr>
          <w:rFonts w:ascii="Times New Roman" w:hAnsi="Times New Roman" w:cs="Times New Roman"/>
        </w:rPr>
        <w:t>. The vertical axis represents the net benefit, and the horizontal axis represents different risk thresholds.</w:t>
      </w:r>
    </w:p>
    <w:p w14:paraId="236D9536" w14:textId="77777777" w:rsidR="00830CDD" w:rsidRDefault="00830CDD" w:rsidP="00830CDD">
      <w:pPr>
        <w:rPr>
          <w:noProof/>
        </w:rPr>
      </w:pPr>
      <w:r>
        <w:rPr>
          <w:noProof/>
        </w:rPr>
        <w:drawing>
          <wp:inline distT="0" distB="0" distL="0" distR="0" wp14:anchorId="702088F5" wp14:editId="2B331DC9">
            <wp:extent cx="5268595" cy="3723005"/>
            <wp:effectExtent l="0" t="0" r="825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372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20FAF" w14:textId="77777777" w:rsidR="00830CDD" w:rsidRDefault="00830CDD" w:rsidP="00830CDD"/>
    <w:p w14:paraId="57F1D831" w14:textId="77777777" w:rsidR="006A5535" w:rsidRDefault="006A5535"/>
    <w:sectPr w:rsidR="006A55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2A5"/>
    <w:rsid w:val="00662EDD"/>
    <w:rsid w:val="006A5535"/>
    <w:rsid w:val="00830CDD"/>
    <w:rsid w:val="00E82F49"/>
    <w:rsid w:val="00FE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DD6823"/>
  <w14:defaultImageDpi w14:val="330"/>
  <w15:chartTrackingRefBased/>
  <w15:docId w15:val="{2A89C088-1F07-435D-B26C-F05F25278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0C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思睿 王</dc:creator>
  <cp:keywords/>
  <dc:description/>
  <cp:lastModifiedBy>思睿 王</cp:lastModifiedBy>
  <cp:revision>3</cp:revision>
  <dcterms:created xsi:type="dcterms:W3CDTF">2023-07-31T15:51:00Z</dcterms:created>
  <dcterms:modified xsi:type="dcterms:W3CDTF">2023-08-01T09:02:00Z</dcterms:modified>
</cp:coreProperties>
</file>