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34827" w14:textId="5DD1CA8E" w:rsidR="00844C82" w:rsidRDefault="001E261C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Supp. </w:t>
      </w:r>
      <w:r w:rsidR="00C32321">
        <w:rPr>
          <w:rFonts w:ascii="Arial" w:hAnsi="Arial" w:cs="Arial"/>
          <w:sz w:val="22"/>
        </w:rPr>
        <w:t>D</w:t>
      </w:r>
      <w:r>
        <w:rPr>
          <w:rFonts w:ascii="Arial" w:hAnsi="Arial" w:cs="Arial" w:hint="eastAsia"/>
          <w:sz w:val="22"/>
        </w:rPr>
        <w:t>1</w:t>
      </w:r>
      <w:r>
        <w:rPr>
          <w:rFonts w:ascii="Arial" w:hAnsi="Arial" w:cs="Arial"/>
          <w:sz w:val="22"/>
        </w:rPr>
        <w:t xml:space="preserve"> </w:t>
      </w:r>
    </w:p>
    <w:p w14:paraId="03B21733" w14:textId="0EAAADCC" w:rsidR="00A51015" w:rsidRDefault="00A51015">
      <w:pPr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44DA2A46" wp14:editId="00949DFE">
            <wp:extent cx="4151462" cy="2632854"/>
            <wp:effectExtent l="0" t="0" r="1905" b="15240"/>
            <wp:docPr id="311045673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6B1A409F-E71E-4599-B64F-3E5A3B8D0F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6387EED" w14:textId="77777777" w:rsidR="00A51015" w:rsidRDefault="00A51015">
      <w:pPr>
        <w:rPr>
          <w:rFonts w:ascii="Arial" w:hAnsi="Arial" w:cs="Arial"/>
          <w:sz w:val="22"/>
        </w:rPr>
      </w:pPr>
    </w:p>
    <w:p w14:paraId="79578A1B" w14:textId="77777777" w:rsidR="001E261C" w:rsidRPr="001E261C" w:rsidRDefault="001E261C" w:rsidP="001E261C">
      <w:pPr>
        <w:rPr>
          <w:rFonts w:ascii="Arial" w:hAnsi="Arial" w:cs="Arial"/>
          <w:sz w:val="22"/>
        </w:rPr>
      </w:pPr>
      <w:r w:rsidRPr="001E261C">
        <w:rPr>
          <w:rFonts w:ascii="Arial" w:hAnsi="Arial" w:cs="Arial"/>
          <w:sz w:val="22"/>
        </w:rPr>
        <w:t>bPFS</w:t>
      </w:r>
      <w:r w:rsidRPr="001E261C">
        <w:rPr>
          <w:rFonts w:ascii="Arial" w:hAnsi="Arial" w:cs="Arial"/>
          <w:sz w:val="22"/>
        </w:rPr>
        <w:tab/>
      </w:r>
    </w:p>
    <w:p w14:paraId="2E5A2EE9" w14:textId="77777777" w:rsidR="001E261C" w:rsidRPr="001E261C" w:rsidRDefault="001E261C" w:rsidP="001E261C">
      <w:pPr>
        <w:rPr>
          <w:rFonts w:ascii="Arial" w:hAnsi="Arial" w:cs="Arial"/>
          <w:sz w:val="22"/>
        </w:rPr>
      </w:pPr>
      <w:r w:rsidRPr="001E261C">
        <w:rPr>
          <w:rFonts w:ascii="Arial" w:hAnsi="Arial" w:cs="Arial"/>
          <w:sz w:val="22"/>
        </w:rPr>
        <w:t>76Gy</w:t>
      </w:r>
      <w:r w:rsidRPr="001E261C">
        <w:rPr>
          <w:rFonts w:ascii="Arial" w:hAnsi="Arial" w:cs="Arial"/>
          <w:sz w:val="22"/>
        </w:rPr>
        <w:tab/>
        <w:t>96.4%(4y)</w:t>
      </w:r>
    </w:p>
    <w:p w14:paraId="54C67949" w14:textId="77777777" w:rsidR="001E261C" w:rsidRPr="001E261C" w:rsidRDefault="001E261C" w:rsidP="001E261C">
      <w:pPr>
        <w:rPr>
          <w:rFonts w:ascii="Arial" w:hAnsi="Arial" w:cs="Arial"/>
          <w:sz w:val="22"/>
        </w:rPr>
      </w:pPr>
      <w:r w:rsidRPr="001E261C">
        <w:rPr>
          <w:rFonts w:ascii="Arial" w:hAnsi="Arial" w:cs="Arial"/>
          <w:sz w:val="22"/>
        </w:rPr>
        <w:t>78Gy</w:t>
      </w:r>
      <w:r w:rsidRPr="001E261C">
        <w:rPr>
          <w:rFonts w:ascii="Arial" w:hAnsi="Arial" w:cs="Arial"/>
          <w:sz w:val="22"/>
        </w:rPr>
        <w:tab/>
        <w:t>85.7%(4y)</w:t>
      </w:r>
    </w:p>
    <w:p w14:paraId="521BAB1F" w14:textId="5D27BAC9" w:rsidR="001E261C" w:rsidRDefault="001E261C" w:rsidP="001E261C">
      <w:pPr>
        <w:rPr>
          <w:rFonts w:ascii="Arial" w:hAnsi="Arial" w:cs="Arial"/>
          <w:sz w:val="22"/>
        </w:rPr>
      </w:pPr>
      <w:r w:rsidRPr="001E261C">
        <w:rPr>
          <w:rFonts w:ascii="Arial" w:hAnsi="Arial" w:cs="Arial"/>
          <w:sz w:val="22"/>
        </w:rPr>
        <w:t>p=0.5169 (Logrank test)</w:t>
      </w:r>
      <w:r w:rsidRPr="001E261C">
        <w:rPr>
          <w:rFonts w:ascii="Arial" w:hAnsi="Arial" w:cs="Arial"/>
          <w:sz w:val="22"/>
        </w:rPr>
        <w:tab/>
      </w:r>
    </w:p>
    <w:p w14:paraId="1D2D7CC8" w14:textId="77777777" w:rsidR="001E261C" w:rsidRDefault="001E261C" w:rsidP="001E261C">
      <w:pPr>
        <w:rPr>
          <w:rFonts w:ascii="Arial" w:hAnsi="Arial" w:cs="Arial"/>
          <w:sz w:val="22"/>
        </w:rPr>
      </w:pPr>
    </w:p>
    <w:p w14:paraId="50F23B4C" w14:textId="2BB20D13" w:rsidR="001E261C" w:rsidRPr="001E261C" w:rsidRDefault="001E261C" w:rsidP="001E261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Abbreviations same as Figure 1.</w:t>
      </w:r>
    </w:p>
    <w:sectPr w:rsidR="001E261C" w:rsidRPr="001E261C" w:rsidSect="001E26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4D743" w14:textId="77777777" w:rsidR="00D05909" w:rsidRDefault="00D05909" w:rsidP="00C32321">
      <w:r>
        <w:separator/>
      </w:r>
    </w:p>
  </w:endnote>
  <w:endnote w:type="continuationSeparator" w:id="0">
    <w:p w14:paraId="03DC6DF7" w14:textId="77777777" w:rsidR="00D05909" w:rsidRDefault="00D05909" w:rsidP="00C3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9C39" w14:textId="77777777" w:rsidR="00D05909" w:rsidRDefault="00D05909" w:rsidP="00C32321">
      <w:r>
        <w:separator/>
      </w:r>
    </w:p>
  </w:footnote>
  <w:footnote w:type="continuationSeparator" w:id="0">
    <w:p w14:paraId="36D7AF53" w14:textId="77777777" w:rsidR="00D05909" w:rsidRDefault="00D05909" w:rsidP="00C32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1C"/>
    <w:rsid w:val="001E261C"/>
    <w:rsid w:val="00844C82"/>
    <w:rsid w:val="00A51015"/>
    <w:rsid w:val="00C32321"/>
    <w:rsid w:val="00D0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0E0A4"/>
  <w15:chartTrackingRefBased/>
  <w15:docId w15:val="{6BA3FB35-460C-43D1-84B9-DA434058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321"/>
  </w:style>
  <w:style w:type="paragraph" w:styleId="a5">
    <w:name w:val="footer"/>
    <w:basedOn w:val="a"/>
    <w:link w:val="a6"/>
    <w:uiPriority w:val="99"/>
    <w:unhideWhenUsed/>
    <w:rsid w:val="00C32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altLang="ja-JP" sz="1200"/>
              <a:t>bPFS   @poor IR</a:t>
            </a:r>
            <a:r>
              <a:rPr lang="ja-JP" altLang="en-US" sz="1200"/>
              <a:t>：</a:t>
            </a:r>
            <a:r>
              <a:rPr lang="en-US" altLang="ja-JP" sz="1200"/>
              <a:t>     </a:t>
            </a:r>
            <a:r>
              <a:rPr lang="ja-JP" altLang="en-US" sz="1200"/>
              <a:t>≤</a:t>
            </a:r>
            <a:r>
              <a:rPr lang="en-US" altLang="ja-JP" sz="1200"/>
              <a:t>76Gy vs 78Gy</a:t>
            </a:r>
            <a:endParaRPr lang="ja-JP" altLang="en-US" sz="1200"/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[TPUS論文用データ20230221付202307121630.xls]bPFS予後不良中リスク線量別!$B$83</c:f>
              <c:strCache>
                <c:ptCount val="1"/>
                <c:pt idx="0">
                  <c:v>≤76Gy (n=28)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[1]bPFS予後不良中リスク線量別!$A$84:$A$113</c:f>
              <c:numCache>
                <c:formatCode>General</c:formatCode>
                <c:ptCount val="30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30</c:v>
                </c:pt>
                <c:pt idx="8">
                  <c:v>34</c:v>
                </c:pt>
                <c:pt idx="9">
                  <c:v>55</c:v>
                </c:pt>
                <c:pt idx="10">
                  <c:v>58</c:v>
                </c:pt>
                <c:pt idx="11">
                  <c:v>61</c:v>
                </c:pt>
                <c:pt idx="12">
                  <c:v>63</c:v>
                </c:pt>
                <c:pt idx="13">
                  <c:v>63</c:v>
                </c:pt>
                <c:pt idx="14">
                  <c:v>63</c:v>
                </c:pt>
                <c:pt idx="15">
                  <c:v>64</c:v>
                </c:pt>
                <c:pt idx="16">
                  <c:v>64</c:v>
                </c:pt>
                <c:pt idx="17">
                  <c:v>66</c:v>
                </c:pt>
                <c:pt idx="18">
                  <c:v>67</c:v>
                </c:pt>
                <c:pt idx="19">
                  <c:v>68</c:v>
                </c:pt>
                <c:pt idx="20">
                  <c:v>69</c:v>
                </c:pt>
                <c:pt idx="21">
                  <c:v>69</c:v>
                </c:pt>
                <c:pt idx="22">
                  <c:v>70</c:v>
                </c:pt>
                <c:pt idx="23">
                  <c:v>72</c:v>
                </c:pt>
                <c:pt idx="24">
                  <c:v>73</c:v>
                </c:pt>
                <c:pt idx="25">
                  <c:v>74</c:v>
                </c:pt>
                <c:pt idx="26">
                  <c:v>75</c:v>
                </c:pt>
                <c:pt idx="27">
                  <c:v>79</c:v>
                </c:pt>
                <c:pt idx="28">
                  <c:v>80</c:v>
                </c:pt>
                <c:pt idx="29">
                  <c:v>82</c:v>
                </c:pt>
              </c:numCache>
            </c:numRef>
          </c:xVal>
          <c:yVal>
            <c:numRef>
              <c:f>[1]bPFS予後不良中リスク線量別!$B$84:$B$113</c:f>
              <c:numCache>
                <c:formatCode>0.0000</c:formatCode>
                <c:ptCount val="30"/>
                <c:pt idx="0">
                  <c:v>1</c:v>
                </c:pt>
                <c:pt idx="1">
                  <c:v>1</c:v>
                </c:pt>
                <c:pt idx="2">
                  <c:v>0.9642857142857143</c:v>
                </c:pt>
                <c:pt idx="3">
                  <c:v>0.9642857142857143</c:v>
                </c:pt>
                <c:pt idx="4">
                  <c:v>0.9642857142857143</c:v>
                </c:pt>
                <c:pt idx="5">
                  <c:v>0.9642857142857143</c:v>
                </c:pt>
                <c:pt idx="6">
                  <c:v>0.9642857142857143</c:v>
                </c:pt>
                <c:pt idx="7">
                  <c:v>0.9642857142857143</c:v>
                </c:pt>
                <c:pt idx="8">
                  <c:v>0.9642857142857143</c:v>
                </c:pt>
                <c:pt idx="9">
                  <c:v>0.9642857142857143</c:v>
                </c:pt>
                <c:pt idx="10">
                  <c:v>0.9642857142857143</c:v>
                </c:pt>
                <c:pt idx="11">
                  <c:v>0.9642857142857143</c:v>
                </c:pt>
                <c:pt idx="12">
                  <c:v>0.9642857142857143</c:v>
                </c:pt>
                <c:pt idx="13">
                  <c:v>0.9642857142857143</c:v>
                </c:pt>
                <c:pt idx="14">
                  <c:v>0.9642857142857143</c:v>
                </c:pt>
                <c:pt idx="15">
                  <c:v>0.9642857142857143</c:v>
                </c:pt>
                <c:pt idx="16">
                  <c:v>0.9642857142857143</c:v>
                </c:pt>
                <c:pt idx="17">
                  <c:v>0.9642857142857143</c:v>
                </c:pt>
                <c:pt idx="18">
                  <c:v>0.9642857142857143</c:v>
                </c:pt>
                <c:pt idx="19">
                  <c:v>0.9642857142857143</c:v>
                </c:pt>
                <c:pt idx="20">
                  <c:v>0.9642857142857143</c:v>
                </c:pt>
                <c:pt idx="21">
                  <c:v>0.9642857142857143</c:v>
                </c:pt>
                <c:pt idx="22">
                  <c:v>0.9642857142857143</c:v>
                </c:pt>
                <c:pt idx="23">
                  <c:v>0.9642857142857143</c:v>
                </c:pt>
                <c:pt idx="24">
                  <c:v>0.9642857142857143</c:v>
                </c:pt>
                <c:pt idx="25">
                  <c:v>0.9642857142857143</c:v>
                </c:pt>
                <c:pt idx="26">
                  <c:v>0.9642857142857143</c:v>
                </c:pt>
                <c:pt idx="27">
                  <c:v>0.9642857142857143</c:v>
                </c:pt>
                <c:pt idx="28">
                  <c:v>0.9642857142857143</c:v>
                </c:pt>
                <c:pt idx="29">
                  <c:v>0.9642857142857143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461-4909-9CEC-D6C564F6D9B6}"/>
            </c:ext>
          </c:extLst>
        </c:ser>
        <c:ser>
          <c:idx val="1"/>
          <c:order val="1"/>
          <c:tx>
            <c:strRef>
              <c:f>[TPUS論文用データ20230221付202307121630.xls]bPFS予後不良中リスク線量別!$E$83</c:f>
              <c:strCache>
                <c:ptCount val="1"/>
                <c:pt idx="0">
                  <c:v>78Gy (n=14)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xVal>
            <c:numRef>
              <c:f>[1]bPFS予後不良中リスク線量別!$D$84:$D$99</c:f>
              <c:numCache>
                <c:formatCode>General</c:formatCode>
                <c:ptCount val="16"/>
                <c:pt idx="0">
                  <c:v>0</c:v>
                </c:pt>
                <c:pt idx="1">
                  <c:v>17</c:v>
                </c:pt>
                <c:pt idx="2">
                  <c:v>17</c:v>
                </c:pt>
                <c:pt idx="3">
                  <c:v>18</c:v>
                </c:pt>
                <c:pt idx="4">
                  <c:v>21</c:v>
                </c:pt>
                <c:pt idx="5">
                  <c:v>21</c:v>
                </c:pt>
                <c:pt idx="6">
                  <c:v>35</c:v>
                </c:pt>
                <c:pt idx="7">
                  <c:v>35</c:v>
                </c:pt>
                <c:pt idx="8">
                  <c:v>41</c:v>
                </c:pt>
                <c:pt idx="9">
                  <c:v>41</c:v>
                </c:pt>
                <c:pt idx="10">
                  <c:v>44</c:v>
                </c:pt>
                <c:pt idx="11">
                  <c:v>46</c:v>
                </c:pt>
                <c:pt idx="12">
                  <c:v>47</c:v>
                </c:pt>
                <c:pt idx="13">
                  <c:v>50</c:v>
                </c:pt>
                <c:pt idx="14">
                  <c:v>51</c:v>
                </c:pt>
                <c:pt idx="15">
                  <c:v>52</c:v>
                </c:pt>
              </c:numCache>
            </c:numRef>
          </c:xVal>
          <c:yVal>
            <c:numRef>
              <c:f>[1]bPFS予後不良中リスク線量別!$E$84:$E$99</c:f>
              <c:numCache>
                <c:formatCode>0.0000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0.8571428571428571</c:v>
                </c:pt>
                <c:pt idx="10">
                  <c:v>0.8571428571428571</c:v>
                </c:pt>
                <c:pt idx="11">
                  <c:v>0.8571428571428571</c:v>
                </c:pt>
                <c:pt idx="12">
                  <c:v>0.8571428571428571</c:v>
                </c:pt>
                <c:pt idx="13">
                  <c:v>0.8571428571428571</c:v>
                </c:pt>
                <c:pt idx="14">
                  <c:v>0.8571428571428571</c:v>
                </c:pt>
                <c:pt idx="15">
                  <c:v>0.8571428571428571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461-4909-9CEC-D6C564F6D9B6}"/>
            </c:ext>
          </c:extLst>
        </c:ser>
        <c:ser>
          <c:idx val="2"/>
          <c:order val="2"/>
          <c:tx>
            <c:strRef>
              <c:f>[TPUS論文用データ20230221付202307121630.xls]bPFS予後不良中リスク線量別!$C$83</c:f>
              <c:strCache>
                <c:ptCount val="1"/>
                <c:pt idx="0">
                  <c:v>≤76Gy (censored)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4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[1]bPFS予後不良中リスク線量別!$A$84:$A$113</c:f>
              <c:numCache>
                <c:formatCode>General</c:formatCode>
                <c:ptCount val="30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27</c:v>
                </c:pt>
                <c:pt idx="4">
                  <c:v>28</c:v>
                </c:pt>
                <c:pt idx="5">
                  <c:v>29</c:v>
                </c:pt>
                <c:pt idx="6">
                  <c:v>30</c:v>
                </c:pt>
                <c:pt idx="7">
                  <c:v>30</c:v>
                </c:pt>
                <c:pt idx="8">
                  <c:v>34</c:v>
                </c:pt>
                <c:pt idx="9">
                  <c:v>55</c:v>
                </c:pt>
                <c:pt idx="10">
                  <c:v>58</c:v>
                </c:pt>
                <c:pt idx="11">
                  <c:v>61</c:v>
                </c:pt>
                <c:pt idx="12">
                  <c:v>63</c:v>
                </c:pt>
                <c:pt idx="13">
                  <c:v>63</c:v>
                </c:pt>
                <c:pt idx="14">
                  <c:v>63</c:v>
                </c:pt>
                <c:pt idx="15">
                  <c:v>64</c:v>
                </c:pt>
                <c:pt idx="16">
                  <c:v>64</c:v>
                </c:pt>
                <c:pt idx="17">
                  <c:v>66</c:v>
                </c:pt>
                <c:pt idx="18">
                  <c:v>67</c:v>
                </c:pt>
                <c:pt idx="19">
                  <c:v>68</c:v>
                </c:pt>
                <c:pt idx="20">
                  <c:v>69</c:v>
                </c:pt>
                <c:pt idx="21">
                  <c:v>69</c:v>
                </c:pt>
                <c:pt idx="22">
                  <c:v>70</c:v>
                </c:pt>
                <c:pt idx="23">
                  <c:v>72</c:v>
                </c:pt>
                <c:pt idx="24">
                  <c:v>73</c:v>
                </c:pt>
                <c:pt idx="25">
                  <c:v>74</c:v>
                </c:pt>
                <c:pt idx="26">
                  <c:v>75</c:v>
                </c:pt>
                <c:pt idx="27">
                  <c:v>79</c:v>
                </c:pt>
                <c:pt idx="28">
                  <c:v>80</c:v>
                </c:pt>
                <c:pt idx="29">
                  <c:v>82</c:v>
                </c:pt>
              </c:numCache>
            </c:numRef>
          </c:xVal>
          <c:yVal>
            <c:numRef>
              <c:f>[1]bPFS予後不良中リスク線量別!$C$84:$C$113</c:f>
              <c:numCache>
                <c:formatCode>General</c:formatCode>
                <c:ptCount val="30"/>
                <c:pt idx="3" formatCode="0.0000">
                  <c:v>0.9642857142857143</c:v>
                </c:pt>
                <c:pt idx="4" formatCode="0.0000">
                  <c:v>0.9642857142857143</c:v>
                </c:pt>
                <c:pt idx="5" formatCode="0.0000">
                  <c:v>0.9642857142857143</c:v>
                </c:pt>
                <c:pt idx="6" formatCode="0.0000">
                  <c:v>0.9642857142857143</c:v>
                </c:pt>
                <c:pt idx="7" formatCode="0.0000">
                  <c:v>0.9642857142857143</c:v>
                </c:pt>
                <c:pt idx="8" formatCode="0.0000">
                  <c:v>0.9642857142857143</c:v>
                </c:pt>
                <c:pt idx="9" formatCode="0.0000">
                  <c:v>0.9642857142857143</c:v>
                </c:pt>
                <c:pt idx="10" formatCode="0.0000">
                  <c:v>0.9642857142857143</c:v>
                </c:pt>
                <c:pt idx="11" formatCode="0.0000">
                  <c:v>0.9642857142857143</c:v>
                </c:pt>
                <c:pt idx="12" formatCode="0.0000">
                  <c:v>0.9642857142857143</c:v>
                </c:pt>
                <c:pt idx="13" formatCode="0.0000">
                  <c:v>0.9642857142857143</c:v>
                </c:pt>
                <c:pt idx="14" formatCode="0.0000">
                  <c:v>0.9642857142857143</c:v>
                </c:pt>
                <c:pt idx="15" formatCode="0.0000">
                  <c:v>0.9642857142857143</c:v>
                </c:pt>
                <c:pt idx="16" formatCode="0.0000">
                  <c:v>0.9642857142857143</c:v>
                </c:pt>
                <c:pt idx="17" formatCode="0.0000">
                  <c:v>0.9642857142857143</c:v>
                </c:pt>
                <c:pt idx="18" formatCode="0.0000">
                  <c:v>0.9642857142857143</c:v>
                </c:pt>
                <c:pt idx="19" formatCode="0.0000">
                  <c:v>0.9642857142857143</c:v>
                </c:pt>
                <c:pt idx="20" formatCode="0.0000">
                  <c:v>0.9642857142857143</c:v>
                </c:pt>
                <c:pt idx="21" formatCode="0.0000">
                  <c:v>0.9642857142857143</c:v>
                </c:pt>
                <c:pt idx="22" formatCode="0.0000">
                  <c:v>0.9642857142857143</c:v>
                </c:pt>
                <c:pt idx="23" formatCode="0.0000">
                  <c:v>0.9642857142857143</c:v>
                </c:pt>
                <c:pt idx="24" formatCode="0.0000">
                  <c:v>0.9642857142857143</c:v>
                </c:pt>
                <c:pt idx="25" formatCode="0.0000">
                  <c:v>0.9642857142857143</c:v>
                </c:pt>
                <c:pt idx="26" formatCode="0.0000">
                  <c:v>0.9642857142857143</c:v>
                </c:pt>
                <c:pt idx="27" formatCode="0.0000">
                  <c:v>0.9642857142857143</c:v>
                </c:pt>
                <c:pt idx="28" formatCode="0.0000">
                  <c:v>0.9642857142857143</c:v>
                </c:pt>
                <c:pt idx="29" formatCode="0.0000">
                  <c:v>0.9642857142857143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461-4909-9CEC-D6C564F6D9B6}"/>
            </c:ext>
          </c:extLst>
        </c:ser>
        <c:ser>
          <c:idx val="3"/>
          <c:order val="3"/>
          <c:tx>
            <c:strRef>
              <c:f>[TPUS論文用データ20230221付202307121630.xls]bPFS予後不良中リスク線量別!$F$83</c:f>
              <c:strCache>
                <c:ptCount val="1"/>
                <c:pt idx="0">
                  <c:v>78Gy (censored)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xVal>
            <c:numRef>
              <c:f>[1]bPFS予後不良中リスク線量別!$D$84:$D$99</c:f>
              <c:numCache>
                <c:formatCode>General</c:formatCode>
                <c:ptCount val="16"/>
                <c:pt idx="0">
                  <c:v>0</c:v>
                </c:pt>
                <c:pt idx="1">
                  <c:v>17</c:v>
                </c:pt>
                <c:pt idx="2">
                  <c:v>17</c:v>
                </c:pt>
                <c:pt idx="3">
                  <c:v>18</c:v>
                </c:pt>
                <c:pt idx="4">
                  <c:v>21</c:v>
                </c:pt>
                <c:pt idx="5">
                  <c:v>21</c:v>
                </c:pt>
                <c:pt idx="6">
                  <c:v>35</c:v>
                </c:pt>
                <c:pt idx="7">
                  <c:v>35</c:v>
                </c:pt>
                <c:pt idx="8">
                  <c:v>41</c:v>
                </c:pt>
                <c:pt idx="9">
                  <c:v>41</c:v>
                </c:pt>
                <c:pt idx="10">
                  <c:v>44</c:v>
                </c:pt>
                <c:pt idx="11">
                  <c:v>46</c:v>
                </c:pt>
                <c:pt idx="12">
                  <c:v>47</c:v>
                </c:pt>
                <c:pt idx="13">
                  <c:v>50</c:v>
                </c:pt>
                <c:pt idx="14">
                  <c:v>51</c:v>
                </c:pt>
                <c:pt idx="15">
                  <c:v>52</c:v>
                </c:pt>
              </c:numCache>
            </c:numRef>
          </c:xVal>
          <c:yVal>
            <c:numRef>
              <c:f>[1]bPFS予後不良中リスク線量別!$F$84:$F$99</c:f>
              <c:numCache>
                <c:formatCode>0.0000</c:formatCode>
                <c:ptCount val="16"/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10">
                  <c:v>0.8571428571428571</c:v>
                </c:pt>
                <c:pt idx="11">
                  <c:v>0.8571428571428571</c:v>
                </c:pt>
                <c:pt idx="12">
                  <c:v>0.8571428571428571</c:v>
                </c:pt>
                <c:pt idx="13">
                  <c:v>0.8571428571428571</c:v>
                </c:pt>
                <c:pt idx="14">
                  <c:v>0.8571428571428571</c:v>
                </c:pt>
                <c:pt idx="15">
                  <c:v>0.8571428571428571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461-4909-9CEC-D6C564F6D9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1208336"/>
        <c:axId val="1"/>
      </c:scatterChart>
      <c:valAx>
        <c:axId val="2081208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ja-JP"/>
                  <a:t>Months</a:t>
                </a:r>
                <a:endParaRPr lang="ja-JP" alt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"/>
        <c:crosses val="autoZero"/>
        <c:crossBetween val="midCat"/>
        <c:majorUnit val="12"/>
        <c:minorUnit val="6"/>
      </c:valAx>
      <c:valAx>
        <c:axId val="1"/>
        <c:scaling>
          <c:orientation val="minMax"/>
          <c:max val="1.1000000000000001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ja-JP"/>
                  <a:t>bPFS</a:t>
                </a:r>
                <a:endParaRPr lang="ja-JP" altLang="en-US"/>
              </a:p>
            </c:rich>
          </c:tx>
          <c:overlay val="0"/>
        </c:title>
        <c:numFmt formatCode="0.00" sourceLinked="0"/>
        <c:majorTickMark val="out"/>
        <c:minorTickMark val="none"/>
        <c:tickLblPos val="nextTo"/>
        <c:crossAx val="2081208336"/>
        <c:crosses val="autoZero"/>
        <c:crossBetween val="midCat"/>
        <c:majorUnit val="0.2"/>
      </c:valAx>
      <c:spPr>
        <a:noFill/>
        <a:ln w="25400">
          <a:noFill/>
        </a:ln>
      </c:spPr>
    </c:plotArea>
    <c:legend>
      <c:legendPos val="r"/>
      <c:overlay val="1"/>
    </c:legend>
    <c:plotVisOnly val="1"/>
    <c:dispBlanksAs val="gap"/>
    <c:showDLblsOverMax val="0"/>
  </c:chart>
  <c:txPr>
    <a:bodyPr/>
    <a:lstStyle/>
    <a:p>
      <a:pPr>
        <a:defRPr sz="900"/>
      </a:pPr>
      <a:endParaRPr lang="ja-JP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Takai</dc:creator>
  <cp:keywords/>
  <dc:description/>
  <cp:lastModifiedBy>Kenji Takai</cp:lastModifiedBy>
  <cp:revision>3</cp:revision>
  <dcterms:created xsi:type="dcterms:W3CDTF">2023-07-14T05:20:00Z</dcterms:created>
  <dcterms:modified xsi:type="dcterms:W3CDTF">2023-07-20T02:55:00Z</dcterms:modified>
</cp:coreProperties>
</file>