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F602" w14:textId="2F474F6D" w:rsidR="00C45CC1" w:rsidRDefault="00D81436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Supp</w:t>
      </w:r>
      <w:r w:rsidR="00AC60B0">
        <w:rPr>
          <w:rFonts w:ascii="Arial" w:hAnsi="Arial" w:cs="Arial"/>
          <w:sz w:val="22"/>
        </w:rPr>
        <w:t>.</w:t>
      </w:r>
      <w:r>
        <w:rPr>
          <w:rFonts w:ascii="Arial" w:hAnsi="Arial" w:cs="Arial" w:hint="eastAsia"/>
          <w:sz w:val="22"/>
        </w:rPr>
        <w:t xml:space="preserve"> </w:t>
      </w:r>
      <w:r w:rsidR="00B91E61">
        <w:rPr>
          <w:rFonts w:ascii="Arial" w:hAnsi="Arial" w:cs="Arial"/>
          <w:sz w:val="22"/>
        </w:rPr>
        <w:t>D</w:t>
      </w:r>
      <w:r>
        <w:rPr>
          <w:rFonts w:ascii="Arial" w:hAnsi="Arial" w:cs="Arial" w:hint="eastAsia"/>
          <w:sz w:val="22"/>
        </w:rPr>
        <w:t>2</w:t>
      </w:r>
    </w:p>
    <w:p w14:paraId="43B97D13" w14:textId="77777777" w:rsidR="00D81436" w:rsidRDefault="00D81436">
      <w:pPr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5776FFCE" wp14:editId="0B406B7D">
            <wp:extent cx="4244958" cy="2539573"/>
            <wp:effectExtent l="0" t="0" r="3810" b="13335"/>
            <wp:docPr id="1791803076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BF7DEAD0-72EE-4EFB-8596-808A9E792E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E000D48" w14:textId="77777777" w:rsidR="00D81436" w:rsidRPr="00D81436" w:rsidRDefault="00D81436" w:rsidP="00D81436">
      <w:pPr>
        <w:rPr>
          <w:rFonts w:ascii="Arial" w:hAnsi="Arial" w:cs="Arial"/>
          <w:sz w:val="22"/>
        </w:rPr>
      </w:pPr>
      <w:r w:rsidRPr="00D81436">
        <w:rPr>
          <w:rFonts w:ascii="Arial" w:hAnsi="Arial" w:cs="Arial"/>
          <w:sz w:val="22"/>
        </w:rPr>
        <w:t>bPFS</w:t>
      </w:r>
      <w:r w:rsidRPr="00D81436">
        <w:rPr>
          <w:rFonts w:ascii="Arial" w:hAnsi="Arial" w:cs="Arial"/>
          <w:sz w:val="22"/>
        </w:rPr>
        <w:tab/>
      </w:r>
    </w:p>
    <w:p w14:paraId="230A52A8" w14:textId="77777777" w:rsidR="00D81436" w:rsidRPr="00D81436" w:rsidRDefault="00D81436" w:rsidP="00D81436">
      <w:pPr>
        <w:rPr>
          <w:rFonts w:ascii="Arial" w:hAnsi="Arial" w:cs="Arial"/>
          <w:sz w:val="22"/>
        </w:rPr>
      </w:pPr>
      <w:r w:rsidRPr="00D81436">
        <w:rPr>
          <w:rFonts w:ascii="Arial" w:hAnsi="Arial" w:cs="Arial"/>
          <w:sz w:val="22"/>
        </w:rPr>
        <w:t>76Gy</w:t>
      </w:r>
      <w:r w:rsidRPr="00D81436">
        <w:rPr>
          <w:rFonts w:ascii="Arial" w:hAnsi="Arial" w:cs="Arial"/>
          <w:sz w:val="22"/>
        </w:rPr>
        <w:tab/>
        <w:t>89.5%(4y)</w:t>
      </w:r>
    </w:p>
    <w:p w14:paraId="5E11C627" w14:textId="77777777" w:rsidR="00D81436" w:rsidRPr="00D81436" w:rsidRDefault="00D81436" w:rsidP="00D81436">
      <w:pPr>
        <w:rPr>
          <w:rFonts w:ascii="Arial" w:hAnsi="Arial" w:cs="Arial"/>
          <w:sz w:val="22"/>
        </w:rPr>
      </w:pPr>
      <w:r w:rsidRPr="00D81436">
        <w:rPr>
          <w:rFonts w:ascii="Arial" w:hAnsi="Arial" w:cs="Arial"/>
          <w:sz w:val="22"/>
        </w:rPr>
        <w:t>78Gy</w:t>
      </w:r>
      <w:r w:rsidRPr="00D81436">
        <w:rPr>
          <w:rFonts w:ascii="Arial" w:hAnsi="Arial" w:cs="Arial"/>
          <w:sz w:val="22"/>
        </w:rPr>
        <w:tab/>
        <w:t>95.0%(4y)</w:t>
      </w:r>
    </w:p>
    <w:p w14:paraId="6AEBBF2D" w14:textId="77777777" w:rsidR="00D81436" w:rsidRDefault="00D81436" w:rsidP="00D81436">
      <w:pPr>
        <w:rPr>
          <w:rFonts w:ascii="Arial" w:hAnsi="Arial" w:cs="Arial"/>
          <w:sz w:val="22"/>
        </w:rPr>
      </w:pPr>
      <w:r w:rsidRPr="00D81436">
        <w:rPr>
          <w:rFonts w:ascii="Arial" w:hAnsi="Arial" w:cs="Arial"/>
          <w:sz w:val="22"/>
        </w:rPr>
        <w:t>p=0.3769 (Logrank test)</w:t>
      </w:r>
      <w:r w:rsidRPr="00D81436">
        <w:rPr>
          <w:rFonts w:ascii="Arial" w:hAnsi="Arial" w:cs="Arial"/>
          <w:sz w:val="22"/>
        </w:rPr>
        <w:tab/>
      </w:r>
    </w:p>
    <w:p w14:paraId="71120899" w14:textId="77777777" w:rsidR="00D81436" w:rsidRDefault="00D81436">
      <w:pPr>
        <w:rPr>
          <w:rFonts w:ascii="Arial" w:hAnsi="Arial" w:cs="Arial"/>
          <w:sz w:val="22"/>
        </w:rPr>
      </w:pPr>
    </w:p>
    <w:p w14:paraId="5BE0BB1C" w14:textId="77777777" w:rsidR="00D81436" w:rsidRPr="00D81436" w:rsidRDefault="00D81436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A</w:t>
      </w:r>
      <w:r>
        <w:rPr>
          <w:rFonts w:ascii="Arial" w:hAnsi="Arial" w:cs="Arial"/>
          <w:sz w:val="22"/>
        </w:rPr>
        <w:t>bbraviations same as Figure 1.</w:t>
      </w:r>
    </w:p>
    <w:sectPr w:rsidR="00D81436" w:rsidRPr="00D81436" w:rsidSect="00D814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0D64" w14:textId="77777777" w:rsidR="00F958D4" w:rsidRDefault="00F958D4" w:rsidP="00B91E61">
      <w:r>
        <w:separator/>
      </w:r>
    </w:p>
  </w:endnote>
  <w:endnote w:type="continuationSeparator" w:id="0">
    <w:p w14:paraId="0DD5B6D0" w14:textId="77777777" w:rsidR="00F958D4" w:rsidRDefault="00F958D4" w:rsidP="00B9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884B" w14:textId="77777777" w:rsidR="00F958D4" w:rsidRDefault="00F958D4" w:rsidP="00B91E61">
      <w:r>
        <w:separator/>
      </w:r>
    </w:p>
  </w:footnote>
  <w:footnote w:type="continuationSeparator" w:id="0">
    <w:p w14:paraId="5853DF21" w14:textId="77777777" w:rsidR="00F958D4" w:rsidRDefault="00F958D4" w:rsidP="00B91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36"/>
    <w:rsid w:val="00AC60B0"/>
    <w:rsid w:val="00B91E61"/>
    <w:rsid w:val="00C45CC1"/>
    <w:rsid w:val="00D81436"/>
    <w:rsid w:val="00F9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BB593"/>
  <w15:chartTrackingRefBased/>
  <w15:docId w15:val="{1E820E3F-6CA0-4B2E-BE4D-F9A3CF6A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E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1E61"/>
  </w:style>
  <w:style w:type="paragraph" w:styleId="a5">
    <w:name w:val="footer"/>
    <w:basedOn w:val="a"/>
    <w:link w:val="a6"/>
    <w:uiPriority w:val="99"/>
    <w:unhideWhenUsed/>
    <w:rsid w:val="00B91E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1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altLang="ja-JP" sz="1200"/>
              <a:t>bPFS @HR/VHR</a:t>
            </a:r>
            <a:r>
              <a:rPr lang="ja-JP" altLang="en-US" sz="1200"/>
              <a:t>：　</a:t>
            </a:r>
            <a:r>
              <a:rPr lang="en-US" altLang="ja-JP" sz="1200"/>
              <a:t>76Gy vs 78Gy</a:t>
            </a:r>
            <a:endParaRPr lang="ja-JP" altLang="en-US" sz="1200"/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'X:\ドキュメント\仕事\2023TPUS前立腺論文作成\[TPUS論文用20230221付.xls]bPFS高リスク以上線量別'!$B$83</c:f>
              <c:strCache>
                <c:ptCount val="1"/>
                <c:pt idx="0">
                  <c:v>76Gy (n=19)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[1]bPFS高リスク以上線量別!$A$84:$A$106</c:f>
              <c:numCache>
                <c:formatCode>General</c:formatCode>
                <c:ptCount val="23"/>
                <c:pt idx="0">
                  <c:v>0</c:v>
                </c:pt>
                <c:pt idx="1">
                  <c:v>13</c:v>
                </c:pt>
                <c:pt idx="2">
                  <c:v>13</c:v>
                </c:pt>
                <c:pt idx="3">
                  <c:v>21</c:v>
                </c:pt>
                <c:pt idx="4">
                  <c:v>21</c:v>
                </c:pt>
                <c:pt idx="5">
                  <c:v>42</c:v>
                </c:pt>
                <c:pt idx="6">
                  <c:v>54</c:v>
                </c:pt>
                <c:pt idx="7">
                  <c:v>54</c:v>
                </c:pt>
                <c:pt idx="8">
                  <c:v>55</c:v>
                </c:pt>
                <c:pt idx="9">
                  <c:v>56</c:v>
                </c:pt>
                <c:pt idx="10">
                  <c:v>56</c:v>
                </c:pt>
                <c:pt idx="11">
                  <c:v>58</c:v>
                </c:pt>
                <c:pt idx="12">
                  <c:v>64</c:v>
                </c:pt>
                <c:pt idx="13">
                  <c:v>66</c:v>
                </c:pt>
                <c:pt idx="14">
                  <c:v>66</c:v>
                </c:pt>
                <c:pt idx="15">
                  <c:v>67</c:v>
                </c:pt>
                <c:pt idx="16">
                  <c:v>68</c:v>
                </c:pt>
                <c:pt idx="17">
                  <c:v>69</c:v>
                </c:pt>
                <c:pt idx="18">
                  <c:v>69</c:v>
                </c:pt>
                <c:pt idx="19">
                  <c:v>71</c:v>
                </c:pt>
                <c:pt idx="20">
                  <c:v>74</c:v>
                </c:pt>
                <c:pt idx="21">
                  <c:v>75</c:v>
                </c:pt>
                <c:pt idx="22">
                  <c:v>79</c:v>
                </c:pt>
              </c:numCache>
            </c:numRef>
          </c:xVal>
          <c:yVal>
            <c:numRef>
              <c:f>[1]bPFS高リスク以上線量別!$B$84:$B$106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0.94736842105263153</c:v>
                </c:pt>
                <c:pt idx="3">
                  <c:v>0.94736842105263153</c:v>
                </c:pt>
                <c:pt idx="4">
                  <c:v>0.89473684210526305</c:v>
                </c:pt>
                <c:pt idx="5">
                  <c:v>0.89473684210526305</c:v>
                </c:pt>
                <c:pt idx="6">
                  <c:v>0.89473684210526305</c:v>
                </c:pt>
                <c:pt idx="7">
                  <c:v>0.89473684210526305</c:v>
                </c:pt>
                <c:pt idx="8">
                  <c:v>0.89473684210526305</c:v>
                </c:pt>
                <c:pt idx="9">
                  <c:v>0.89473684210526305</c:v>
                </c:pt>
                <c:pt idx="10">
                  <c:v>0.89473684210526305</c:v>
                </c:pt>
                <c:pt idx="11">
                  <c:v>0.89473684210526305</c:v>
                </c:pt>
                <c:pt idx="12">
                  <c:v>0.89473684210526305</c:v>
                </c:pt>
                <c:pt idx="13">
                  <c:v>0.89473684210526305</c:v>
                </c:pt>
                <c:pt idx="14">
                  <c:v>0.89473684210526305</c:v>
                </c:pt>
                <c:pt idx="15">
                  <c:v>0.89473684210526305</c:v>
                </c:pt>
                <c:pt idx="16">
                  <c:v>0.89473684210526305</c:v>
                </c:pt>
                <c:pt idx="17">
                  <c:v>0.89473684210526305</c:v>
                </c:pt>
                <c:pt idx="18">
                  <c:v>0.71578947368421053</c:v>
                </c:pt>
                <c:pt idx="19">
                  <c:v>0.71578947368421053</c:v>
                </c:pt>
                <c:pt idx="20">
                  <c:v>0.71578947368421053</c:v>
                </c:pt>
                <c:pt idx="21">
                  <c:v>0.71578947368421053</c:v>
                </c:pt>
                <c:pt idx="22">
                  <c:v>0.71578947368421053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A0D-4940-8BA8-DC741E8D3528}"/>
            </c:ext>
          </c:extLst>
        </c:ser>
        <c:ser>
          <c:idx val="1"/>
          <c:order val="1"/>
          <c:tx>
            <c:strRef>
              <c:f>'X:\ドキュメント\仕事\2023TPUS前立腺論文作成\[TPUS論文用20230221付.xls]bPFS高リスク以上線量別'!$E$83</c:f>
              <c:strCache>
                <c:ptCount val="1"/>
                <c:pt idx="0">
                  <c:v>78Gy  (n=30)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xVal>
            <c:numRef>
              <c:f>[1]bPFS高リスク以上線量別!$D$84:$D$114</c:f>
              <c:numCache>
                <c:formatCode>General</c:formatCode>
                <c:ptCount val="31"/>
                <c:pt idx="0">
                  <c:v>0</c:v>
                </c:pt>
                <c:pt idx="1">
                  <c:v>14</c:v>
                </c:pt>
                <c:pt idx="2">
                  <c:v>14</c:v>
                </c:pt>
                <c:pt idx="3">
                  <c:v>17</c:v>
                </c:pt>
                <c:pt idx="4">
                  <c:v>21</c:v>
                </c:pt>
                <c:pt idx="5">
                  <c:v>24</c:v>
                </c:pt>
                <c:pt idx="6">
                  <c:v>24</c:v>
                </c:pt>
                <c:pt idx="7">
                  <c:v>24</c:v>
                </c:pt>
                <c:pt idx="8">
                  <c:v>25</c:v>
                </c:pt>
                <c:pt idx="9">
                  <c:v>28</c:v>
                </c:pt>
                <c:pt idx="10">
                  <c:v>28</c:v>
                </c:pt>
                <c:pt idx="11">
                  <c:v>31</c:v>
                </c:pt>
                <c:pt idx="12">
                  <c:v>31</c:v>
                </c:pt>
                <c:pt idx="13">
                  <c:v>31</c:v>
                </c:pt>
                <c:pt idx="14">
                  <c:v>32</c:v>
                </c:pt>
                <c:pt idx="15">
                  <c:v>32</c:v>
                </c:pt>
                <c:pt idx="16">
                  <c:v>33</c:v>
                </c:pt>
                <c:pt idx="17">
                  <c:v>37</c:v>
                </c:pt>
                <c:pt idx="18">
                  <c:v>37</c:v>
                </c:pt>
                <c:pt idx="19">
                  <c:v>42</c:v>
                </c:pt>
                <c:pt idx="20">
                  <c:v>44</c:v>
                </c:pt>
                <c:pt idx="21">
                  <c:v>48</c:v>
                </c:pt>
                <c:pt idx="22">
                  <c:v>50</c:v>
                </c:pt>
                <c:pt idx="23">
                  <c:v>51</c:v>
                </c:pt>
                <c:pt idx="24">
                  <c:v>51</c:v>
                </c:pt>
                <c:pt idx="25">
                  <c:v>51</c:v>
                </c:pt>
                <c:pt idx="26">
                  <c:v>51</c:v>
                </c:pt>
                <c:pt idx="27">
                  <c:v>52</c:v>
                </c:pt>
                <c:pt idx="28">
                  <c:v>53</c:v>
                </c:pt>
                <c:pt idx="29">
                  <c:v>54</c:v>
                </c:pt>
                <c:pt idx="30">
                  <c:v>54</c:v>
                </c:pt>
              </c:numCache>
            </c:numRef>
          </c:xVal>
          <c:yVal>
            <c:numRef>
              <c:f>[1]bPFS高リスク以上線量別!$E$84:$E$114</c:f>
              <c:numCache>
                <c:formatCode>General</c:formatCode>
                <c:ptCount val="3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0.95</c:v>
                </c:pt>
                <c:pt idx="13">
                  <c:v>0.95</c:v>
                </c:pt>
                <c:pt idx="14">
                  <c:v>0.95</c:v>
                </c:pt>
                <c:pt idx="15">
                  <c:v>0.95</c:v>
                </c:pt>
                <c:pt idx="16">
                  <c:v>0.95</c:v>
                </c:pt>
                <c:pt idx="17">
                  <c:v>0.95</c:v>
                </c:pt>
                <c:pt idx="18">
                  <c:v>0.95</c:v>
                </c:pt>
                <c:pt idx="19">
                  <c:v>0.95</c:v>
                </c:pt>
                <c:pt idx="20">
                  <c:v>0.95</c:v>
                </c:pt>
                <c:pt idx="21">
                  <c:v>0.95</c:v>
                </c:pt>
                <c:pt idx="22">
                  <c:v>0.95</c:v>
                </c:pt>
                <c:pt idx="23">
                  <c:v>0.95</c:v>
                </c:pt>
                <c:pt idx="24">
                  <c:v>0.95</c:v>
                </c:pt>
                <c:pt idx="25">
                  <c:v>0.95</c:v>
                </c:pt>
                <c:pt idx="26">
                  <c:v>0.95</c:v>
                </c:pt>
                <c:pt idx="27">
                  <c:v>0.95</c:v>
                </c:pt>
                <c:pt idx="28">
                  <c:v>0.95</c:v>
                </c:pt>
                <c:pt idx="29">
                  <c:v>0.95</c:v>
                </c:pt>
                <c:pt idx="30">
                  <c:v>0.95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A0D-4940-8BA8-DC741E8D3528}"/>
            </c:ext>
          </c:extLst>
        </c:ser>
        <c:ser>
          <c:idx val="2"/>
          <c:order val="2"/>
          <c:tx>
            <c:strRef>
              <c:f>'X:\ドキュメント\仕事\2023TPUS前立腺論文作成\[TPUS論文用20230221付.xls]bPFS高リスク以上線量別'!$C$83</c:f>
              <c:strCache>
                <c:ptCount val="1"/>
                <c:pt idx="0">
                  <c:v>76Gy (cencored)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4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[1]bPFS高リスク以上線量別!$A$84:$A$106</c:f>
              <c:numCache>
                <c:formatCode>General</c:formatCode>
                <c:ptCount val="23"/>
                <c:pt idx="0">
                  <c:v>0</c:v>
                </c:pt>
                <c:pt idx="1">
                  <c:v>13</c:v>
                </c:pt>
                <c:pt idx="2">
                  <c:v>13</c:v>
                </c:pt>
                <c:pt idx="3">
                  <c:v>21</c:v>
                </c:pt>
                <c:pt idx="4">
                  <c:v>21</c:v>
                </c:pt>
                <c:pt idx="5">
                  <c:v>42</c:v>
                </c:pt>
                <c:pt idx="6">
                  <c:v>54</c:v>
                </c:pt>
                <c:pt idx="7">
                  <c:v>54</c:v>
                </c:pt>
                <c:pt idx="8">
                  <c:v>55</c:v>
                </c:pt>
                <c:pt idx="9">
                  <c:v>56</c:v>
                </c:pt>
                <c:pt idx="10">
                  <c:v>56</c:v>
                </c:pt>
                <c:pt idx="11">
                  <c:v>58</c:v>
                </c:pt>
                <c:pt idx="12">
                  <c:v>64</c:v>
                </c:pt>
                <c:pt idx="13">
                  <c:v>66</c:v>
                </c:pt>
                <c:pt idx="14">
                  <c:v>66</c:v>
                </c:pt>
                <c:pt idx="15">
                  <c:v>67</c:v>
                </c:pt>
                <c:pt idx="16">
                  <c:v>68</c:v>
                </c:pt>
                <c:pt idx="17">
                  <c:v>69</c:v>
                </c:pt>
                <c:pt idx="18">
                  <c:v>69</c:v>
                </c:pt>
                <c:pt idx="19">
                  <c:v>71</c:v>
                </c:pt>
                <c:pt idx="20">
                  <c:v>74</c:v>
                </c:pt>
                <c:pt idx="21">
                  <c:v>75</c:v>
                </c:pt>
                <c:pt idx="22">
                  <c:v>79</c:v>
                </c:pt>
              </c:numCache>
            </c:numRef>
          </c:xVal>
          <c:yVal>
            <c:numRef>
              <c:f>[1]bPFS高リスク以上線量別!$C$84:$C$106</c:f>
              <c:numCache>
                <c:formatCode>General</c:formatCode>
                <c:ptCount val="23"/>
                <c:pt idx="5">
                  <c:v>0.89473684210526305</c:v>
                </c:pt>
                <c:pt idx="6">
                  <c:v>0.89473684210526305</c:v>
                </c:pt>
                <c:pt idx="7">
                  <c:v>0.89473684210526305</c:v>
                </c:pt>
                <c:pt idx="8">
                  <c:v>0.89473684210526305</c:v>
                </c:pt>
                <c:pt idx="9">
                  <c:v>0.89473684210526305</c:v>
                </c:pt>
                <c:pt idx="10">
                  <c:v>0.89473684210526305</c:v>
                </c:pt>
                <c:pt idx="11">
                  <c:v>0.89473684210526305</c:v>
                </c:pt>
                <c:pt idx="12">
                  <c:v>0.89473684210526305</c:v>
                </c:pt>
                <c:pt idx="13">
                  <c:v>0.89473684210526305</c:v>
                </c:pt>
                <c:pt idx="14">
                  <c:v>0.89473684210526305</c:v>
                </c:pt>
                <c:pt idx="15">
                  <c:v>0.89473684210526305</c:v>
                </c:pt>
                <c:pt idx="16">
                  <c:v>0.89473684210526305</c:v>
                </c:pt>
                <c:pt idx="19">
                  <c:v>0.71578947368421053</c:v>
                </c:pt>
                <c:pt idx="20">
                  <c:v>0.71578947368421053</c:v>
                </c:pt>
                <c:pt idx="21">
                  <c:v>0.71578947368421053</c:v>
                </c:pt>
                <c:pt idx="22">
                  <c:v>0.71578947368421053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A0D-4940-8BA8-DC741E8D3528}"/>
            </c:ext>
          </c:extLst>
        </c:ser>
        <c:ser>
          <c:idx val="3"/>
          <c:order val="3"/>
          <c:tx>
            <c:strRef>
              <c:f>'X:\ドキュメント\仕事\2023TPUS前立腺論文作成\[TPUS論文用20230221付.xls]bPFS高リスク以上線量別'!$F$83</c:f>
              <c:strCache>
                <c:ptCount val="1"/>
                <c:pt idx="0">
                  <c:v>78Gy (cencored)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xVal>
            <c:numRef>
              <c:f>[1]bPFS高リスク以上線量別!$D$84:$D$114</c:f>
              <c:numCache>
                <c:formatCode>General</c:formatCode>
                <c:ptCount val="31"/>
                <c:pt idx="0">
                  <c:v>0</c:v>
                </c:pt>
                <c:pt idx="1">
                  <c:v>14</c:v>
                </c:pt>
                <c:pt idx="2">
                  <c:v>14</c:v>
                </c:pt>
                <c:pt idx="3">
                  <c:v>17</c:v>
                </c:pt>
                <c:pt idx="4">
                  <c:v>21</c:v>
                </c:pt>
                <c:pt idx="5">
                  <c:v>24</c:v>
                </c:pt>
                <c:pt idx="6">
                  <c:v>24</c:v>
                </c:pt>
                <c:pt idx="7">
                  <c:v>24</c:v>
                </c:pt>
                <c:pt idx="8">
                  <c:v>25</c:v>
                </c:pt>
                <c:pt idx="9">
                  <c:v>28</c:v>
                </c:pt>
                <c:pt idx="10">
                  <c:v>28</c:v>
                </c:pt>
                <c:pt idx="11">
                  <c:v>31</c:v>
                </c:pt>
                <c:pt idx="12">
                  <c:v>31</c:v>
                </c:pt>
                <c:pt idx="13">
                  <c:v>31</c:v>
                </c:pt>
                <c:pt idx="14">
                  <c:v>32</c:v>
                </c:pt>
                <c:pt idx="15">
                  <c:v>32</c:v>
                </c:pt>
                <c:pt idx="16">
                  <c:v>33</c:v>
                </c:pt>
                <c:pt idx="17">
                  <c:v>37</c:v>
                </c:pt>
                <c:pt idx="18">
                  <c:v>37</c:v>
                </c:pt>
                <c:pt idx="19">
                  <c:v>42</c:v>
                </c:pt>
                <c:pt idx="20">
                  <c:v>44</c:v>
                </c:pt>
                <c:pt idx="21">
                  <c:v>48</c:v>
                </c:pt>
                <c:pt idx="22">
                  <c:v>50</c:v>
                </c:pt>
                <c:pt idx="23">
                  <c:v>51</c:v>
                </c:pt>
                <c:pt idx="24">
                  <c:v>51</c:v>
                </c:pt>
                <c:pt idx="25">
                  <c:v>51</c:v>
                </c:pt>
                <c:pt idx="26">
                  <c:v>51</c:v>
                </c:pt>
                <c:pt idx="27">
                  <c:v>52</c:v>
                </c:pt>
                <c:pt idx="28">
                  <c:v>53</c:v>
                </c:pt>
                <c:pt idx="29">
                  <c:v>54</c:v>
                </c:pt>
                <c:pt idx="30">
                  <c:v>54</c:v>
                </c:pt>
              </c:numCache>
            </c:numRef>
          </c:xVal>
          <c:yVal>
            <c:numRef>
              <c:f>[1]bPFS高リスク以上線量別!$F$84:$F$114</c:f>
              <c:numCache>
                <c:formatCode>General</c:formatCode>
                <c:ptCount val="31"/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2">
                  <c:v>0.95</c:v>
                </c:pt>
                <c:pt idx="13">
                  <c:v>0.95</c:v>
                </c:pt>
                <c:pt idx="14">
                  <c:v>0.95</c:v>
                </c:pt>
                <c:pt idx="15">
                  <c:v>0.95</c:v>
                </c:pt>
                <c:pt idx="16">
                  <c:v>0.95</c:v>
                </c:pt>
                <c:pt idx="17">
                  <c:v>0.95</c:v>
                </c:pt>
                <c:pt idx="18">
                  <c:v>0.95</c:v>
                </c:pt>
                <c:pt idx="19">
                  <c:v>0.95</c:v>
                </c:pt>
                <c:pt idx="20">
                  <c:v>0.95</c:v>
                </c:pt>
                <c:pt idx="21">
                  <c:v>0.95</c:v>
                </c:pt>
                <c:pt idx="22">
                  <c:v>0.95</c:v>
                </c:pt>
                <c:pt idx="23">
                  <c:v>0.95</c:v>
                </c:pt>
                <c:pt idx="24">
                  <c:v>0.95</c:v>
                </c:pt>
                <c:pt idx="25">
                  <c:v>0.95</c:v>
                </c:pt>
                <c:pt idx="26">
                  <c:v>0.95</c:v>
                </c:pt>
                <c:pt idx="27">
                  <c:v>0.95</c:v>
                </c:pt>
                <c:pt idx="28">
                  <c:v>0.95</c:v>
                </c:pt>
                <c:pt idx="29">
                  <c:v>0.95</c:v>
                </c:pt>
                <c:pt idx="30">
                  <c:v>0.95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A0D-4940-8BA8-DC741E8D35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9558144"/>
        <c:axId val="189568512"/>
      </c:scatterChart>
      <c:valAx>
        <c:axId val="1895581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ja-JP"/>
                  <a:t>Months</a:t>
                </a:r>
                <a:endParaRPr lang="ja-JP" alt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89568512"/>
        <c:crosses val="autoZero"/>
        <c:crossBetween val="midCat"/>
        <c:majorUnit val="12"/>
      </c:valAx>
      <c:valAx>
        <c:axId val="189568512"/>
        <c:scaling>
          <c:orientation val="minMax"/>
          <c:max val="1.1000000000000001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ja-JP"/>
                  <a:t>bPFS</a:t>
                </a:r>
                <a:endParaRPr lang="ja-JP" altLang="en-US"/>
              </a:p>
            </c:rich>
          </c:tx>
          <c:overlay val="0"/>
        </c:title>
        <c:numFmt formatCode="0.00" sourceLinked="0"/>
        <c:majorTickMark val="out"/>
        <c:minorTickMark val="none"/>
        <c:tickLblPos val="nextTo"/>
        <c:crossAx val="189558144"/>
        <c:crosses val="autoZero"/>
        <c:crossBetween val="midCat"/>
        <c:majorUnit val="0.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6722336852144891"/>
          <c:y val="0.37141907679776243"/>
          <c:w val="0.2730959985606044"/>
          <c:h val="0.36709260603621441"/>
        </c:manualLayout>
      </c:layout>
      <c:overlay val="1"/>
    </c:legend>
    <c:plotVisOnly val="1"/>
    <c:dispBlanksAs val="gap"/>
    <c:showDLblsOverMax val="0"/>
  </c:chart>
  <c:txPr>
    <a:bodyPr/>
    <a:lstStyle/>
    <a:p>
      <a:pPr>
        <a:defRPr sz="900"/>
      </a:pPr>
      <a:endParaRPr lang="ja-JP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Takai</dc:creator>
  <cp:keywords/>
  <dc:description/>
  <cp:lastModifiedBy>Kenji Takai</cp:lastModifiedBy>
  <cp:revision>3</cp:revision>
  <dcterms:created xsi:type="dcterms:W3CDTF">2023-07-14T05:29:00Z</dcterms:created>
  <dcterms:modified xsi:type="dcterms:W3CDTF">2023-07-20T02:55:00Z</dcterms:modified>
</cp:coreProperties>
</file>