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36698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36698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366982">
        <w:trPr>
          <w:trHeight w:val="48"/>
        </w:trPr>
        <w:tc>
          <w:tcPr>
            <w:tcW w:w="1668" w:type="dxa"/>
            <w:tcBorders>
              <w:top w:val="single" w:sz="5" w:space="0" w:color="000000"/>
              <w:left w:val="single" w:sz="5" w:space="0" w:color="000000"/>
              <w:bottom w:val="double" w:sz="2" w:space="0" w:color="FFFFCC"/>
              <w:right w:val="single" w:sz="5" w:space="0" w:color="000000"/>
            </w:tcBorders>
            <w:vAlign w:val="center"/>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vAlign w:val="center"/>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vAlign w:val="center"/>
          </w:tcPr>
          <w:p w14:paraId="7D0B1BDF" w14:textId="77777777" w:rsidR="00366982" w:rsidRDefault="00366982" w:rsidP="005979B8">
            <w:pPr>
              <w:pStyle w:val="Default"/>
              <w:spacing w:before="40" w:after="40"/>
              <w:rPr>
                <w:rFonts w:ascii="Arial" w:hAnsi="Arial" w:cs="Arial"/>
                <w:b/>
                <w:bCs/>
                <w:sz w:val="18"/>
                <w:szCs w:val="18"/>
                <w:lang w:eastAsia="zh-CN"/>
              </w:rPr>
            </w:pPr>
            <w:r>
              <w:rPr>
                <w:rFonts w:ascii="Arial" w:hAnsi="Arial" w:cs="Arial"/>
                <w:b/>
                <w:bCs/>
                <w:sz w:val="18"/>
                <w:szCs w:val="18"/>
                <w:lang w:eastAsia="zh-CN"/>
              </w:rPr>
              <w:t>In a review comparing ASHP residency certification standards with the West China Hospital Pharmaceutical Residency Program, the authors consider this report to be a systematic review:</w:t>
            </w:r>
            <w:r>
              <w:rPr>
                <w:rFonts w:ascii="Arial" w:hAnsi="Arial" w:cs="Arial" w:hint="eastAsia"/>
                <w:b/>
                <w:bCs/>
                <w:sz w:val="18"/>
                <w:szCs w:val="18"/>
                <w:lang w:eastAsia="zh-CN"/>
              </w:rPr>
              <w:t xml:space="preserve"> </w:t>
            </w:r>
          </w:p>
          <w:p w14:paraId="6E5E223C" w14:textId="3F0D51E2" w:rsidR="00FB3483" w:rsidRDefault="00366982" w:rsidP="005979B8">
            <w:pPr>
              <w:pStyle w:val="Default"/>
              <w:spacing w:before="40" w:after="40"/>
              <w:rPr>
                <w:rFonts w:ascii="Arial" w:hAnsi="Arial" w:cs="Arial"/>
                <w:sz w:val="18"/>
                <w:szCs w:val="18"/>
              </w:rPr>
            </w:pPr>
            <w:r>
              <w:rPr>
                <w:rFonts w:ascii="Arial" w:hAnsi="Arial" w:cs="Arial" w:hint="eastAsia"/>
                <w:sz w:val="18"/>
                <w:szCs w:val="18"/>
                <w:lang w:eastAsia="zh-CN"/>
              </w:rPr>
              <w:t>“</w:t>
            </w:r>
            <w:r w:rsidR="00086494">
              <w:rPr>
                <w:rFonts w:ascii="Arial" w:hAnsi="Arial" w:cs="Arial"/>
                <w:sz w:val="18"/>
                <w:szCs w:val="18"/>
              </w:rPr>
              <w:t>Evaluation of pharmacy residency program in West China Hospital with reference to ASHP resident certification standard</w:t>
            </w:r>
            <w:r>
              <w:rPr>
                <w:rFonts w:ascii="Arial" w:hAnsi="Arial" w:cs="Arial" w:hint="eastAsia"/>
                <w:sz w:val="18"/>
                <w:szCs w:val="18"/>
                <w:lang w:eastAsia="zh-CN"/>
              </w:rPr>
              <w:t>”</w:t>
            </w:r>
          </w:p>
        </w:tc>
        <w:tc>
          <w:tcPr>
            <w:tcW w:w="1200" w:type="dxa"/>
            <w:tcBorders>
              <w:top w:val="single" w:sz="5" w:space="0" w:color="000000"/>
              <w:left w:val="single" w:sz="5" w:space="0" w:color="000000"/>
              <w:bottom w:val="double" w:sz="5" w:space="0" w:color="000000"/>
              <w:right w:val="single" w:sz="5" w:space="0" w:color="000000"/>
            </w:tcBorders>
            <w:vAlign w:val="center"/>
          </w:tcPr>
          <w:p w14:paraId="2C544964" w14:textId="7E34FD9F" w:rsidR="00FB3483" w:rsidRDefault="00870711" w:rsidP="00870711">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2</w:t>
            </w:r>
          </w:p>
        </w:tc>
      </w:tr>
      <w:tr w:rsidR="00FB3483" w14:paraId="341419BF" w14:textId="77777777" w:rsidTr="0036698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D71DC10" w14:textId="77777777" w:rsidR="00FB3483" w:rsidRDefault="00FB3483" w:rsidP="00870711">
            <w:pPr>
              <w:pStyle w:val="Default"/>
              <w:jc w:val="center"/>
              <w:rPr>
                <w:rFonts w:ascii="Arial" w:hAnsi="Arial" w:cs="Arial"/>
                <w:color w:val="auto"/>
                <w:sz w:val="18"/>
                <w:szCs w:val="18"/>
              </w:rPr>
            </w:pPr>
          </w:p>
        </w:tc>
      </w:tr>
      <w:tr w:rsidR="00870711" w14:paraId="62930444" w14:textId="77777777" w:rsidTr="00366982">
        <w:trPr>
          <w:trHeight w:val="48"/>
        </w:trPr>
        <w:tc>
          <w:tcPr>
            <w:tcW w:w="1668" w:type="dxa"/>
            <w:tcBorders>
              <w:top w:val="single" w:sz="5" w:space="0" w:color="000000"/>
              <w:left w:val="single" w:sz="5" w:space="0" w:color="000000"/>
              <w:bottom w:val="double" w:sz="2" w:space="0" w:color="FFFFCC"/>
              <w:right w:val="single" w:sz="5" w:space="0" w:color="000000"/>
            </w:tcBorders>
            <w:vAlign w:val="center"/>
          </w:tcPr>
          <w:p w14:paraId="022C7641" w14:textId="536F366B" w:rsidR="00870711" w:rsidRDefault="00870711" w:rsidP="00870711">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vAlign w:val="center"/>
          </w:tcPr>
          <w:p w14:paraId="7EC1421F" w14:textId="77777777" w:rsidR="00870711" w:rsidRDefault="00870711" w:rsidP="00870711">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vAlign w:val="center"/>
          </w:tcPr>
          <w:p w14:paraId="200C0D3F" w14:textId="77777777" w:rsidR="00870711" w:rsidRDefault="00870711" w:rsidP="00870711">
            <w:pPr>
              <w:pStyle w:val="Default"/>
              <w:spacing w:before="40" w:after="40"/>
              <w:rPr>
                <w:rFonts w:ascii="Arial" w:hAnsi="Arial" w:cs="Arial"/>
                <w:b/>
                <w:bCs/>
                <w:sz w:val="18"/>
                <w:szCs w:val="18"/>
              </w:rPr>
            </w:pPr>
            <w:r>
              <w:rPr>
                <w:rFonts w:ascii="Arial" w:hAnsi="Arial" w:cs="Arial"/>
                <w:b/>
                <w:bCs/>
                <w:sz w:val="18"/>
                <w:szCs w:val="18"/>
              </w:rPr>
              <w:t>In a review comparing the training of pharmacy residents in West China Hospital with ASHP residency certification standards, the authors summarized the comparison criteria, literature search, research method selection, data collection methods, and training results.</w:t>
            </w:r>
          </w:p>
          <w:p w14:paraId="5712AD67" w14:textId="4BFA601D" w:rsidR="00870711" w:rsidRDefault="00987D2E" w:rsidP="00987D2E">
            <w:pPr>
              <w:pStyle w:val="Default"/>
              <w:spacing w:before="40" w:after="40"/>
              <w:rPr>
                <w:rFonts w:ascii="Arial" w:hAnsi="Arial" w:cs="Arial"/>
                <w:sz w:val="18"/>
                <w:szCs w:val="18"/>
                <w:lang w:eastAsia="zh-CN"/>
              </w:rPr>
            </w:pPr>
            <w:r>
              <w:rPr>
                <w:rFonts w:ascii="Arial" w:hAnsi="Arial" w:cs="Arial" w:hint="eastAsia"/>
                <w:sz w:val="18"/>
                <w:szCs w:val="18"/>
                <w:lang w:eastAsia="zh-CN"/>
              </w:rPr>
              <w:t>“</w:t>
            </w:r>
            <w:r>
              <w:rPr>
                <w:rFonts w:ascii="Arial" w:hAnsi="Arial" w:cs="Arial"/>
                <w:sz w:val="18"/>
                <w:szCs w:val="18"/>
                <w:lang w:eastAsia="zh-CN"/>
              </w:rPr>
              <w:t xml:space="preserve">Background: In hospitals in China, clinical pharmacist is a developing profession. Standardized training is necessary before becoming clinical pharmacists. How to do a good job in the standardized training of clinical pharmacists is a topic that has been discussed. Carrying out strategies that are compatible to the current situation of pharmaceutics in China is expected to promote the residency training program. In this study, we compared the current pharmacy residency model of West China Hospital (WCH) and the American Society of Health-System Pharmacists (ASHP) residency accreditation standards. </w:t>
            </w:r>
            <w:r>
              <w:rPr>
                <w:rFonts w:ascii="Arial" w:hAnsi="Arial" w:cs="Arial" w:hint="eastAsia"/>
                <w:sz w:val="18"/>
                <w:szCs w:val="18"/>
                <w:lang w:eastAsia="zh-CN"/>
              </w:rPr>
              <w:t xml:space="preserve"> </w:t>
            </w:r>
            <w:r>
              <w:rPr>
                <w:rFonts w:ascii="Arial" w:hAnsi="Arial" w:cs="Arial"/>
                <w:sz w:val="18"/>
                <w:szCs w:val="18"/>
                <w:lang w:eastAsia="zh-CN"/>
              </w:rPr>
              <w:t xml:space="preserve">Methods: By reviewing literature and official documents, the model of WCH and the ASHP residency accreditation standards were retrospectively compared, the differences were analyzed, and constructive suggestions were put forward for the training of pharmacists in China. </w:t>
            </w:r>
            <w:r>
              <w:rPr>
                <w:rFonts w:ascii="Arial" w:hAnsi="Arial" w:cs="Arial" w:hint="eastAsia"/>
                <w:sz w:val="18"/>
                <w:szCs w:val="18"/>
                <w:lang w:eastAsia="zh-CN"/>
              </w:rPr>
              <w:t xml:space="preserve"> </w:t>
            </w:r>
            <w:r>
              <w:rPr>
                <w:rFonts w:ascii="Arial" w:hAnsi="Arial" w:cs="Arial"/>
                <w:sz w:val="18"/>
                <w:szCs w:val="18"/>
                <w:lang w:eastAsia="zh-CN"/>
              </w:rPr>
              <w:t>Results: There are some similarities between the model of WCH and the ASHP residency accreditation, but there are also some differences. Although we have the same two-year training as the United States, due to the diversity of the domestic medical environment, there are certain differences between the two sides in various aspects. It can be seen from the differences in domestic and foreign environment, development process, training standards, training contents and training personnel's academic qualifications.</w:t>
            </w:r>
            <w:r>
              <w:rPr>
                <w:rFonts w:ascii="Arial" w:hAnsi="Arial" w:cs="Arial" w:hint="eastAsia"/>
                <w:sz w:val="18"/>
                <w:szCs w:val="18"/>
                <w:lang w:eastAsia="zh-CN"/>
              </w:rPr>
              <w:t xml:space="preserve"> </w:t>
            </w:r>
            <w:r>
              <w:rPr>
                <w:rFonts w:ascii="Arial" w:hAnsi="Arial" w:cs="Arial"/>
                <w:sz w:val="18"/>
                <w:szCs w:val="18"/>
                <w:lang w:eastAsia="zh-CN"/>
              </w:rPr>
              <w:t>Conclusions: The training model of clinical pharmacists in our hospital has many positive points, which is worth learning for other hospitals in China. In addition, there are also some shortcomings. In the future, we will continue to refer to the ASHP residency accreditation standards to improve our training model and enhance the training capacity of clinical pharmacists.</w:t>
            </w:r>
            <w:r>
              <w:rPr>
                <w:rFonts w:ascii="Arial" w:hAnsi="Arial" w:cs="Arial" w:hint="eastAsia"/>
                <w:sz w:val="18"/>
                <w:szCs w:val="18"/>
                <w:lang w:eastAsia="zh-CN"/>
              </w:rPr>
              <w:t>”</w:t>
            </w:r>
          </w:p>
        </w:tc>
        <w:tc>
          <w:tcPr>
            <w:tcW w:w="1200" w:type="dxa"/>
            <w:tcBorders>
              <w:top w:val="single" w:sz="5" w:space="0" w:color="000000"/>
              <w:left w:val="single" w:sz="5" w:space="0" w:color="000000"/>
              <w:bottom w:val="double" w:sz="5" w:space="0" w:color="000000"/>
              <w:right w:val="single" w:sz="5" w:space="0" w:color="000000"/>
            </w:tcBorders>
            <w:vAlign w:val="center"/>
          </w:tcPr>
          <w:p w14:paraId="029328DB" w14:textId="6B3DD07D" w:rsidR="00870711" w:rsidRDefault="00870711" w:rsidP="00870711">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2</w:t>
            </w:r>
          </w:p>
        </w:tc>
      </w:tr>
      <w:tr w:rsidR="00870711" w14:paraId="51385559" w14:textId="77777777" w:rsidTr="0036698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870711" w:rsidRDefault="00870711" w:rsidP="00870711">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C721FBC" w14:textId="77777777" w:rsidR="00870711" w:rsidRDefault="00870711" w:rsidP="00870711">
            <w:pPr>
              <w:pStyle w:val="Default"/>
              <w:jc w:val="center"/>
              <w:rPr>
                <w:rFonts w:ascii="Arial" w:hAnsi="Arial" w:cs="Arial"/>
                <w:color w:val="auto"/>
                <w:sz w:val="18"/>
                <w:szCs w:val="18"/>
              </w:rPr>
            </w:pPr>
          </w:p>
        </w:tc>
      </w:tr>
      <w:tr w:rsidR="00870711" w14:paraId="1613F84F"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792F204E" w14:textId="77777777" w:rsidR="00870711" w:rsidRDefault="00870711" w:rsidP="00870711">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vAlign w:val="center"/>
          </w:tcPr>
          <w:p w14:paraId="1FF73C89" w14:textId="77777777" w:rsidR="00870711" w:rsidRDefault="00870711" w:rsidP="00870711">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vAlign w:val="center"/>
          </w:tcPr>
          <w:p w14:paraId="4DECF178" w14:textId="75C68019" w:rsidR="00870711" w:rsidRDefault="00BD6F43" w:rsidP="00870711">
            <w:pPr>
              <w:pStyle w:val="Default"/>
              <w:spacing w:before="40" w:after="40"/>
              <w:rPr>
                <w:rFonts w:ascii="Arial" w:hAnsi="Arial" w:cs="Arial"/>
                <w:b/>
                <w:bCs/>
                <w:sz w:val="18"/>
                <w:szCs w:val="18"/>
              </w:rPr>
            </w:pPr>
            <w:r>
              <w:rPr>
                <w:rFonts w:ascii="Arial" w:hAnsi="Arial" w:cs="Arial"/>
                <w:b/>
                <w:bCs/>
                <w:sz w:val="18"/>
                <w:szCs w:val="18"/>
              </w:rPr>
              <w:t xml:space="preserve">In one review, the similarities and differences in the training of clinical pharmacists in the United States and China were examined, the various reasons for the differences, and the current situation in which training is conducted. The authors' report acknowledges the differences between China and the United States regarding the training systems of clinical pharmacists, </w:t>
            </w:r>
            <w:r w:rsidR="00FC6A93">
              <w:rPr>
                <w:rFonts w:ascii="Arial" w:hAnsi="Arial" w:cs="Arial"/>
                <w:b/>
                <w:bCs/>
                <w:sz w:val="18"/>
                <w:szCs w:val="18"/>
              </w:rPr>
              <w:t xml:space="preserve">while few review exists before to </w:t>
            </w:r>
            <w:r>
              <w:rPr>
                <w:rFonts w:ascii="Arial" w:hAnsi="Arial" w:cs="Arial"/>
                <w:b/>
                <w:bCs/>
                <w:sz w:val="18"/>
                <w:szCs w:val="18"/>
              </w:rPr>
              <w:t xml:space="preserve">address </w:t>
            </w:r>
            <w:r w:rsidR="00FC6A93">
              <w:rPr>
                <w:rFonts w:ascii="Arial" w:hAnsi="Arial" w:cs="Arial"/>
                <w:b/>
                <w:bCs/>
                <w:sz w:val="18"/>
                <w:szCs w:val="18"/>
              </w:rPr>
              <w:t>such</w:t>
            </w:r>
            <w:r>
              <w:rPr>
                <w:rFonts w:ascii="Arial" w:hAnsi="Arial" w:cs="Arial"/>
                <w:b/>
                <w:bCs/>
                <w:sz w:val="18"/>
                <w:szCs w:val="18"/>
              </w:rPr>
              <w:t xml:space="preserve"> problems</w:t>
            </w:r>
            <w:r w:rsidR="00FC6A93">
              <w:rPr>
                <w:rFonts w:ascii="Arial" w:hAnsi="Arial" w:cs="Arial"/>
                <w:b/>
                <w:bCs/>
                <w:sz w:val="18"/>
                <w:szCs w:val="18"/>
              </w:rPr>
              <w:t>:</w:t>
            </w:r>
          </w:p>
          <w:p w14:paraId="6ADA1255" w14:textId="575C83F8" w:rsidR="00BD6F43" w:rsidRDefault="00A74163" w:rsidP="00870711">
            <w:pPr>
              <w:pStyle w:val="Default"/>
              <w:spacing w:before="40" w:after="40"/>
              <w:rPr>
                <w:rFonts w:ascii="Arial" w:hAnsi="Arial" w:cs="Arial"/>
                <w:sz w:val="18"/>
                <w:szCs w:val="18"/>
              </w:rPr>
            </w:pPr>
            <w:r>
              <w:rPr>
                <w:rFonts w:ascii="Arial" w:hAnsi="Arial" w:cs="Arial" w:hint="eastAsia"/>
                <w:sz w:val="18"/>
                <w:szCs w:val="18"/>
                <w:lang w:eastAsia="zh-CN"/>
              </w:rPr>
              <w:t>“</w:t>
            </w:r>
            <w:r>
              <w:rPr>
                <w:rFonts w:ascii="Arial" w:hAnsi="Arial" w:cs="Arial"/>
                <w:sz w:val="18"/>
                <w:szCs w:val="18"/>
                <w:lang w:eastAsia="zh-CN"/>
              </w:rPr>
              <w:t>To meet the increasing demand for high-quality pharmacy service, different types of pharmacy residency programs are carried out for both new pharmacy graduates and those who work in hospital pharmacy but never received systemic training. Over the years, obtaining a residency certificate has gradually become a mandatory requirement to practice pharmacy in major Chinese hospitals. To improve the quality as well as the number of clinical pharmacists, we need to carry out pharmacy residency programs with higher quality. One way to achieve this goal is to learn from the model of well-developed residency programs, such as the pharmacy residency in the United States, which was established under the guidance of the American Society of Health-System Pharmacists (ASHP).</w:t>
            </w:r>
            <w:r>
              <w:rPr>
                <w:rFonts w:ascii="Arial" w:hAnsi="Arial" w:cs="Arial" w:hint="eastAsia"/>
                <w:sz w:val="18"/>
                <w:szCs w:val="18"/>
                <w:lang w:eastAsia="zh-CN"/>
              </w:rPr>
              <w:t>”</w:t>
            </w:r>
          </w:p>
        </w:tc>
        <w:tc>
          <w:tcPr>
            <w:tcW w:w="1200" w:type="dxa"/>
            <w:tcBorders>
              <w:top w:val="single" w:sz="5" w:space="0" w:color="000000"/>
              <w:left w:val="single" w:sz="5" w:space="0" w:color="000000"/>
              <w:bottom w:val="single" w:sz="5" w:space="0" w:color="000000"/>
              <w:right w:val="single" w:sz="5" w:space="0" w:color="000000"/>
            </w:tcBorders>
            <w:vAlign w:val="center"/>
          </w:tcPr>
          <w:p w14:paraId="4AFE3A6B" w14:textId="46680B36" w:rsidR="00870711" w:rsidRDefault="00AF2038" w:rsidP="00870711">
            <w:pPr>
              <w:pStyle w:val="Default"/>
              <w:spacing w:before="40" w:after="40"/>
              <w:jc w:val="center"/>
              <w:rPr>
                <w:rFonts w:ascii="Arial" w:hAnsi="Arial" w:cs="Arial"/>
                <w:color w:val="auto"/>
                <w:sz w:val="18"/>
                <w:szCs w:val="18"/>
              </w:rPr>
            </w:pPr>
            <w:bookmarkStart w:id="0" w:name="OLE_LINK1"/>
            <w:r>
              <w:rPr>
                <w:rFonts w:ascii="Arial" w:hAnsi="Arial" w:cs="Arial" w:hint="eastAsia"/>
                <w:color w:val="auto"/>
                <w:sz w:val="18"/>
                <w:szCs w:val="18"/>
                <w:lang w:eastAsia="zh-CN"/>
              </w:rPr>
              <w:t>P</w:t>
            </w:r>
            <w:r>
              <w:rPr>
                <w:rFonts w:ascii="Arial" w:hAnsi="Arial" w:cs="Arial"/>
                <w:color w:val="auto"/>
                <w:sz w:val="18"/>
                <w:szCs w:val="18"/>
                <w:lang w:eastAsia="zh-CN"/>
              </w:rPr>
              <w:t>3-4</w:t>
            </w:r>
            <w:bookmarkEnd w:id="0"/>
          </w:p>
        </w:tc>
      </w:tr>
      <w:tr w:rsidR="00870711" w14:paraId="126BB502" w14:textId="77777777" w:rsidTr="00366982">
        <w:trPr>
          <w:trHeight w:val="48"/>
        </w:trPr>
        <w:tc>
          <w:tcPr>
            <w:tcW w:w="1668" w:type="dxa"/>
            <w:tcBorders>
              <w:top w:val="single" w:sz="5" w:space="0" w:color="000000"/>
              <w:left w:val="single" w:sz="5" w:space="0" w:color="000000"/>
              <w:bottom w:val="double" w:sz="2" w:space="0" w:color="FFFFCC"/>
              <w:right w:val="single" w:sz="5" w:space="0" w:color="000000"/>
            </w:tcBorders>
            <w:vAlign w:val="center"/>
          </w:tcPr>
          <w:p w14:paraId="1729B596" w14:textId="77777777" w:rsidR="00870711" w:rsidRDefault="00870711" w:rsidP="00870711">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vAlign w:val="center"/>
          </w:tcPr>
          <w:p w14:paraId="3627E886" w14:textId="77777777" w:rsidR="00870711" w:rsidRDefault="00870711" w:rsidP="00870711">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vAlign w:val="center"/>
          </w:tcPr>
          <w:p w14:paraId="4AFF90DE" w14:textId="54C51224" w:rsidR="00A74163" w:rsidRDefault="00A74163" w:rsidP="00A74163">
            <w:pPr>
              <w:pStyle w:val="Default"/>
              <w:spacing w:before="40" w:after="40"/>
              <w:rPr>
                <w:rFonts w:ascii="Arial" w:hAnsi="Arial" w:cs="Arial"/>
                <w:b/>
                <w:bCs/>
                <w:sz w:val="18"/>
                <w:szCs w:val="18"/>
              </w:rPr>
            </w:pPr>
            <w:r>
              <w:rPr>
                <w:rFonts w:ascii="Arial" w:hAnsi="Arial" w:cs="Arial"/>
                <w:b/>
                <w:bCs/>
                <w:sz w:val="18"/>
                <w:szCs w:val="18"/>
              </w:rPr>
              <w:t>In a review on the subject, the authors report the sole objective of the review:</w:t>
            </w:r>
          </w:p>
          <w:p w14:paraId="34103CE3" w14:textId="48068517" w:rsidR="00870711" w:rsidRDefault="00A74163" w:rsidP="00A74163">
            <w:pPr>
              <w:pStyle w:val="Default"/>
              <w:spacing w:before="40" w:after="40"/>
              <w:rPr>
                <w:rFonts w:ascii="Arial" w:hAnsi="Arial" w:cs="Arial"/>
                <w:sz w:val="18"/>
                <w:szCs w:val="18"/>
              </w:rPr>
            </w:pPr>
            <w:r>
              <w:rPr>
                <w:rFonts w:ascii="Arial" w:hAnsi="Arial" w:cs="Arial" w:hint="eastAsia"/>
                <w:sz w:val="18"/>
                <w:szCs w:val="18"/>
                <w:lang w:eastAsia="zh-CN"/>
              </w:rPr>
              <w:t>“</w:t>
            </w:r>
            <w:r>
              <w:rPr>
                <w:rFonts w:ascii="Arial" w:hAnsi="Arial" w:cs="Arial"/>
                <w:sz w:val="18"/>
                <w:szCs w:val="18"/>
              </w:rPr>
              <w:t>Objective: Compared with clinical pharmacists in the United States, the training of clinical pharmacists in West China Hospital in China was investigated. Including construction history, teachers, training content, enrollment standards and so on. It is hoped to learn from the more mature training system and standards of the United States to improve the training of clinical pharmacists in West China Hospital.</w:t>
            </w:r>
            <w:r>
              <w:rPr>
                <w:rFonts w:ascii="Arial" w:hAnsi="Arial" w:cs="Arial" w:hint="eastAsia"/>
                <w:sz w:val="18"/>
                <w:szCs w:val="18"/>
                <w:lang w:eastAsia="zh-CN"/>
              </w:rPr>
              <w:t>”</w:t>
            </w:r>
          </w:p>
        </w:tc>
        <w:tc>
          <w:tcPr>
            <w:tcW w:w="1200" w:type="dxa"/>
            <w:tcBorders>
              <w:top w:val="single" w:sz="5" w:space="0" w:color="000000"/>
              <w:left w:val="single" w:sz="5" w:space="0" w:color="000000"/>
              <w:bottom w:val="double" w:sz="5" w:space="0" w:color="000000"/>
              <w:right w:val="single" w:sz="5" w:space="0" w:color="000000"/>
            </w:tcBorders>
            <w:vAlign w:val="center"/>
          </w:tcPr>
          <w:p w14:paraId="6DFCB2FE" w14:textId="00E49EEC" w:rsidR="00870711" w:rsidRDefault="00AF2038" w:rsidP="00870711">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3-4</w:t>
            </w:r>
          </w:p>
        </w:tc>
      </w:tr>
      <w:tr w:rsidR="00870711" w14:paraId="324F24F7" w14:textId="77777777" w:rsidTr="0036698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870711" w:rsidRDefault="00870711" w:rsidP="00870711">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60D9662" w14:textId="77777777" w:rsidR="00870711" w:rsidRDefault="00870711" w:rsidP="00870711">
            <w:pPr>
              <w:pStyle w:val="Default"/>
              <w:jc w:val="center"/>
              <w:rPr>
                <w:rFonts w:ascii="Arial" w:hAnsi="Arial" w:cs="Arial"/>
                <w:color w:val="auto"/>
                <w:sz w:val="18"/>
                <w:szCs w:val="18"/>
              </w:rPr>
            </w:pPr>
          </w:p>
        </w:tc>
      </w:tr>
      <w:tr w:rsidR="00870711" w14:paraId="0A3C979C"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233B4F24" w14:textId="77777777" w:rsidR="00870711" w:rsidRDefault="00870711" w:rsidP="00870711">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vAlign w:val="center"/>
          </w:tcPr>
          <w:p w14:paraId="3557CC61" w14:textId="5237E212" w:rsidR="00870711" w:rsidRDefault="00870711" w:rsidP="00870711">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vAlign w:val="center"/>
          </w:tcPr>
          <w:p w14:paraId="40D74BF5" w14:textId="260A6EA5" w:rsidR="00BF2435" w:rsidRDefault="0095270E" w:rsidP="00BF2435">
            <w:pPr>
              <w:pStyle w:val="Default"/>
              <w:spacing w:before="40" w:after="40"/>
              <w:rPr>
                <w:rFonts w:ascii="Arial" w:hAnsi="Arial" w:cs="Arial"/>
                <w:b/>
                <w:bCs/>
                <w:sz w:val="18"/>
                <w:szCs w:val="18"/>
              </w:rPr>
            </w:pPr>
            <w:r>
              <w:rPr>
                <w:rFonts w:ascii="Arial" w:hAnsi="Arial" w:cs="Arial"/>
                <w:b/>
                <w:bCs/>
                <w:sz w:val="18"/>
                <w:szCs w:val="18"/>
              </w:rPr>
              <w:t>In a review comparing the training of pharmacy residents in West China Hospital with ASHP residency certification standards, the authors</w:t>
            </w:r>
            <w:r w:rsidR="00BF2435">
              <w:rPr>
                <w:rFonts w:ascii="Arial" w:hAnsi="Arial" w:cs="Arial" w:hint="eastAsia"/>
                <w:b/>
                <w:bCs/>
                <w:sz w:val="18"/>
                <w:szCs w:val="18"/>
                <w:lang w:eastAsia="zh-CN"/>
              </w:rPr>
              <w:t xml:space="preserve"> </w:t>
            </w:r>
            <w:r w:rsidR="00BF2435">
              <w:rPr>
                <w:rFonts w:ascii="Arial" w:hAnsi="Arial" w:cs="Arial"/>
                <w:b/>
                <w:bCs/>
                <w:sz w:val="18"/>
                <w:szCs w:val="18"/>
              </w:rPr>
              <w:t xml:space="preserve">collected the training standards and contents of clinical Pharmacists including but not limited to the American Society of Health-System Pharmacists (ASHP) and West China Hospital of Sichuan University. </w:t>
            </w:r>
          </w:p>
          <w:p w14:paraId="25BE01BE" w14:textId="77777777" w:rsidR="00BF2435" w:rsidRDefault="00BF2435" w:rsidP="00BF2435">
            <w:pPr>
              <w:pStyle w:val="Default"/>
              <w:spacing w:before="40" w:after="40"/>
              <w:rPr>
                <w:rFonts w:ascii="Arial" w:hAnsi="Arial" w:cs="Arial"/>
                <w:sz w:val="18"/>
                <w:szCs w:val="18"/>
              </w:rPr>
            </w:pPr>
            <w:r>
              <w:rPr>
                <w:rFonts w:ascii="Arial" w:hAnsi="Arial" w:cs="Arial" w:hint="eastAsia"/>
                <w:sz w:val="18"/>
                <w:szCs w:val="18"/>
                <w:lang w:eastAsia="zh-CN"/>
              </w:rPr>
              <w:t>“</w:t>
            </w:r>
            <w:r>
              <w:rPr>
                <w:rFonts w:ascii="Arial" w:hAnsi="Arial" w:cs="Arial" w:hint="eastAsia"/>
                <w:sz w:val="18"/>
                <w:szCs w:val="18"/>
                <w:lang w:eastAsia="zh-CN"/>
              </w:rPr>
              <w:t>we</w:t>
            </w:r>
            <w:r>
              <w:rPr>
                <w:rFonts w:ascii="Arial" w:hAnsi="Arial" w:cs="Arial"/>
                <w:sz w:val="18"/>
                <w:szCs w:val="18"/>
                <w:lang w:eastAsia="zh-CN"/>
              </w:rPr>
              <w:t xml:space="preserve"> </w:t>
            </w:r>
            <w:r>
              <w:rPr>
                <w:rFonts w:ascii="Arial" w:hAnsi="Arial" w:cs="Arial"/>
                <w:sz w:val="18"/>
                <w:szCs w:val="18"/>
              </w:rPr>
              <w:t xml:space="preserve">collected the training standards and contents of clinical Pharmacists including but not limited to the American Society of Health-System </w:t>
            </w:r>
            <w:r>
              <w:rPr>
                <w:rFonts w:ascii="Arial" w:hAnsi="Arial" w:cs="Arial"/>
                <w:sz w:val="18"/>
                <w:szCs w:val="18"/>
              </w:rPr>
              <w:lastRenderedPageBreak/>
              <w:t xml:space="preserve">Pharmacists (ASHP) and West China Hospital of Sichuan University. The research includes the following: </w:t>
            </w:r>
          </w:p>
          <w:p w14:paraId="044876D7" w14:textId="75AB4F1A" w:rsidR="00BF2435" w:rsidRDefault="00BF2435" w:rsidP="00BF2435">
            <w:pPr>
              <w:pStyle w:val="Default"/>
              <w:spacing w:before="40" w:after="40"/>
              <w:rPr>
                <w:rFonts w:ascii="Arial" w:hAnsi="Arial" w:cs="Arial"/>
                <w:sz w:val="18"/>
                <w:szCs w:val="18"/>
              </w:rPr>
            </w:pPr>
            <w:r>
              <w:rPr>
                <w:rFonts w:ascii="Arial" w:hAnsi="Arial" w:cs="Arial"/>
                <w:sz w:val="18"/>
                <w:szCs w:val="18"/>
              </w:rPr>
              <w:t>(1) Construction of pharmaceutical training base; (2) Training mode; (3) Recruitment process and registration requirements; (4) The pharmaceutical training contents; (5) Teachers' preceptor qualification and responsibility.</w:t>
            </w:r>
            <w:r>
              <w:rPr>
                <w:rFonts w:ascii="Arial" w:hAnsi="Arial" w:cs="Arial" w:hint="eastAsia"/>
                <w:sz w:val="18"/>
                <w:szCs w:val="18"/>
                <w:lang w:eastAsia="zh-CN"/>
              </w:rPr>
              <w:t>”</w:t>
            </w:r>
          </w:p>
        </w:tc>
        <w:tc>
          <w:tcPr>
            <w:tcW w:w="1200" w:type="dxa"/>
            <w:tcBorders>
              <w:top w:val="single" w:sz="5" w:space="0" w:color="000000"/>
              <w:left w:val="single" w:sz="5" w:space="0" w:color="000000"/>
              <w:bottom w:val="single" w:sz="5" w:space="0" w:color="000000"/>
              <w:right w:val="single" w:sz="5" w:space="0" w:color="000000"/>
            </w:tcBorders>
            <w:vAlign w:val="center"/>
          </w:tcPr>
          <w:p w14:paraId="6B03C229" w14:textId="511606C1" w:rsidR="00870711" w:rsidRDefault="00BF2435" w:rsidP="00870711">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lastRenderedPageBreak/>
              <w:t>P</w:t>
            </w:r>
            <w:r>
              <w:rPr>
                <w:rFonts w:ascii="Arial" w:hAnsi="Arial" w:cs="Arial"/>
                <w:color w:val="auto"/>
                <w:sz w:val="18"/>
                <w:szCs w:val="18"/>
                <w:lang w:eastAsia="zh-CN"/>
              </w:rPr>
              <w:t>4</w:t>
            </w:r>
          </w:p>
        </w:tc>
      </w:tr>
      <w:tr w:rsidR="00870711" w14:paraId="16FE4FE0" w14:textId="77777777" w:rsidTr="00366982">
        <w:trPr>
          <w:trHeight w:val="191"/>
        </w:trPr>
        <w:tc>
          <w:tcPr>
            <w:tcW w:w="1668" w:type="dxa"/>
            <w:tcBorders>
              <w:top w:val="single" w:sz="5" w:space="0" w:color="000000"/>
              <w:left w:val="single" w:sz="5" w:space="0" w:color="000000"/>
              <w:bottom w:val="single" w:sz="5" w:space="0" w:color="000000"/>
              <w:right w:val="single" w:sz="5" w:space="0" w:color="000000"/>
            </w:tcBorders>
            <w:vAlign w:val="center"/>
          </w:tcPr>
          <w:p w14:paraId="5190E0C3" w14:textId="77777777" w:rsidR="00870711" w:rsidRDefault="00870711" w:rsidP="00870711">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vAlign w:val="center"/>
          </w:tcPr>
          <w:p w14:paraId="3E0B6F4F" w14:textId="46034133" w:rsidR="00870711" w:rsidRDefault="00870711" w:rsidP="00870711">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vAlign w:val="center"/>
          </w:tcPr>
          <w:p w14:paraId="6D9E4FEE" w14:textId="16B21FE3" w:rsidR="00C550CD" w:rsidRDefault="00C550CD" w:rsidP="00C550CD">
            <w:pPr>
              <w:pStyle w:val="Default"/>
              <w:spacing w:before="40" w:after="40"/>
              <w:rPr>
                <w:rFonts w:ascii="Arial" w:hAnsi="Arial" w:cs="Arial"/>
                <w:b/>
                <w:bCs/>
                <w:sz w:val="18"/>
                <w:szCs w:val="18"/>
              </w:rPr>
            </w:pPr>
            <w:r>
              <w:rPr>
                <w:rFonts w:ascii="Arial" w:hAnsi="Arial" w:cs="Arial"/>
                <w:b/>
                <w:bCs/>
                <w:sz w:val="18"/>
                <w:szCs w:val="18"/>
              </w:rPr>
              <w:t>In a review report, standards and systems for the training of pharmacists in China and the United States were reviewed, website information and databases were consulted, as well as other sources:</w:t>
            </w:r>
          </w:p>
          <w:p w14:paraId="57B9F4B4" w14:textId="7ADB9362" w:rsidR="00870711" w:rsidRDefault="00C550CD" w:rsidP="00C550CD">
            <w:pPr>
              <w:pStyle w:val="Default"/>
              <w:spacing w:before="40" w:after="40"/>
              <w:rPr>
                <w:rFonts w:ascii="Arial" w:hAnsi="Arial" w:cs="Arial"/>
                <w:sz w:val="18"/>
                <w:szCs w:val="18"/>
              </w:rPr>
            </w:pPr>
            <w:r>
              <w:rPr>
                <w:rFonts w:ascii="Arial" w:hAnsi="Arial" w:cs="Arial" w:hint="eastAsia"/>
                <w:sz w:val="18"/>
                <w:szCs w:val="18"/>
                <w:lang w:eastAsia="zh-CN"/>
              </w:rPr>
              <w:t>“</w:t>
            </w:r>
            <w:r>
              <w:rPr>
                <w:rFonts w:ascii="Arial" w:hAnsi="Arial" w:cs="Arial"/>
                <w:sz w:val="18"/>
                <w:szCs w:val="18"/>
              </w:rPr>
              <w:t xml:space="preserve">We searched </w:t>
            </w:r>
            <w:proofErr w:type="spellStart"/>
            <w:r>
              <w:rPr>
                <w:rFonts w:ascii="Arial" w:hAnsi="Arial" w:cs="Arial"/>
                <w:sz w:val="18"/>
                <w:szCs w:val="18"/>
              </w:rPr>
              <w:t>Pubmed</w:t>
            </w:r>
            <w:proofErr w:type="spellEnd"/>
            <w:r>
              <w:rPr>
                <w:rFonts w:ascii="Arial" w:hAnsi="Arial" w:cs="Arial"/>
                <w:sz w:val="18"/>
                <w:szCs w:val="18"/>
              </w:rPr>
              <w:t xml:space="preserve">, Embase, the Cochrane Library, the Chinese National Knowledge Infrastructure, </w:t>
            </w:r>
            <w:proofErr w:type="spellStart"/>
            <w:r>
              <w:rPr>
                <w:rFonts w:ascii="Arial" w:hAnsi="Arial" w:cs="Arial"/>
                <w:sz w:val="18"/>
                <w:szCs w:val="18"/>
              </w:rPr>
              <w:t>Wanfang</w:t>
            </w:r>
            <w:proofErr w:type="spellEnd"/>
            <w:r>
              <w:rPr>
                <w:rFonts w:ascii="Arial" w:hAnsi="Arial" w:cs="Arial"/>
                <w:sz w:val="18"/>
                <w:szCs w:val="18"/>
              </w:rPr>
              <w:t xml:space="preserve"> Database, and VIP Database for articles on the training of pharmacists or clinical pharmacists, and checked official documents.</w:t>
            </w:r>
            <w:r>
              <w:rPr>
                <w:rFonts w:ascii="Arial" w:hAnsi="Arial" w:cs="Arial" w:hint="eastAsia"/>
                <w:sz w:val="18"/>
                <w:szCs w:val="18"/>
                <w:lang w:eastAsia="zh-CN"/>
              </w:rPr>
              <w:t xml:space="preserve"> </w:t>
            </w:r>
            <w:r>
              <w:rPr>
                <w:rFonts w:ascii="Arial" w:hAnsi="Arial" w:cs="Arial" w:hint="eastAsia"/>
                <w:sz w:val="18"/>
                <w:szCs w:val="18"/>
                <w:lang w:eastAsia="zh-CN"/>
              </w:rPr>
              <w:t>”</w:t>
            </w:r>
          </w:p>
        </w:tc>
        <w:tc>
          <w:tcPr>
            <w:tcW w:w="1200" w:type="dxa"/>
            <w:tcBorders>
              <w:top w:val="single" w:sz="5" w:space="0" w:color="000000"/>
              <w:left w:val="single" w:sz="5" w:space="0" w:color="000000"/>
              <w:bottom w:val="single" w:sz="5" w:space="0" w:color="000000"/>
              <w:right w:val="single" w:sz="5" w:space="0" w:color="000000"/>
            </w:tcBorders>
            <w:vAlign w:val="center"/>
          </w:tcPr>
          <w:p w14:paraId="13ED706A" w14:textId="2A14B376" w:rsidR="00870711" w:rsidRDefault="00C550CD" w:rsidP="00870711">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4</w:t>
            </w:r>
          </w:p>
        </w:tc>
      </w:tr>
      <w:tr w:rsidR="00870711" w14:paraId="442A4EF4"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354B1526" w14:textId="56E89E5C" w:rsidR="00870711" w:rsidRDefault="00870711" w:rsidP="00870711">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vAlign w:val="center"/>
          </w:tcPr>
          <w:p w14:paraId="1C77254E" w14:textId="5847D3CA" w:rsidR="00870711" w:rsidRDefault="00870711" w:rsidP="00870711">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vAlign w:val="center"/>
          </w:tcPr>
          <w:p w14:paraId="6B697C20" w14:textId="166AE6D4" w:rsidR="00870711" w:rsidRDefault="00F02CC5" w:rsidP="00870711">
            <w:pPr>
              <w:pStyle w:val="Default"/>
              <w:spacing w:before="40" w:after="40"/>
              <w:rPr>
                <w:rFonts w:ascii="Arial" w:hAnsi="Arial" w:cs="Arial"/>
                <w:b/>
                <w:bCs/>
                <w:sz w:val="18"/>
                <w:szCs w:val="18"/>
              </w:rPr>
            </w:pPr>
            <w:r>
              <w:rPr>
                <w:rFonts w:ascii="Arial" w:hAnsi="Arial" w:cs="Arial"/>
                <w:b/>
                <w:bCs/>
                <w:sz w:val="18"/>
                <w:szCs w:val="18"/>
              </w:rPr>
              <w:t>In a review comparing ASHP residency certification standards with the West China Hospital Pharmaceutical Residency Program, the authors report the full search strategy for all databases searched</w:t>
            </w:r>
            <w:r w:rsidR="00C5687F">
              <w:rPr>
                <w:rFonts w:ascii="Arial" w:hAnsi="Arial" w:cs="Arial"/>
                <w:b/>
                <w:bCs/>
                <w:sz w:val="18"/>
                <w:szCs w:val="18"/>
              </w:rPr>
              <w:t xml:space="preserve">. </w:t>
            </w:r>
            <w:r>
              <w:rPr>
                <w:rFonts w:ascii="Arial" w:hAnsi="Arial" w:cs="Arial"/>
                <w:b/>
                <w:bCs/>
                <w:sz w:val="18"/>
                <w:szCs w:val="18"/>
              </w:rPr>
              <w:t>The following is an excerpt of how reported the search strategy for trials registers:</w:t>
            </w:r>
          </w:p>
          <w:p w14:paraId="21DED44A" w14:textId="1DC0ADCC" w:rsidR="00A723CA" w:rsidRDefault="00A723CA" w:rsidP="002A532A">
            <w:pPr>
              <w:pStyle w:val="Default"/>
              <w:spacing w:before="40" w:after="40"/>
              <w:rPr>
                <w:rFonts w:ascii="Arial" w:hAnsi="Arial" w:cs="Arial"/>
                <w:sz w:val="18"/>
                <w:szCs w:val="18"/>
                <w:lang w:eastAsia="zh-CN"/>
              </w:rPr>
            </w:pPr>
            <w:r>
              <w:rPr>
                <w:rFonts w:ascii="Arial" w:hAnsi="Arial" w:cs="Arial" w:hint="eastAsia"/>
                <w:sz w:val="18"/>
                <w:szCs w:val="18"/>
                <w:lang w:eastAsia="zh-CN"/>
              </w:rPr>
              <w:t>“</w:t>
            </w:r>
            <w:r>
              <w:rPr>
                <w:rFonts w:ascii="Arial" w:hAnsi="Arial" w:cs="Arial"/>
                <w:sz w:val="18"/>
                <w:szCs w:val="18"/>
                <w:lang w:eastAsia="zh-CN"/>
              </w:rPr>
              <w:t xml:space="preserve">We searched </w:t>
            </w:r>
            <w:proofErr w:type="spellStart"/>
            <w:r>
              <w:rPr>
                <w:rFonts w:ascii="Arial" w:hAnsi="Arial" w:cs="Arial"/>
                <w:sz w:val="18"/>
                <w:szCs w:val="18"/>
                <w:lang w:eastAsia="zh-CN"/>
              </w:rPr>
              <w:t>Pubmed</w:t>
            </w:r>
            <w:proofErr w:type="spellEnd"/>
            <w:r>
              <w:rPr>
                <w:rFonts w:ascii="Arial" w:hAnsi="Arial" w:cs="Arial" w:hint="eastAsia"/>
                <w:sz w:val="18"/>
                <w:szCs w:val="18"/>
                <w:lang w:eastAsia="zh-CN"/>
              </w:rPr>
              <w:t>（</w:t>
            </w:r>
            <w:r>
              <w:rPr>
                <w:rFonts w:ascii="Arial" w:hAnsi="Arial" w:cs="Arial"/>
                <w:sz w:val="18"/>
                <w:szCs w:val="18"/>
                <w:lang w:eastAsia="zh-CN"/>
              </w:rPr>
              <w:t>https://pubmed.ncbi.nlm.nih.gov/advanced/</w:t>
            </w:r>
            <w:r>
              <w:rPr>
                <w:rFonts w:ascii="Arial" w:hAnsi="Arial" w:cs="Arial" w:hint="eastAsia"/>
                <w:sz w:val="18"/>
                <w:szCs w:val="18"/>
                <w:lang w:eastAsia="zh-CN"/>
              </w:rPr>
              <w:t>）</w:t>
            </w:r>
            <w:r>
              <w:rPr>
                <w:rFonts w:ascii="Arial" w:hAnsi="Arial" w:cs="Arial"/>
                <w:sz w:val="18"/>
                <w:szCs w:val="18"/>
                <w:lang w:eastAsia="zh-CN"/>
              </w:rPr>
              <w:t>, Embase</w:t>
            </w:r>
            <w:r>
              <w:rPr>
                <w:rFonts w:ascii="Arial" w:hAnsi="Arial" w:cs="Arial" w:hint="eastAsia"/>
                <w:sz w:val="18"/>
                <w:szCs w:val="18"/>
                <w:lang w:eastAsia="zh-CN"/>
              </w:rPr>
              <w:t>（</w:t>
            </w:r>
            <w:r>
              <w:rPr>
                <w:rFonts w:ascii="Arial" w:hAnsi="Arial" w:cs="Arial"/>
                <w:sz w:val="18"/>
                <w:szCs w:val="18"/>
                <w:lang w:eastAsia="zh-CN"/>
              </w:rPr>
              <w:t>https://www.embase.com/</w:t>
            </w:r>
            <w:r>
              <w:rPr>
                <w:rFonts w:ascii="Arial" w:hAnsi="Arial" w:cs="Arial" w:hint="eastAsia"/>
                <w:sz w:val="18"/>
                <w:szCs w:val="18"/>
                <w:lang w:eastAsia="zh-CN"/>
              </w:rPr>
              <w:t>）</w:t>
            </w:r>
            <w:r>
              <w:rPr>
                <w:rFonts w:ascii="Arial" w:hAnsi="Arial" w:cs="Arial"/>
                <w:sz w:val="18"/>
                <w:szCs w:val="18"/>
                <w:lang w:eastAsia="zh-CN"/>
              </w:rPr>
              <w:t>, the Cochrane Library</w:t>
            </w:r>
            <w:r>
              <w:rPr>
                <w:rFonts w:ascii="Arial" w:hAnsi="Arial" w:cs="Arial" w:hint="eastAsia"/>
                <w:sz w:val="18"/>
                <w:szCs w:val="18"/>
                <w:lang w:eastAsia="zh-CN"/>
              </w:rPr>
              <w:t>（</w:t>
            </w:r>
            <w:r>
              <w:rPr>
                <w:rFonts w:ascii="Arial" w:hAnsi="Arial" w:cs="Arial"/>
                <w:sz w:val="18"/>
                <w:szCs w:val="18"/>
                <w:lang w:eastAsia="zh-CN"/>
              </w:rPr>
              <w:t>https://www.cochranelibrary.com/library</w:t>
            </w:r>
            <w:r>
              <w:rPr>
                <w:rFonts w:ascii="Arial" w:hAnsi="Arial" w:cs="Arial" w:hint="eastAsia"/>
                <w:sz w:val="18"/>
                <w:szCs w:val="18"/>
                <w:lang w:eastAsia="zh-CN"/>
              </w:rPr>
              <w:t>）</w:t>
            </w:r>
            <w:r>
              <w:rPr>
                <w:rFonts w:ascii="Arial" w:hAnsi="Arial" w:cs="Arial"/>
                <w:sz w:val="18"/>
                <w:szCs w:val="18"/>
                <w:lang w:eastAsia="zh-CN"/>
              </w:rPr>
              <w:t>, the Chinese National Knowledge Infrastructure</w:t>
            </w:r>
            <w:r w:rsidR="002A532A">
              <w:rPr>
                <w:rFonts w:ascii="Arial" w:hAnsi="Arial" w:cs="Arial" w:hint="eastAsia"/>
                <w:sz w:val="18"/>
                <w:szCs w:val="18"/>
                <w:lang w:eastAsia="zh-CN"/>
              </w:rPr>
              <w:t>（</w:t>
            </w:r>
            <w:r w:rsidR="002A532A">
              <w:rPr>
                <w:rFonts w:ascii="Arial" w:hAnsi="Arial" w:cs="Arial"/>
                <w:sz w:val="18"/>
                <w:szCs w:val="18"/>
                <w:lang w:eastAsia="zh-CN"/>
              </w:rPr>
              <w:t>https://www.cnki.net</w:t>
            </w:r>
            <w:r w:rsidR="002A532A">
              <w:rPr>
                <w:rFonts w:ascii="Arial" w:hAnsi="Arial" w:cs="Arial" w:hint="eastAsia"/>
                <w:sz w:val="18"/>
                <w:szCs w:val="18"/>
                <w:lang w:eastAsia="zh-CN"/>
              </w:rPr>
              <w:t>）</w:t>
            </w:r>
            <w:r>
              <w:rPr>
                <w:rFonts w:ascii="Arial" w:hAnsi="Arial" w:cs="Arial"/>
                <w:sz w:val="18"/>
                <w:szCs w:val="18"/>
                <w:lang w:eastAsia="zh-CN"/>
              </w:rPr>
              <w:t xml:space="preserve">, </w:t>
            </w:r>
            <w:proofErr w:type="spellStart"/>
            <w:r>
              <w:rPr>
                <w:rFonts w:ascii="Arial" w:hAnsi="Arial" w:cs="Arial"/>
                <w:sz w:val="18"/>
                <w:szCs w:val="18"/>
                <w:lang w:eastAsia="zh-CN"/>
              </w:rPr>
              <w:t>Wanfang</w:t>
            </w:r>
            <w:proofErr w:type="spellEnd"/>
            <w:r>
              <w:rPr>
                <w:rFonts w:ascii="Arial" w:hAnsi="Arial" w:cs="Arial"/>
                <w:sz w:val="18"/>
                <w:szCs w:val="18"/>
                <w:lang w:eastAsia="zh-CN"/>
              </w:rPr>
              <w:t xml:space="preserve"> Database</w:t>
            </w:r>
            <w:r w:rsidR="002A532A">
              <w:rPr>
                <w:rFonts w:ascii="Arial" w:hAnsi="Arial" w:cs="Arial" w:hint="eastAsia"/>
                <w:sz w:val="18"/>
                <w:szCs w:val="18"/>
                <w:lang w:eastAsia="zh-CN"/>
              </w:rPr>
              <w:t>（</w:t>
            </w:r>
            <w:r w:rsidR="002A532A">
              <w:rPr>
                <w:rFonts w:ascii="Arial" w:hAnsi="Arial" w:cs="Arial"/>
                <w:sz w:val="18"/>
                <w:szCs w:val="18"/>
                <w:lang w:eastAsia="zh-CN"/>
              </w:rPr>
              <w:t>https://www.wanfangdata.com.cn/</w:t>
            </w:r>
            <w:r w:rsidR="002A532A">
              <w:rPr>
                <w:rFonts w:ascii="Arial" w:hAnsi="Arial" w:cs="Arial" w:hint="eastAsia"/>
                <w:sz w:val="18"/>
                <w:szCs w:val="18"/>
                <w:lang w:eastAsia="zh-CN"/>
              </w:rPr>
              <w:t>）</w:t>
            </w:r>
            <w:r>
              <w:rPr>
                <w:rFonts w:ascii="Arial" w:hAnsi="Arial" w:cs="Arial"/>
                <w:sz w:val="18"/>
                <w:szCs w:val="18"/>
                <w:lang w:eastAsia="zh-CN"/>
              </w:rPr>
              <w:t>, and VIP Database for articles on the training of pharmacists or clinical pharmacists, and checked official documents. Then, we summarized the pharmacy residency model in WCH retrospectively and compared with the ASHP residency accreditation standards.</w:t>
            </w:r>
            <w:r>
              <w:rPr>
                <w:rFonts w:ascii="Arial" w:hAnsi="Arial" w:cs="Arial" w:hint="eastAsia"/>
                <w:sz w:val="18"/>
                <w:szCs w:val="18"/>
                <w:lang w:eastAsia="zh-CN"/>
              </w:rPr>
              <w:t>”</w:t>
            </w:r>
          </w:p>
        </w:tc>
        <w:tc>
          <w:tcPr>
            <w:tcW w:w="1200" w:type="dxa"/>
            <w:tcBorders>
              <w:top w:val="single" w:sz="5" w:space="0" w:color="000000"/>
              <w:left w:val="single" w:sz="5" w:space="0" w:color="000000"/>
              <w:bottom w:val="single" w:sz="5" w:space="0" w:color="000000"/>
              <w:right w:val="single" w:sz="5" w:space="0" w:color="000000"/>
            </w:tcBorders>
            <w:vAlign w:val="center"/>
          </w:tcPr>
          <w:p w14:paraId="7C82E223" w14:textId="124D75DA" w:rsidR="00870711" w:rsidRDefault="002A532A" w:rsidP="00870711">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4</w:t>
            </w:r>
          </w:p>
        </w:tc>
      </w:tr>
      <w:tr w:rsidR="00870711" w14:paraId="1CB7C6BF"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2623B265" w14:textId="694A5CF5" w:rsidR="00870711" w:rsidRDefault="00870711" w:rsidP="00870711">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vAlign w:val="center"/>
          </w:tcPr>
          <w:p w14:paraId="427F98AB" w14:textId="0F49A036" w:rsidR="00870711" w:rsidRDefault="00870711" w:rsidP="00870711">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vAlign w:val="center"/>
          </w:tcPr>
          <w:p w14:paraId="4E6740A5" w14:textId="7E8A4548" w:rsidR="00055ABE" w:rsidRDefault="00055ABE" w:rsidP="00055ABE">
            <w:pPr>
              <w:pStyle w:val="Default"/>
              <w:spacing w:before="40" w:after="40"/>
              <w:rPr>
                <w:rFonts w:ascii="Arial" w:hAnsi="Arial" w:cs="Arial"/>
                <w:b/>
                <w:bCs/>
                <w:sz w:val="18"/>
                <w:szCs w:val="18"/>
              </w:rPr>
            </w:pPr>
            <w:r>
              <w:rPr>
                <w:rFonts w:ascii="Arial" w:hAnsi="Arial" w:cs="Arial"/>
                <w:b/>
                <w:bCs/>
                <w:sz w:val="18"/>
                <w:szCs w:val="18"/>
              </w:rPr>
              <w:t xml:space="preserve">ln a review examining the key components of shared </w:t>
            </w:r>
            <w:proofErr w:type="gramStart"/>
            <w:r>
              <w:rPr>
                <w:rFonts w:ascii="Arial" w:hAnsi="Arial" w:cs="Arial"/>
                <w:b/>
                <w:bCs/>
                <w:sz w:val="18"/>
                <w:szCs w:val="18"/>
              </w:rPr>
              <w:t>decision</w:t>
            </w:r>
            <w:r w:rsidR="002B7834">
              <w:rPr>
                <w:rFonts w:ascii="Arial" w:hAnsi="Arial" w:cs="Arial"/>
                <w:b/>
                <w:bCs/>
                <w:sz w:val="18"/>
                <w:szCs w:val="18"/>
              </w:rPr>
              <w:t xml:space="preserve"> making</w:t>
            </w:r>
            <w:proofErr w:type="gramEnd"/>
            <w:r w:rsidR="002B7834">
              <w:rPr>
                <w:rFonts w:ascii="Arial" w:hAnsi="Arial" w:cs="Arial"/>
                <w:b/>
                <w:bCs/>
                <w:sz w:val="18"/>
                <w:szCs w:val="18"/>
              </w:rPr>
              <w:t xml:space="preserve"> models, the</w:t>
            </w:r>
            <w:r>
              <w:rPr>
                <w:rFonts w:ascii="Arial" w:hAnsi="Arial" w:cs="Arial"/>
                <w:b/>
                <w:bCs/>
                <w:sz w:val="18"/>
                <w:szCs w:val="18"/>
              </w:rPr>
              <w:t xml:space="preserve"> authors report piloting</w:t>
            </w:r>
            <w:r w:rsidR="00215DBD">
              <w:rPr>
                <w:rFonts w:ascii="Arial" w:hAnsi="Arial" w:cs="Arial"/>
                <w:b/>
                <w:bCs/>
                <w:sz w:val="18"/>
                <w:szCs w:val="18"/>
              </w:rPr>
              <w:t>,</w:t>
            </w:r>
            <w:r>
              <w:rPr>
                <w:rFonts w:ascii="Arial" w:hAnsi="Arial" w:cs="Arial"/>
                <w:b/>
                <w:bCs/>
                <w:sz w:val="18"/>
                <w:szCs w:val="18"/>
              </w:rPr>
              <w:t xml:space="preserve"> screening, and consensus methods for study selection:</w:t>
            </w:r>
          </w:p>
          <w:p w14:paraId="3410B901" w14:textId="2A4D73B8" w:rsidR="00870711" w:rsidRDefault="00055ABE" w:rsidP="00055ABE">
            <w:pPr>
              <w:pStyle w:val="Default"/>
              <w:spacing w:before="40" w:after="40"/>
              <w:rPr>
                <w:rFonts w:ascii="Arial" w:hAnsi="Arial" w:cs="Arial"/>
                <w:sz w:val="18"/>
                <w:szCs w:val="18"/>
              </w:rPr>
            </w:pPr>
            <w:r>
              <w:rPr>
                <w:rFonts w:ascii="Arial" w:hAnsi="Arial" w:cs="Arial"/>
                <w:sz w:val="18"/>
                <w:szCs w:val="18"/>
              </w:rPr>
              <w:t xml:space="preserve">"Three researchers (ZD-W, ZY-C, ZJ-H) independently reviewed titles and abstracts of the first 50 records and discussed inconsistencies until consensus was obtained. Then, in pairs, the researchers independently screened titles and abstracts of a articles retrieved. In case of disagreement, consensus on which </w:t>
            </w:r>
            <w:proofErr w:type="spellStart"/>
            <w:r>
              <w:rPr>
                <w:rFonts w:ascii="Arial" w:hAnsi="Arial" w:cs="Arial"/>
                <w:sz w:val="18"/>
                <w:szCs w:val="18"/>
              </w:rPr>
              <w:t>aticles</w:t>
            </w:r>
            <w:proofErr w:type="spellEnd"/>
            <w:r>
              <w:rPr>
                <w:rFonts w:ascii="Arial" w:hAnsi="Arial" w:cs="Arial"/>
                <w:sz w:val="18"/>
                <w:szCs w:val="18"/>
              </w:rPr>
              <w:t xml:space="preserve"> to screen </w:t>
            </w:r>
            <w:proofErr w:type="spellStart"/>
            <w:r>
              <w:rPr>
                <w:rFonts w:ascii="Arial" w:hAnsi="Arial" w:cs="Arial"/>
                <w:sz w:val="18"/>
                <w:szCs w:val="18"/>
              </w:rPr>
              <w:t>ful</w:t>
            </w:r>
            <w:proofErr w:type="spellEnd"/>
            <w:r>
              <w:rPr>
                <w:rFonts w:ascii="Arial" w:hAnsi="Arial" w:cs="Arial"/>
                <w:sz w:val="18"/>
                <w:szCs w:val="18"/>
              </w:rPr>
              <w:t xml:space="preserve">-text was reached by discussion. </w:t>
            </w:r>
            <w:proofErr w:type="spellStart"/>
            <w:r>
              <w:rPr>
                <w:rFonts w:ascii="Arial" w:hAnsi="Arial" w:cs="Arial"/>
                <w:sz w:val="18"/>
                <w:szCs w:val="18"/>
              </w:rPr>
              <w:t>lf</w:t>
            </w:r>
            <w:proofErr w:type="spellEnd"/>
            <w:r>
              <w:rPr>
                <w:rFonts w:ascii="Arial" w:hAnsi="Arial" w:cs="Arial"/>
                <w:sz w:val="18"/>
                <w:szCs w:val="18"/>
              </w:rPr>
              <w:t xml:space="preserve"> necessary the third researcher was consulted to make the final decision. Next, two researchers (ZD-W, ZY-C) independently screened compliance with pharmacist training for inclusion. Again, in case of disagreement, consensus was reached on inclusion or </w:t>
            </w:r>
            <w:proofErr w:type="spellStart"/>
            <w:r>
              <w:rPr>
                <w:rFonts w:ascii="Arial" w:hAnsi="Arial" w:cs="Arial"/>
                <w:sz w:val="18"/>
                <w:szCs w:val="18"/>
              </w:rPr>
              <w:t>excusion</w:t>
            </w:r>
            <w:proofErr w:type="spellEnd"/>
            <w:r>
              <w:rPr>
                <w:rFonts w:ascii="Arial" w:hAnsi="Arial" w:cs="Arial"/>
                <w:sz w:val="18"/>
                <w:szCs w:val="18"/>
              </w:rPr>
              <w:t xml:space="preserve"> by discussion and if necessary, the third researcher (ZJ-H) was consulted.”</w:t>
            </w:r>
          </w:p>
        </w:tc>
        <w:tc>
          <w:tcPr>
            <w:tcW w:w="1200" w:type="dxa"/>
            <w:tcBorders>
              <w:top w:val="single" w:sz="5" w:space="0" w:color="000000"/>
              <w:left w:val="single" w:sz="5" w:space="0" w:color="000000"/>
              <w:bottom w:val="single" w:sz="5" w:space="0" w:color="000000"/>
              <w:right w:val="single" w:sz="5" w:space="0" w:color="000000"/>
            </w:tcBorders>
            <w:vAlign w:val="center"/>
          </w:tcPr>
          <w:p w14:paraId="00962FE3" w14:textId="0CFBBD00" w:rsidR="00870711" w:rsidRDefault="00055ABE" w:rsidP="00870711">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4</w:t>
            </w:r>
          </w:p>
        </w:tc>
      </w:tr>
      <w:tr w:rsidR="00870711" w14:paraId="28607B6E" w14:textId="77777777" w:rsidTr="00366982">
        <w:trPr>
          <w:trHeight w:val="152"/>
        </w:trPr>
        <w:tc>
          <w:tcPr>
            <w:tcW w:w="1668" w:type="dxa"/>
            <w:tcBorders>
              <w:top w:val="single" w:sz="5" w:space="0" w:color="000000"/>
              <w:left w:val="single" w:sz="5" w:space="0" w:color="000000"/>
              <w:bottom w:val="single" w:sz="5" w:space="0" w:color="000000"/>
              <w:right w:val="single" w:sz="5" w:space="0" w:color="000000"/>
            </w:tcBorders>
            <w:vAlign w:val="center"/>
          </w:tcPr>
          <w:p w14:paraId="51505877" w14:textId="77777777" w:rsidR="00870711" w:rsidRDefault="00870711" w:rsidP="00870711">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vAlign w:val="center"/>
          </w:tcPr>
          <w:p w14:paraId="125EB2B9" w14:textId="66C5569F" w:rsidR="00870711" w:rsidRDefault="00870711" w:rsidP="00870711">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vAlign w:val="center"/>
          </w:tcPr>
          <w:p w14:paraId="769CD30A" w14:textId="77777777" w:rsidR="00B1551E" w:rsidRDefault="00B1551E" w:rsidP="00B1551E">
            <w:pPr>
              <w:pStyle w:val="Default"/>
              <w:spacing w:before="40" w:after="40"/>
              <w:rPr>
                <w:rFonts w:ascii="Arial" w:hAnsi="Arial" w:cs="Arial"/>
                <w:b/>
                <w:bCs/>
                <w:sz w:val="18"/>
                <w:szCs w:val="18"/>
              </w:rPr>
            </w:pPr>
            <w:r>
              <w:rPr>
                <w:rFonts w:ascii="Arial" w:hAnsi="Arial" w:cs="Arial"/>
                <w:b/>
                <w:bCs/>
                <w:sz w:val="18"/>
                <w:szCs w:val="18"/>
              </w:rPr>
              <w:t>In a review comparing ASHP residency certification standards with the West China Hospital Pharmaceutical Residency Program, the authors compared the training contents of clinical pharmacists in West China Hospital of Sichuan University with those in the United States using information collection methods, and indicate that study authors were contacted if any data were unclear:</w:t>
            </w:r>
          </w:p>
          <w:p w14:paraId="55FB2B23" w14:textId="1E2606CB" w:rsidR="00870711" w:rsidRDefault="00B1551E" w:rsidP="00B1551E">
            <w:pPr>
              <w:pStyle w:val="Default"/>
              <w:spacing w:before="40" w:after="40"/>
              <w:rPr>
                <w:rFonts w:ascii="Arial" w:hAnsi="Arial" w:cs="Arial"/>
                <w:sz w:val="18"/>
                <w:szCs w:val="18"/>
              </w:rPr>
            </w:pPr>
            <w:r>
              <w:rPr>
                <w:rFonts w:ascii="Arial" w:hAnsi="Arial" w:cs="Arial"/>
                <w:sz w:val="18"/>
                <w:szCs w:val="18"/>
              </w:rPr>
              <w:t>"We designed the training system, content and current situation of clinical pharmacists based on West China Hospital of Sichuan University and the United States. The authors (ZD-W,</w:t>
            </w:r>
            <w:r w:rsidR="00C5687F">
              <w:rPr>
                <w:rFonts w:ascii="Arial" w:hAnsi="Arial" w:cs="Arial"/>
                <w:sz w:val="18"/>
                <w:szCs w:val="18"/>
              </w:rPr>
              <w:t xml:space="preserve"> </w:t>
            </w:r>
            <w:r>
              <w:rPr>
                <w:rFonts w:ascii="Arial" w:hAnsi="Arial" w:cs="Arial"/>
                <w:sz w:val="18"/>
                <w:szCs w:val="18"/>
              </w:rPr>
              <w:t>ZY-C) compared the data collected according to the information collected, and discussed the specific information through the similarities and differences. The author (ZJ-H) further examined the discussion information.”</w:t>
            </w:r>
          </w:p>
        </w:tc>
        <w:tc>
          <w:tcPr>
            <w:tcW w:w="1200" w:type="dxa"/>
            <w:tcBorders>
              <w:top w:val="single" w:sz="5" w:space="0" w:color="000000"/>
              <w:left w:val="single" w:sz="5" w:space="0" w:color="000000"/>
              <w:bottom w:val="single" w:sz="5" w:space="0" w:color="000000"/>
              <w:right w:val="single" w:sz="5" w:space="0" w:color="000000"/>
            </w:tcBorders>
            <w:vAlign w:val="center"/>
          </w:tcPr>
          <w:p w14:paraId="1FB2C5F1" w14:textId="08889F06" w:rsidR="00870711" w:rsidRDefault="00B1551E" w:rsidP="00870711">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4</w:t>
            </w:r>
          </w:p>
        </w:tc>
      </w:tr>
      <w:tr w:rsidR="00EC039F" w14:paraId="4DC352A3" w14:textId="77777777" w:rsidTr="00366982">
        <w:trPr>
          <w:trHeight w:val="48"/>
        </w:trPr>
        <w:tc>
          <w:tcPr>
            <w:tcW w:w="1668" w:type="dxa"/>
            <w:vMerge w:val="restart"/>
            <w:tcBorders>
              <w:top w:val="single" w:sz="5" w:space="0" w:color="000000"/>
              <w:left w:val="single" w:sz="5" w:space="0" w:color="000000"/>
              <w:right w:val="single" w:sz="5" w:space="0" w:color="000000"/>
            </w:tcBorders>
            <w:vAlign w:val="center"/>
          </w:tcPr>
          <w:p w14:paraId="186BEC60" w14:textId="77777777" w:rsidR="00EC039F" w:rsidRDefault="00EC039F" w:rsidP="00EC039F">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vAlign w:val="center"/>
          </w:tcPr>
          <w:p w14:paraId="7F57E84D" w14:textId="29FE29A3"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vAlign w:val="center"/>
          </w:tcPr>
          <w:p w14:paraId="25514AEF" w14:textId="77777777" w:rsidR="00EC039F" w:rsidRDefault="00EC039F" w:rsidP="00EC039F">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p w14:paraId="6A77D279" w14:textId="3AB4694C" w:rsidR="00B1551E" w:rsidRDefault="00B1551E" w:rsidP="00EC039F">
            <w:pPr>
              <w:pStyle w:val="Default"/>
              <w:spacing w:before="40" w:after="40"/>
              <w:rPr>
                <w:rFonts w:ascii="Arial" w:hAnsi="Arial" w:cs="Arial"/>
                <w:b/>
                <w:bCs/>
                <w:color w:val="FF0000"/>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vAlign w:val="center"/>
          </w:tcPr>
          <w:p w14:paraId="11D25995" w14:textId="1C11F902" w:rsidR="00EC039F" w:rsidRDefault="00EC039F" w:rsidP="00EC039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35FABA56" w14:textId="77777777" w:rsidTr="00366982">
        <w:trPr>
          <w:trHeight w:val="48"/>
        </w:trPr>
        <w:tc>
          <w:tcPr>
            <w:tcW w:w="1668" w:type="dxa"/>
            <w:vMerge/>
            <w:tcBorders>
              <w:left w:val="single" w:sz="5" w:space="0" w:color="000000"/>
              <w:bottom w:val="single" w:sz="5" w:space="0" w:color="000000"/>
              <w:right w:val="single" w:sz="5" w:space="0" w:color="000000"/>
            </w:tcBorders>
            <w:vAlign w:val="center"/>
          </w:tcPr>
          <w:p w14:paraId="7E21F8B5" w14:textId="77777777" w:rsidR="00EC039F" w:rsidRDefault="00EC039F" w:rsidP="00EC039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784F2A64" w14:textId="3C8022D5"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vAlign w:val="center"/>
          </w:tcPr>
          <w:p w14:paraId="4218FAC3" w14:textId="77777777" w:rsidR="00EC039F" w:rsidRDefault="00EC039F" w:rsidP="00EC039F">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p w14:paraId="101A3B3D" w14:textId="5358F34A" w:rsidR="00B1551E" w:rsidRDefault="00B1551E" w:rsidP="00EC039F">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vAlign w:val="center"/>
          </w:tcPr>
          <w:p w14:paraId="595F3ED8" w14:textId="788A8D8D" w:rsidR="00EC039F" w:rsidRDefault="00EC039F" w:rsidP="00EC039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0276A1D2"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5946292E" w14:textId="79CF78F7" w:rsidR="00EC039F" w:rsidRDefault="00EC039F" w:rsidP="00EC039F">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vAlign w:val="center"/>
          </w:tcPr>
          <w:p w14:paraId="73A6AE1D" w14:textId="403C924B"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vAlign w:val="center"/>
          </w:tcPr>
          <w:p w14:paraId="392D0FC8" w14:textId="77777777" w:rsidR="00EC039F" w:rsidRDefault="00EC039F" w:rsidP="00EC039F">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p w14:paraId="5C7277A8" w14:textId="10C348B8" w:rsidR="00B1551E" w:rsidRDefault="00B1551E" w:rsidP="00EC039F">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vAlign w:val="center"/>
          </w:tcPr>
          <w:p w14:paraId="2E65623E" w14:textId="77357D7F" w:rsidR="00EC039F" w:rsidRDefault="00EC039F" w:rsidP="00EC039F">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w:t>
            </w:r>
          </w:p>
        </w:tc>
      </w:tr>
      <w:tr w:rsidR="00EC039F" w14:paraId="578BE62F"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1C2A98BC" w14:textId="2A6A2863" w:rsidR="00EC039F" w:rsidRDefault="00EC039F" w:rsidP="00EC039F">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vAlign w:val="center"/>
          </w:tcPr>
          <w:p w14:paraId="2932148E" w14:textId="704F41BF"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vAlign w:val="center"/>
          </w:tcPr>
          <w:p w14:paraId="0409A9E4" w14:textId="77777777" w:rsidR="00EC039F" w:rsidRDefault="00EC039F" w:rsidP="00EC039F">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p w14:paraId="014B552B" w14:textId="01C747CE" w:rsidR="00B1551E" w:rsidRDefault="00B1551E" w:rsidP="00EC039F">
            <w:pPr>
              <w:pStyle w:val="Default"/>
              <w:spacing w:before="40" w:after="40"/>
              <w:rPr>
                <w:rFonts w:ascii="Arial" w:hAnsi="Arial" w:cs="Arial"/>
                <w:sz w:val="18"/>
                <w:szCs w:val="18"/>
              </w:rPr>
            </w:pPr>
            <w:r>
              <w:rPr>
                <w:rFonts w:ascii="Arial" w:hAnsi="Arial" w:cs="Arial"/>
                <w:b/>
                <w:bCs/>
                <w:color w:val="FF0000"/>
                <w:sz w:val="18"/>
                <w:szCs w:val="18"/>
              </w:rPr>
              <w:lastRenderedPageBreak/>
              <w:t>Not applicable for this study</w:t>
            </w:r>
          </w:p>
        </w:tc>
        <w:tc>
          <w:tcPr>
            <w:tcW w:w="1200" w:type="dxa"/>
            <w:tcBorders>
              <w:top w:val="single" w:sz="5" w:space="0" w:color="000000"/>
              <w:left w:val="single" w:sz="5" w:space="0" w:color="000000"/>
              <w:bottom w:val="single" w:sz="5" w:space="0" w:color="000000"/>
              <w:right w:val="single" w:sz="5" w:space="0" w:color="000000"/>
            </w:tcBorders>
            <w:vAlign w:val="center"/>
          </w:tcPr>
          <w:p w14:paraId="420F1455" w14:textId="5A1C63DA" w:rsidR="00EC039F" w:rsidRDefault="00EC039F" w:rsidP="00EC039F">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lastRenderedPageBreak/>
              <w:t>/</w:t>
            </w:r>
          </w:p>
        </w:tc>
      </w:tr>
      <w:tr w:rsidR="00EC039F" w14:paraId="3AC3457E" w14:textId="77777777" w:rsidTr="009E4A1B">
        <w:trPr>
          <w:trHeight w:val="48"/>
        </w:trPr>
        <w:tc>
          <w:tcPr>
            <w:tcW w:w="1668" w:type="dxa"/>
            <w:vMerge w:val="restart"/>
            <w:tcBorders>
              <w:top w:val="single" w:sz="5" w:space="0" w:color="000000"/>
              <w:left w:val="single" w:sz="5" w:space="0" w:color="000000"/>
              <w:right w:val="single" w:sz="5" w:space="0" w:color="000000"/>
            </w:tcBorders>
            <w:vAlign w:val="center"/>
          </w:tcPr>
          <w:p w14:paraId="2D0A6E32" w14:textId="521B06B8" w:rsidR="00EC039F" w:rsidRDefault="00EC039F" w:rsidP="00EC039F">
            <w:pPr>
              <w:pStyle w:val="Default"/>
              <w:spacing w:before="40" w:after="40"/>
              <w:rPr>
                <w:rFonts w:ascii="Arial" w:hAnsi="Arial" w:cs="Arial"/>
                <w:sz w:val="18"/>
                <w:szCs w:val="18"/>
              </w:rPr>
            </w:pPr>
            <w:r>
              <w:rPr>
                <w:rFonts w:ascii="Arial" w:hAnsi="Arial" w:cs="Arial"/>
                <w:sz w:val="18"/>
                <w:szCs w:val="18"/>
              </w:rPr>
              <w:t>Synthesis methods</w:t>
            </w:r>
            <w:r w:rsidR="00215DBD">
              <w:rPr>
                <w:rFonts w:ascii="Arial" w:hAnsi="Arial" w:cs="Arial"/>
                <w:sz w:val="18"/>
                <w:szCs w:val="18"/>
              </w:rPr>
              <w:t xml:space="preserve"> (</w:t>
            </w:r>
            <w:r w:rsidR="00215DBD">
              <w:rPr>
                <w:rFonts w:ascii="Arial" w:hAnsi="Arial" w:cs="Arial"/>
                <w:b/>
                <w:bCs/>
                <w:color w:val="FF0000"/>
                <w:sz w:val="18"/>
                <w:szCs w:val="18"/>
              </w:rPr>
              <w:t>Not applicable for this study)</w:t>
            </w:r>
          </w:p>
        </w:tc>
        <w:tc>
          <w:tcPr>
            <w:tcW w:w="587" w:type="dxa"/>
            <w:tcBorders>
              <w:top w:val="single" w:sz="5" w:space="0" w:color="000000"/>
              <w:left w:val="single" w:sz="5" w:space="0" w:color="000000"/>
              <w:bottom w:val="single" w:sz="5" w:space="0" w:color="000000"/>
              <w:right w:val="single" w:sz="5" w:space="0" w:color="000000"/>
            </w:tcBorders>
            <w:vAlign w:val="center"/>
          </w:tcPr>
          <w:p w14:paraId="043234D5" w14:textId="696A96D4"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vAlign w:val="center"/>
          </w:tcPr>
          <w:p w14:paraId="1521797E" w14:textId="652F21E7" w:rsidR="00EC039F" w:rsidRDefault="00EC039F" w:rsidP="00EC039F">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44695BE" w:rsidR="00EC039F" w:rsidRDefault="00EC039F" w:rsidP="00EC039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1778E3B8" w14:textId="77777777" w:rsidTr="009E4A1B">
        <w:trPr>
          <w:trHeight w:val="48"/>
        </w:trPr>
        <w:tc>
          <w:tcPr>
            <w:tcW w:w="1668" w:type="dxa"/>
            <w:vMerge/>
            <w:tcBorders>
              <w:left w:val="single" w:sz="5" w:space="0" w:color="000000"/>
              <w:right w:val="single" w:sz="5" w:space="0" w:color="000000"/>
            </w:tcBorders>
            <w:vAlign w:val="center"/>
          </w:tcPr>
          <w:p w14:paraId="23FF4436" w14:textId="77777777" w:rsidR="00EC039F" w:rsidRDefault="00EC039F" w:rsidP="00EC039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12E89B6B" w14:textId="185F2A13"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vAlign w:val="center"/>
          </w:tcPr>
          <w:p w14:paraId="009F1C82" w14:textId="267D10AC" w:rsidR="00EC039F" w:rsidRDefault="00EC039F" w:rsidP="00EC039F">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2EB6435" w:rsidR="00EC039F" w:rsidRDefault="00EC039F" w:rsidP="00EC039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4FF6FFA4" w14:textId="77777777" w:rsidTr="009E4A1B">
        <w:trPr>
          <w:trHeight w:val="48"/>
        </w:trPr>
        <w:tc>
          <w:tcPr>
            <w:tcW w:w="1668" w:type="dxa"/>
            <w:vMerge/>
            <w:tcBorders>
              <w:left w:val="single" w:sz="5" w:space="0" w:color="000000"/>
              <w:right w:val="single" w:sz="5" w:space="0" w:color="000000"/>
            </w:tcBorders>
            <w:vAlign w:val="center"/>
          </w:tcPr>
          <w:p w14:paraId="0AC6B0CC" w14:textId="77777777" w:rsidR="00EC039F" w:rsidRDefault="00EC039F" w:rsidP="00EC039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3793896" w14:textId="652BD308"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vAlign w:val="center"/>
          </w:tcPr>
          <w:p w14:paraId="5C7C87FD" w14:textId="654C0247" w:rsidR="00EC039F" w:rsidRDefault="00EC039F" w:rsidP="00EC039F">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B6FF1FC" w:rsidR="00EC039F" w:rsidRDefault="00EC039F" w:rsidP="00EC039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45A10003" w14:textId="77777777" w:rsidTr="009E4A1B">
        <w:trPr>
          <w:trHeight w:val="48"/>
        </w:trPr>
        <w:tc>
          <w:tcPr>
            <w:tcW w:w="1668" w:type="dxa"/>
            <w:vMerge/>
            <w:tcBorders>
              <w:left w:val="single" w:sz="5" w:space="0" w:color="000000"/>
              <w:right w:val="single" w:sz="5" w:space="0" w:color="000000"/>
            </w:tcBorders>
            <w:vAlign w:val="center"/>
          </w:tcPr>
          <w:p w14:paraId="78DE9F90" w14:textId="77777777" w:rsidR="00EC039F" w:rsidRDefault="00EC039F" w:rsidP="00EC039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F9C41A4" w14:textId="244F5360"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vAlign w:val="center"/>
          </w:tcPr>
          <w:p w14:paraId="788EDA76" w14:textId="30FB4AF5" w:rsidR="00EC039F" w:rsidRDefault="00EC039F" w:rsidP="00EC039F">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0A33B3F" w:rsidR="00EC039F" w:rsidRDefault="00EC039F" w:rsidP="00EC039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678F791C" w14:textId="77777777" w:rsidTr="009E4A1B">
        <w:trPr>
          <w:trHeight w:val="48"/>
        </w:trPr>
        <w:tc>
          <w:tcPr>
            <w:tcW w:w="1668" w:type="dxa"/>
            <w:vMerge/>
            <w:tcBorders>
              <w:left w:val="single" w:sz="5" w:space="0" w:color="000000"/>
              <w:right w:val="single" w:sz="5" w:space="0" w:color="000000"/>
            </w:tcBorders>
            <w:vAlign w:val="center"/>
          </w:tcPr>
          <w:p w14:paraId="61CA026E" w14:textId="77777777" w:rsidR="00EC039F" w:rsidRDefault="00EC039F" w:rsidP="00EC039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1DCC181F" w14:textId="66AA857E"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vAlign w:val="center"/>
          </w:tcPr>
          <w:p w14:paraId="39C60ECA" w14:textId="06AEF1E8" w:rsidR="00EC039F" w:rsidRDefault="00EC039F" w:rsidP="00EC039F">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124AC8A" w:rsidR="00EC039F" w:rsidRDefault="00EC039F" w:rsidP="00EC039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0EF9DC20" w14:textId="77777777" w:rsidTr="009E4A1B">
        <w:trPr>
          <w:trHeight w:val="50"/>
        </w:trPr>
        <w:tc>
          <w:tcPr>
            <w:tcW w:w="1668" w:type="dxa"/>
            <w:vMerge/>
            <w:tcBorders>
              <w:left w:val="single" w:sz="5" w:space="0" w:color="000000"/>
              <w:bottom w:val="single" w:sz="5" w:space="0" w:color="000000"/>
              <w:right w:val="single" w:sz="5" w:space="0" w:color="000000"/>
            </w:tcBorders>
            <w:vAlign w:val="center"/>
          </w:tcPr>
          <w:p w14:paraId="40E60726" w14:textId="77777777" w:rsidR="00EC039F" w:rsidRDefault="00EC039F" w:rsidP="00EC039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53AD1957" w14:textId="3A321479"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vAlign w:val="center"/>
          </w:tcPr>
          <w:p w14:paraId="32B204F5" w14:textId="3F39BF44" w:rsidR="00EC039F" w:rsidRDefault="00EC039F" w:rsidP="00EC039F">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6FBFD02" w:rsidR="00EC039F" w:rsidRDefault="00EC039F" w:rsidP="00EC039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2C372E04"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606E8AEA" w14:textId="635A36C3" w:rsidR="00EC039F" w:rsidRDefault="00EC039F" w:rsidP="00EC039F">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vAlign w:val="center"/>
          </w:tcPr>
          <w:p w14:paraId="0BD41C6F" w14:textId="2BBB306D"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vAlign w:val="center"/>
          </w:tcPr>
          <w:p w14:paraId="6DABCC8E" w14:textId="77777777" w:rsidR="00EC039F" w:rsidRDefault="00EC039F" w:rsidP="00EC039F">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p w14:paraId="6353979A" w14:textId="72D35F4A" w:rsidR="00B1551E" w:rsidRDefault="00B1551E" w:rsidP="00EC039F">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vAlign w:val="center"/>
          </w:tcPr>
          <w:p w14:paraId="18EBE183" w14:textId="0E2F7FA2" w:rsidR="00EC039F" w:rsidRDefault="00EC039F" w:rsidP="00EC039F">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w:t>
            </w:r>
          </w:p>
        </w:tc>
      </w:tr>
      <w:tr w:rsidR="00EC039F" w14:paraId="56CA3C3F"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5329A6D8" w14:textId="39626184" w:rsidR="00EC039F" w:rsidRDefault="00EC039F" w:rsidP="00EC039F">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vAlign w:val="center"/>
          </w:tcPr>
          <w:p w14:paraId="7FF29597" w14:textId="224021AC"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vAlign w:val="center"/>
          </w:tcPr>
          <w:p w14:paraId="1BB216FC" w14:textId="77777777" w:rsidR="00EC039F" w:rsidRDefault="00EC039F" w:rsidP="00EC039F">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p w14:paraId="1861BBFE" w14:textId="1A287C25" w:rsidR="00B1551E" w:rsidRDefault="00B1551E" w:rsidP="00EC039F">
            <w:pPr>
              <w:pStyle w:val="Default"/>
              <w:spacing w:before="40" w:after="40"/>
              <w:rPr>
                <w:rFonts w:ascii="Arial" w:hAnsi="Arial" w:cs="Arial"/>
                <w:sz w:val="18"/>
                <w:szCs w:val="18"/>
              </w:rPr>
            </w:pPr>
            <w:bookmarkStart w:id="1" w:name="OLE_LINK2"/>
            <w:r>
              <w:rPr>
                <w:rFonts w:ascii="Arial" w:hAnsi="Arial" w:cs="Arial"/>
                <w:b/>
                <w:bCs/>
                <w:color w:val="FF0000"/>
                <w:sz w:val="18"/>
                <w:szCs w:val="18"/>
              </w:rPr>
              <w:t>Not applicable for this study</w:t>
            </w:r>
            <w:bookmarkEnd w:id="1"/>
          </w:p>
        </w:tc>
        <w:tc>
          <w:tcPr>
            <w:tcW w:w="1200" w:type="dxa"/>
            <w:tcBorders>
              <w:top w:val="single" w:sz="5" w:space="0" w:color="000000"/>
              <w:left w:val="single" w:sz="5" w:space="0" w:color="000000"/>
              <w:bottom w:val="single" w:sz="5" w:space="0" w:color="000000"/>
              <w:right w:val="single" w:sz="5" w:space="0" w:color="000000"/>
            </w:tcBorders>
            <w:vAlign w:val="center"/>
          </w:tcPr>
          <w:p w14:paraId="7875B5BE" w14:textId="4F4030BC" w:rsidR="00EC039F" w:rsidRDefault="00EC039F" w:rsidP="00EC039F">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w:t>
            </w:r>
          </w:p>
        </w:tc>
      </w:tr>
      <w:tr w:rsidR="00EC039F" w14:paraId="1ABEFF8A" w14:textId="77777777" w:rsidTr="0036698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EC039F" w:rsidRDefault="00EC039F" w:rsidP="00EC039F">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224D9A9" w14:textId="77777777" w:rsidR="00EC039F" w:rsidRDefault="00EC039F" w:rsidP="00EC039F">
            <w:pPr>
              <w:pStyle w:val="Default"/>
              <w:jc w:val="center"/>
              <w:rPr>
                <w:rFonts w:ascii="Arial" w:hAnsi="Arial" w:cs="Arial"/>
                <w:color w:val="auto"/>
                <w:sz w:val="18"/>
                <w:szCs w:val="18"/>
              </w:rPr>
            </w:pPr>
          </w:p>
        </w:tc>
      </w:tr>
      <w:tr w:rsidR="00C01302" w14:paraId="783BADEB" w14:textId="77777777" w:rsidTr="007B6FC1">
        <w:trPr>
          <w:trHeight w:val="48"/>
        </w:trPr>
        <w:tc>
          <w:tcPr>
            <w:tcW w:w="1668" w:type="dxa"/>
            <w:vMerge w:val="restart"/>
            <w:tcBorders>
              <w:top w:val="single" w:sz="5" w:space="0" w:color="000000"/>
              <w:left w:val="single" w:sz="5" w:space="0" w:color="000000"/>
              <w:right w:val="single" w:sz="5" w:space="0" w:color="000000"/>
            </w:tcBorders>
            <w:vAlign w:val="center"/>
          </w:tcPr>
          <w:p w14:paraId="2C5E0E20"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vAlign w:val="center"/>
          </w:tcPr>
          <w:p w14:paraId="2F50B5EC" w14:textId="19071829"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vAlign w:val="center"/>
          </w:tcPr>
          <w:p w14:paraId="5F6DF8FE"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p w14:paraId="465FDF79" w14:textId="18F618F8"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670CFC65" w14:textId="071D2282"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C01302" w14:paraId="1BA22A88" w14:textId="77777777" w:rsidTr="007B6FC1">
        <w:trPr>
          <w:trHeight w:val="48"/>
        </w:trPr>
        <w:tc>
          <w:tcPr>
            <w:tcW w:w="1668" w:type="dxa"/>
            <w:vMerge/>
            <w:tcBorders>
              <w:left w:val="single" w:sz="5" w:space="0" w:color="000000"/>
              <w:bottom w:val="single" w:sz="5" w:space="0" w:color="000000"/>
              <w:right w:val="single" w:sz="5" w:space="0" w:color="000000"/>
            </w:tcBorders>
            <w:vAlign w:val="center"/>
          </w:tcPr>
          <w:p w14:paraId="73401FBA" w14:textId="77777777" w:rsidR="00C01302" w:rsidRDefault="00C01302" w:rsidP="00C0130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7E0E0DCA" w14:textId="0DDE67BD"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vAlign w:val="center"/>
          </w:tcPr>
          <w:p w14:paraId="191DF2A3"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p w14:paraId="7C33FBE2" w14:textId="03D18D14"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715316E4" w14:textId="03C19A3D"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5BCDF56D" w14:textId="77777777" w:rsidTr="00366982">
        <w:trPr>
          <w:trHeight w:val="103"/>
        </w:trPr>
        <w:tc>
          <w:tcPr>
            <w:tcW w:w="1668" w:type="dxa"/>
            <w:tcBorders>
              <w:top w:val="single" w:sz="5" w:space="0" w:color="000000"/>
              <w:left w:val="single" w:sz="5" w:space="0" w:color="000000"/>
              <w:bottom w:val="single" w:sz="5" w:space="0" w:color="000000"/>
              <w:right w:val="single" w:sz="5" w:space="0" w:color="000000"/>
            </w:tcBorders>
            <w:vAlign w:val="center"/>
          </w:tcPr>
          <w:p w14:paraId="248BFA8C" w14:textId="77777777" w:rsidR="00EC039F" w:rsidRDefault="00EC039F" w:rsidP="00EC039F">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vAlign w:val="center"/>
          </w:tcPr>
          <w:p w14:paraId="29178F2C" w14:textId="4A27652A"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vAlign w:val="center"/>
          </w:tcPr>
          <w:p w14:paraId="2E0D27E6" w14:textId="297C4E75" w:rsidR="00C01302" w:rsidRDefault="00C01302" w:rsidP="00C01302">
            <w:pPr>
              <w:pStyle w:val="Default"/>
              <w:spacing w:before="40" w:after="40"/>
              <w:rPr>
                <w:rFonts w:ascii="Arial" w:hAnsi="Arial" w:cs="Arial"/>
                <w:b/>
                <w:bCs/>
                <w:sz w:val="18"/>
                <w:szCs w:val="18"/>
              </w:rPr>
            </w:pPr>
            <w:r>
              <w:rPr>
                <w:rFonts w:ascii="Arial" w:hAnsi="Arial" w:cs="Arial"/>
                <w:b/>
                <w:bCs/>
                <w:sz w:val="18"/>
                <w:szCs w:val="18"/>
              </w:rPr>
              <w:t xml:space="preserve">In </w:t>
            </w:r>
            <w:r w:rsidR="000A45A8">
              <w:rPr>
                <w:rFonts w:ascii="Arial" w:hAnsi="Arial" w:cs="Arial"/>
                <w:b/>
                <w:bCs/>
                <w:sz w:val="18"/>
                <w:szCs w:val="18"/>
              </w:rPr>
              <w:t>a</w:t>
            </w:r>
            <w:r>
              <w:rPr>
                <w:rFonts w:ascii="Arial" w:hAnsi="Arial" w:cs="Arial"/>
                <w:b/>
                <w:bCs/>
                <w:sz w:val="18"/>
                <w:szCs w:val="18"/>
              </w:rPr>
              <w:t xml:space="preserve"> review comparing the training of pharmacy residents in West China Hospital with ASHP residency certification standards, </w:t>
            </w:r>
            <w:r w:rsidR="000A45A8">
              <w:rPr>
                <w:rFonts w:ascii="Arial" w:hAnsi="Arial" w:cs="Arial"/>
                <w:b/>
                <w:bCs/>
                <w:sz w:val="18"/>
                <w:szCs w:val="18"/>
              </w:rPr>
              <w:t>related t</w:t>
            </w:r>
            <w:r>
              <w:rPr>
                <w:rFonts w:ascii="Arial" w:hAnsi="Arial" w:cs="Arial"/>
                <w:b/>
                <w:bCs/>
                <w:sz w:val="18"/>
                <w:szCs w:val="18"/>
              </w:rPr>
              <w:t>ables</w:t>
            </w:r>
            <w:r w:rsidR="000A45A8">
              <w:rPr>
                <w:rFonts w:ascii="Arial" w:hAnsi="Arial" w:cs="Arial"/>
                <w:b/>
                <w:bCs/>
                <w:sz w:val="18"/>
                <w:szCs w:val="18"/>
              </w:rPr>
              <w:t xml:space="preserve"> were</w:t>
            </w:r>
            <w:r>
              <w:rPr>
                <w:rFonts w:ascii="Arial" w:hAnsi="Arial" w:cs="Arial"/>
                <w:b/>
                <w:bCs/>
                <w:sz w:val="18"/>
                <w:szCs w:val="18"/>
              </w:rPr>
              <w:t xml:space="preserve"> presented by the authors: </w:t>
            </w:r>
          </w:p>
          <w:p w14:paraId="07DC5B50" w14:textId="10EB4D9D" w:rsidR="00EC039F" w:rsidRDefault="00C01302" w:rsidP="00C01302">
            <w:pPr>
              <w:pStyle w:val="Default"/>
              <w:spacing w:before="40" w:after="40"/>
              <w:rPr>
                <w:rFonts w:ascii="Arial" w:hAnsi="Arial" w:cs="Arial"/>
                <w:sz w:val="18"/>
                <w:szCs w:val="18"/>
              </w:rPr>
            </w:pPr>
            <w:r>
              <w:rPr>
                <w:rFonts w:ascii="Arial" w:hAnsi="Arial" w:cs="Arial"/>
                <w:sz w:val="18"/>
                <w:szCs w:val="18"/>
              </w:rPr>
              <w:t>"Comparative results using data from West China Hospital of Sichuan University and American Society of Health-System Pharmacists (ASHP) to describe similarities and differences in clinical pharmacist training in different countries (see Table 1-3, Figures 1-6)"</w:t>
            </w:r>
          </w:p>
        </w:tc>
        <w:tc>
          <w:tcPr>
            <w:tcW w:w="1200" w:type="dxa"/>
            <w:tcBorders>
              <w:top w:val="single" w:sz="5" w:space="0" w:color="000000"/>
              <w:left w:val="single" w:sz="5" w:space="0" w:color="000000"/>
              <w:bottom w:val="single" w:sz="5" w:space="0" w:color="000000"/>
              <w:right w:val="single" w:sz="5" w:space="0" w:color="000000"/>
            </w:tcBorders>
            <w:vAlign w:val="center"/>
          </w:tcPr>
          <w:p w14:paraId="2BA7B4C0" w14:textId="454D6C96" w:rsidR="00EC039F" w:rsidRDefault="00C01302" w:rsidP="00EC039F">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18-25</w:t>
            </w:r>
          </w:p>
        </w:tc>
      </w:tr>
      <w:tr w:rsidR="00C01302" w14:paraId="79DAC67A" w14:textId="77777777" w:rsidTr="009E6AE6">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074D41F9" w14:textId="546444ED" w:rsidR="00C01302" w:rsidRDefault="00C01302" w:rsidP="00C01302">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vAlign w:val="center"/>
          </w:tcPr>
          <w:p w14:paraId="39E8AC19" w14:textId="2E30595A"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vAlign w:val="center"/>
          </w:tcPr>
          <w:p w14:paraId="1512C74C"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p w14:paraId="2E1F0F3A" w14:textId="0C747C04"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C50B869"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C01302" w14:paraId="3D378A42" w14:textId="77777777" w:rsidTr="009E6AE6">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58FD34DF"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vAlign w:val="center"/>
          </w:tcPr>
          <w:p w14:paraId="04E24747" w14:textId="12802857"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vAlign w:val="center"/>
          </w:tcPr>
          <w:p w14:paraId="3134EC51"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p w14:paraId="77D5105C" w14:textId="565ABC43"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43E181A6" w14:textId="4FBF7361"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C01302" w14:paraId="58431A59" w14:textId="77777777" w:rsidTr="009E6AE6">
        <w:trPr>
          <w:trHeight w:val="48"/>
        </w:trPr>
        <w:tc>
          <w:tcPr>
            <w:tcW w:w="1668" w:type="dxa"/>
            <w:vMerge w:val="restart"/>
            <w:tcBorders>
              <w:top w:val="single" w:sz="5" w:space="0" w:color="000000"/>
              <w:left w:val="single" w:sz="5" w:space="0" w:color="000000"/>
              <w:right w:val="single" w:sz="5" w:space="0" w:color="000000"/>
            </w:tcBorders>
            <w:vAlign w:val="center"/>
          </w:tcPr>
          <w:p w14:paraId="16BFCE5C" w14:textId="5CEB4FB4" w:rsidR="00C01302" w:rsidRDefault="00C01302" w:rsidP="00C01302">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vAlign w:val="center"/>
          </w:tcPr>
          <w:p w14:paraId="575C64BB" w14:textId="2CC28911"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vAlign w:val="center"/>
          </w:tcPr>
          <w:p w14:paraId="7E041A77"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p w14:paraId="0E913473" w14:textId="7E784375"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7395E36F" w14:textId="7EBA24E7"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C01302" w14:paraId="29B5C9A7" w14:textId="77777777" w:rsidTr="009E6AE6">
        <w:trPr>
          <w:trHeight w:val="203"/>
        </w:trPr>
        <w:tc>
          <w:tcPr>
            <w:tcW w:w="1668" w:type="dxa"/>
            <w:vMerge/>
            <w:tcBorders>
              <w:left w:val="single" w:sz="5" w:space="0" w:color="000000"/>
              <w:right w:val="single" w:sz="5" w:space="0" w:color="000000"/>
            </w:tcBorders>
            <w:vAlign w:val="center"/>
          </w:tcPr>
          <w:p w14:paraId="4760E726" w14:textId="77777777" w:rsidR="00C01302" w:rsidRDefault="00C01302" w:rsidP="00C0130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6B907E6F" w14:textId="57C10011"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vAlign w:val="center"/>
          </w:tcPr>
          <w:p w14:paraId="751648C4"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p w14:paraId="214F5C2A" w14:textId="72F27904"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7C8F8A33" w14:textId="4626BBDC"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C01302" w14:paraId="4D409E67" w14:textId="77777777" w:rsidTr="009E6AE6">
        <w:trPr>
          <w:trHeight w:val="48"/>
        </w:trPr>
        <w:tc>
          <w:tcPr>
            <w:tcW w:w="1668" w:type="dxa"/>
            <w:vMerge/>
            <w:tcBorders>
              <w:left w:val="single" w:sz="5" w:space="0" w:color="000000"/>
              <w:right w:val="single" w:sz="5" w:space="0" w:color="000000"/>
            </w:tcBorders>
            <w:vAlign w:val="center"/>
          </w:tcPr>
          <w:p w14:paraId="1B863B38" w14:textId="77777777" w:rsidR="00C01302" w:rsidRDefault="00C01302" w:rsidP="00C0130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79AA4A5" w14:textId="2DA78A39"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vAlign w:val="center"/>
          </w:tcPr>
          <w:p w14:paraId="04F8D304"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p w14:paraId="52AB047D" w14:textId="58C3EBB0"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lastRenderedPageBreak/>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05D8123F" w14:textId="5701D032"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lastRenderedPageBreak/>
              <w:t>/</w:t>
            </w:r>
          </w:p>
        </w:tc>
      </w:tr>
      <w:tr w:rsidR="00C01302" w14:paraId="71188ED2" w14:textId="77777777" w:rsidTr="00FA7E29">
        <w:trPr>
          <w:trHeight w:val="48"/>
        </w:trPr>
        <w:tc>
          <w:tcPr>
            <w:tcW w:w="1668" w:type="dxa"/>
            <w:vMerge/>
            <w:tcBorders>
              <w:left w:val="single" w:sz="5" w:space="0" w:color="000000"/>
              <w:bottom w:val="single" w:sz="5" w:space="0" w:color="000000"/>
              <w:right w:val="single" w:sz="5" w:space="0" w:color="000000"/>
            </w:tcBorders>
            <w:vAlign w:val="center"/>
          </w:tcPr>
          <w:p w14:paraId="456A0208" w14:textId="77777777" w:rsidR="00C01302" w:rsidRDefault="00C01302" w:rsidP="00C0130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EDCBE6E" w14:textId="3F83C952"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vAlign w:val="center"/>
          </w:tcPr>
          <w:p w14:paraId="5DE0471B"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p w14:paraId="45824D6A" w14:textId="0014B645"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32E0B1FA" w14:textId="49340DC8"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C01302" w14:paraId="24A249B2" w14:textId="77777777" w:rsidTr="00FA7E29">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2156C072" w14:textId="08CC6306" w:rsidR="00C01302" w:rsidRDefault="00C01302" w:rsidP="00C01302">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vAlign w:val="center"/>
          </w:tcPr>
          <w:p w14:paraId="18218F69" w14:textId="1C9A0302"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vAlign w:val="center"/>
          </w:tcPr>
          <w:p w14:paraId="6693C2E4"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p w14:paraId="5A87793F" w14:textId="4DA8821D"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1A435861" w14:textId="6D01953C"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C01302" w14:paraId="0FF31967" w14:textId="77777777" w:rsidTr="00FA7E29">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4E8D53DB" w14:textId="7D33808C" w:rsidR="00C01302" w:rsidRDefault="00C01302" w:rsidP="00C01302">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vAlign w:val="center"/>
          </w:tcPr>
          <w:p w14:paraId="1ED6CD28" w14:textId="3BD7828E" w:rsidR="00C01302" w:rsidRDefault="00C01302" w:rsidP="00C01302">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vAlign w:val="center"/>
          </w:tcPr>
          <w:p w14:paraId="114469A4" w14:textId="77777777" w:rsidR="00C01302" w:rsidRDefault="00C01302" w:rsidP="00C01302">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p w14:paraId="31892DC8" w14:textId="089571AD" w:rsidR="00C01302" w:rsidRDefault="00C01302" w:rsidP="00C01302">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76AE189C" w14:textId="70C707FE" w:rsidR="00C01302" w:rsidRDefault="00C01302" w:rsidP="00C01302">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6CE3625C" w14:textId="77777777" w:rsidTr="0036698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EC039F" w:rsidRDefault="00EC039F" w:rsidP="00EC039F">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5C40AE9" w14:textId="77777777" w:rsidR="00EC039F" w:rsidRDefault="00EC039F" w:rsidP="00EC039F">
            <w:pPr>
              <w:pStyle w:val="Default"/>
              <w:jc w:val="center"/>
              <w:rPr>
                <w:rFonts w:ascii="Arial" w:hAnsi="Arial" w:cs="Arial"/>
                <w:color w:val="auto"/>
                <w:sz w:val="18"/>
                <w:szCs w:val="18"/>
              </w:rPr>
            </w:pPr>
          </w:p>
        </w:tc>
      </w:tr>
      <w:tr w:rsidR="00EC039F" w14:paraId="44C0D626" w14:textId="77777777" w:rsidTr="00366982">
        <w:trPr>
          <w:trHeight w:val="48"/>
        </w:trPr>
        <w:tc>
          <w:tcPr>
            <w:tcW w:w="1668" w:type="dxa"/>
            <w:vMerge w:val="restart"/>
            <w:tcBorders>
              <w:top w:val="single" w:sz="5" w:space="0" w:color="000000"/>
              <w:left w:val="single" w:sz="5" w:space="0" w:color="000000"/>
              <w:right w:val="single" w:sz="5" w:space="0" w:color="000000"/>
            </w:tcBorders>
            <w:vAlign w:val="center"/>
          </w:tcPr>
          <w:p w14:paraId="6A415BD4" w14:textId="64024B01" w:rsidR="00EC039F" w:rsidRDefault="00EC039F" w:rsidP="00EC039F">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vAlign w:val="center"/>
          </w:tcPr>
          <w:p w14:paraId="686CD052" w14:textId="6C149016"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vAlign w:val="center"/>
          </w:tcPr>
          <w:p w14:paraId="470D291E" w14:textId="69C56FBA" w:rsidR="00047EF7" w:rsidRDefault="00047EF7" w:rsidP="00047EF7">
            <w:pPr>
              <w:pStyle w:val="Default"/>
              <w:spacing w:before="40" w:after="40"/>
              <w:rPr>
                <w:rFonts w:ascii="Arial" w:hAnsi="Arial" w:cs="Arial"/>
                <w:b/>
                <w:bCs/>
                <w:sz w:val="18"/>
                <w:szCs w:val="18"/>
              </w:rPr>
            </w:pPr>
            <w:r>
              <w:rPr>
                <w:rFonts w:ascii="Arial" w:hAnsi="Arial" w:cs="Arial"/>
                <w:b/>
                <w:bCs/>
                <w:sz w:val="18"/>
                <w:szCs w:val="18"/>
              </w:rPr>
              <w:t>In a review comparing the training of pharmacy residents in West China Hospital with ASHP residency certification standards, the authors report several limitations of the method</w:t>
            </w:r>
            <w:r w:rsidR="000A45A8">
              <w:rPr>
                <w:rFonts w:ascii="Arial" w:hAnsi="Arial" w:cs="Arial"/>
                <w:b/>
                <w:bCs/>
                <w:sz w:val="18"/>
                <w:szCs w:val="18"/>
              </w:rPr>
              <w:t>s</w:t>
            </w:r>
            <w:r>
              <w:rPr>
                <w:rFonts w:ascii="Arial" w:hAnsi="Arial" w:cs="Arial"/>
                <w:b/>
                <w:bCs/>
                <w:sz w:val="18"/>
                <w:szCs w:val="18"/>
              </w:rPr>
              <w:t xml:space="preserve"> used: </w:t>
            </w:r>
          </w:p>
          <w:p w14:paraId="3180C0BE" w14:textId="468EDD5C" w:rsidR="00EC039F" w:rsidRDefault="00047EF7" w:rsidP="00047EF7">
            <w:pPr>
              <w:pStyle w:val="Default"/>
              <w:spacing w:before="40" w:after="40"/>
              <w:rPr>
                <w:rFonts w:ascii="Arial" w:hAnsi="Arial" w:cs="Arial"/>
                <w:sz w:val="18"/>
                <w:szCs w:val="18"/>
              </w:rPr>
            </w:pPr>
            <w:r>
              <w:rPr>
                <w:rFonts w:ascii="Arial" w:hAnsi="Arial" w:cs="Arial" w:hint="eastAsia"/>
                <w:sz w:val="18"/>
                <w:szCs w:val="18"/>
                <w:lang w:eastAsia="zh-CN"/>
              </w:rPr>
              <w:t>“</w:t>
            </w:r>
            <w:r>
              <w:rPr>
                <w:rFonts w:ascii="Arial" w:hAnsi="Arial" w:cs="Arial"/>
                <w:sz w:val="18"/>
                <w:szCs w:val="18"/>
              </w:rPr>
              <w:t>According to this paper, medical institutions need to advocate rational drug use, reinforce prescription review by pharmacists, expand the scope of pharmacy service, and strengthen the construction of pharmacy education. In response to the paper, we need to establish a more standardized and systematic pharmacy education model to provide more high-quality clinical pharmacists. We hope that our residency model could be propagated to other institutions after consummating our program design.</w:t>
            </w:r>
            <w:r>
              <w:rPr>
                <w:rFonts w:ascii="Arial" w:hAnsi="Arial" w:cs="Arial" w:hint="eastAsia"/>
                <w:sz w:val="18"/>
                <w:szCs w:val="18"/>
                <w:lang w:eastAsia="zh-CN"/>
              </w:rPr>
              <w:t xml:space="preserve"> </w:t>
            </w:r>
            <w:r>
              <w:rPr>
                <w:rFonts w:ascii="Arial" w:hAnsi="Arial" w:cs="Arial" w:hint="eastAsia"/>
                <w:sz w:val="18"/>
                <w:szCs w:val="18"/>
                <w:lang w:eastAsia="zh-CN"/>
              </w:rPr>
              <w:t>”</w:t>
            </w:r>
          </w:p>
        </w:tc>
        <w:tc>
          <w:tcPr>
            <w:tcW w:w="1200" w:type="dxa"/>
            <w:tcBorders>
              <w:top w:val="single" w:sz="5" w:space="0" w:color="000000"/>
              <w:left w:val="single" w:sz="5" w:space="0" w:color="000000"/>
              <w:bottom w:val="single" w:sz="5" w:space="0" w:color="000000"/>
              <w:right w:val="single" w:sz="5" w:space="0" w:color="000000"/>
            </w:tcBorders>
            <w:vAlign w:val="center"/>
          </w:tcPr>
          <w:p w14:paraId="336F0287" w14:textId="64553284" w:rsidR="00EC039F" w:rsidRDefault="00047EF7" w:rsidP="00EC039F">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13</w:t>
            </w:r>
          </w:p>
        </w:tc>
      </w:tr>
      <w:tr w:rsidR="00F5271B" w14:paraId="0A24CE29" w14:textId="77777777" w:rsidTr="008E50C2">
        <w:trPr>
          <w:trHeight w:val="48"/>
        </w:trPr>
        <w:tc>
          <w:tcPr>
            <w:tcW w:w="1668" w:type="dxa"/>
            <w:vMerge/>
            <w:tcBorders>
              <w:left w:val="single" w:sz="5" w:space="0" w:color="000000"/>
              <w:right w:val="single" w:sz="5" w:space="0" w:color="000000"/>
            </w:tcBorders>
            <w:vAlign w:val="center"/>
          </w:tcPr>
          <w:p w14:paraId="34E4593B" w14:textId="6FA37964" w:rsidR="00F5271B" w:rsidRDefault="00F5271B" w:rsidP="00F5271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373FF5B7" w14:textId="611267E8" w:rsidR="00F5271B" w:rsidRDefault="00F5271B" w:rsidP="00F5271B">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vAlign w:val="center"/>
          </w:tcPr>
          <w:p w14:paraId="15FEC94A" w14:textId="77777777" w:rsidR="00F5271B" w:rsidRDefault="00F5271B" w:rsidP="00F5271B">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p w14:paraId="2BC239AF" w14:textId="6A7CEBD4" w:rsidR="00F5271B" w:rsidRDefault="00F5271B" w:rsidP="00F5271B">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552BBDFF" w14:textId="6003B217" w:rsidR="00F5271B" w:rsidRDefault="00F5271B" w:rsidP="00F5271B">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F5271B" w14:paraId="1CBB3F4F" w14:textId="77777777" w:rsidTr="008E50C2">
        <w:trPr>
          <w:trHeight w:val="48"/>
        </w:trPr>
        <w:tc>
          <w:tcPr>
            <w:tcW w:w="1668" w:type="dxa"/>
            <w:vMerge/>
            <w:tcBorders>
              <w:left w:val="single" w:sz="5" w:space="0" w:color="000000"/>
              <w:right w:val="single" w:sz="5" w:space="0" w:color="000000"/>
            </w:tcBorders>
            <w:vAlign w:val="center"/>
          </w:tcPr>
          <w:p w14:paraId="3276A062" w14:textId="77777777" w:rsidR="00F5271B" w:rsidRDefault="00F5271B" w:rsidP="00F5271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vAlign w:val="center"/>
          </w:tcPr>
          <w:p w14:paraId="0BF3966A" w14:textId="50F35F9B" w:rsidR="00F5271B" w:rsidRDefault="00F5271B" w:rsidP="00F5271B">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vAlign w:val="center"/>
          </w:tcPr>
          <w:p w14:paraId="7818CF23" w14:textId="77777777" w:rsidR="00F5271B" w:rsidRDefault="00F5271B" w:rsidP="00F5271B">
            <w:pPr>
              <w:pStyle w:val="Default"/>
              <w:spacing w:before="40" w:after="40"/>
              <w:rPr>
                <w:rFonts w:ascii="Arial" w:hAnsi="Arial" w:cs="Arial"/>
                <w:sz w:val="18"/>
                <w:szCs w:val="18"/>
              </w:rPr>
            </w:pPr>
            <w:r>
              <w:rPr>
                <w:rFonts w:ascii="Arial" w:hAnsi="Arial" w:cs="Arial"/>
                <w:sz w:val="18"/>
                <w:szCs w:val="18"/>
              </w:rPr>
              <w:t>Discuss any limitations of the review processes used.</w:t>
            </w:r>
          </w:p>
          <w:p w14:paraId="1ADE0693" w14:textId="6ACF5F2F" w:rsidR="00F5271B" w:rsidRDefault="00F5271B" w:rsidP="00F5271B">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52AEF35E" w14:textId="08D41358" w:rsidR="00F5271B" w:rsidRDefault="00F5271B" w:rsidP="00F5271B">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52BD6520" w14:textId="77777777" w:rsidTr="00366982">
        <w:trPr>
          <w:trHeight w:val="48"/>
        </w:trPr>
        <w:tc>
          <w:tcPr>
            <w:tcW w:w="1668" w:type="dxa"/>
            <w:vMerge/>
            <w:tcBorders>
              <w:left w:val="single" w:sz="5" w:space="0" w:color="000000"/>
              <w:bottom w:val="single" w:sz="4" w:space="0" w:color="auto"/>
              <w:right w:val="single" w:sz="5" w:space="0" w:color="000000"/>
            </w:tcBorders>
            <w:vAlign w:val="center"/>
          </w:tcPr>
          <w:p w14:paraId="4105AB4C" w14:textId="6D74E577" w:rsidR="00EC039F" w:rsidRDefault="00EC039F" w:rsidP="00EC039F">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vAlign w:val="center"/>
          </w:tcPr>
          <w:p w14:paraId="1189697D" w14:textId="0E388312"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vAlign w:val="center"/>
          </w:tcPr>
          <w:p w14:paraId="620BAE1B" w14:textId="77777777" w:rsidR="00EC039F" w:rsidRDefault="00823FBE" w:rsidP="00EC039F">
            <w:pPr>
              <w:pStyle w:val="Default"/>
              <w:spacing w:before="40" w:after="40"/>
              <w:rPr>
                <w:rFonts w:ascii="Arial" w:hAnsi="Arial" w:cs="Arial"/>
                <w:b/>
                <w:bCs/>
                <w:sz w:val="18"/>
                <w:szCs w:val="18"/>
              </w:rPr>
            </w:pPr>
            <w:r>
              <w:rPr>
                <w:rFonts w:ascii="Arial" w:hAnsi="Arial" w:cs="Arial"/>
                <w:b/>
                <w:bCs/>
                <w:sz w:val="18"/>
                <w:szCs w:val="18"/>
              </w:rPr>
              <w:t>In a review comparing the training of pharmacy residents in West China Hospital with ASHP residence certification standards, the authors made a summary</w:t>
            </w:r>
            <w:r>
              <w:rPr>
                <w:rFonts w:ascii="Arial" w:hAnsi="Arial" w:cs="Arial" w:hint="eastAsia"/>
                <w:b/>
                <w:bCs/>
                <w:sz w:val="18"/>
                <w:szCs w:val="18"/>
                <w:lang w:eastAsia="zh-CN"/>
              </w:rPr>
              <w:t>：</w:t>
            </w:r>
          </w:p>
          <w:p w14:paraId="35332890" w14:textId="77777777" w:rsidR="00823FBE" w:rsidRDefault="00823FBE" w:rsidP="00823FBE">
            <w:pPr>
              <w:pStyle w:val="Default"/>
              <w:spacing w:before="40" w:after="40"/>
              <w:rPr>
                <w:rFonts w:ascii="Arial" w:hAnsi="Arial" w:cs="Arial"/>
                <w:sz w:val="18"/>
                <w:szCs w:val="18"/>
                <w:lang w:eastAsia="zh-CN"/>
              </w:rPr>
            </w:pPr>
            <w:r>
              <w:rPr>
                <w:rFonts w:ascii="Arial" w:hAnsi="Arial" w:cs="Arial" w:hint="eastAsia"/>
                <w:sz w:val="18"/>
                <w:szCs w:val="18"/>
                <w:lang w:eastAsia="zh-CN"/>
              </w:rPr>
              <w:t>“</w:t>
            </w:r>
            <w:r>
              <w:rPr>
                <w:rFonts w:ascii="Arial" w:hAnsi="Arial" w:cs="Arial"/>
                <w:sz w:val="18"/>
                <w:szCs w:val="18"/>
                <w:lang w:eastAsia="zh-CN"/>
              </w:rPr>
              <w:t>The Chinese government has been paying increasing attention to the quality of clinical pharmacy service. The paper Opinions on Strengthening Pharmacy Administration in Medical Institutions to Promote Rational Drug Use established by the National Health Commission published in 2020 emphasized that pharmacy care is an important part of integrated medical care. According to this paper, medical institutions need to advocate rational drug use, reinforce prescription review by pharmacists, expand the scope of pharmacy service, and strengthen the construction of pharmacy education. In response to the paper, we need to establish a more standardized and systematic pharmacy education model to provide more high-quality clinical pharmacists. We hope that our residency model could be propagated to other institutions after consummating our program design. In this article, we systematically compared our residency program to the ASHP residency guideline to review the progress we have made and the areas to improve. As one of the predecessors, the clinical pharmacy department of WCH has made unremitting efforts in providing quality education for clinical pharmacists. The WCH pharmacy residency started out referencing the US pharmacy residency model, and throughout the years we have improved in the design of our residency curriculum, residents’ selection, pharmacy services provided, and preceptor qualification. Some aspects we will continue to seek improvement include adjusting the training model for residents with limited prior clinical training, changing the focus from research to clinical experience during recruitment, integrating more activities and projects to enhance the clinical and research ability of our residents, catering the training plan to individual’s ability and interest, and constructing a team of clinical pharmacist preceptors who are experienced in clinical pharmacy practice and teaching. In this rapidly reforming healthcare system, we aim to continuously advance our clinical pharmacy education and explore innovative directions for clinical pharmacists.</w:t>
            </w:r>
          </w:p>
          <w:p w14:paraId="06A7F747" w14:textId="77777777" w:rsidR="00823FBE" w:rsidRDefault="00823FBE" w:rsidP="00823FBE">
            <w:pPr>
              <w:pStyle w:val="Default"/>
              <w:spacing w:before="40" w:after="40"/>
              <w:rPr>
                <w:rFonts w:ascii="Arial" w:hAnsi="Arial" w:cs="Arial"/>
                <w:sz w:val="18"/>
                <w:szCs w:val="18"/>
                <w:lang w:eastAsia="zh-CN"/>
              </w:rPr>
            </w:pPr>
            <w:r>
              <w:rPr>
                <w:rFonts w:ascii="Arial" w:hAnsi="Arial" w:cs="Arial"/>
                <w:sz w:val="18"/>
                <w:szCs w:val="18"/>
                <w:lang w:eastAsia="zh-CN"/>
              </w:rPr>
              <w:t>In recent years, we have made a lot of explorations on training mode, including quality improvement, response to national requirements, and adjustment of teaching mode during the COVID-19 epidemic. We have also published several papers on this training in China [11–14].</w:t>
            </w:r>
          </w:p>
          <w:p w14:paraId="5FA0A2F2" w14:textId="74C625E6" w:rsidR="00823FBE" w:rsidRDefault="00823FBE" w:rsidP="00823FBE">
            <w:pPr>
              <w:pStyle w:val="Default"/>
              <w:spacing w:before="40" w:after="40"/>
              <w:rPr>
                <w:rFonts w:ascii="Arial" w:hAnsi="Arial" w:cs="Arial"/>
                <w:sz w:val="18"/>
                <w:szCs w:val="18"/>
              </w:rPr>
            </w:pPr>
            <w:r>
              <w:rPr>
                <w:rFonts w:ascii="Arial" w:hAnsi="Arial" w:cs="Arial"/>
                <w:sz w:val="18"/>
                <w:szCs w:val="18"/>
                <w:lang w:eastAsia="zh-CN"/>
              </w:rPr>
              <w:t xml:space="preserve">At present, we have a more in-depth concept of our own clinical pharmacist training system, and hope to gradually build a more perfect talent training model reform system, such as combining the master's degree of pharmacy with standardized training to form a new system, and </w:t>
            </w:r>
            <w:r>
              <w:rPr>
                <w:rFonts w:ascii="Arial" w:hAnsi="Arial" w:cs="Arial"/>
                <w:sz w:val="18"/>
                <w:szCs w:val="18"/>
                <w:lang w:eastAsia="zh-CN"/>
              </w:rPr>
              <w:lastRenderedPageBreak/>
              <w:t>continue to explore.</w:t>
            </w:r>
            <w:r>
              <w:rPr>
                <w:rFonts w:ascii="Arial" w:hAnsi="Arial" w:cs="Arial" w:hint="eastAsia"/>
                <w:sz w:val="18"/>
                <w:szCs w:val="18"/>
                <w:lang w:eastAsia="zh-CN"/>
              </w:rPr>
              <w:t>”</w:t>
            </w:r>
          </w:p>
        </w:tc>
        <w:tc>
          <w:tcPr>
            <w:tcW w:w="1200" w:type="dxa"/>
            <w:tcBorders>
              <w:top w:val="single" w:sz="5" w:space="0" w:color="000000"/>
              <w:left w:val="single" w:sz="5" w:space="0" w:color="000000"/>
              <w:bottom w:val="double" w:sz="5" w:space="0" w:color="000000"/>
              <w:right w:val="single" w:sz="5" w:space="0" w:color="000000"/>
            </w:tcBorders>
            <w:vAlign w:val="center"/>
          </w:tcPr>
          <w:p w14:paraId="30980325" w14:textId="53224694" w:rsidR="00EC039F" w:rsidRDefault="00823FBE" w:rsidP="00EC039F">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lastRenderedPageBreak/>
              <w:t>P</w:t>
            </w:r>
            <w:r>
              <w:rPr>
                <w:rFonts w:ascii="Arial" w:hAnsi="Arial" w:cs="Arial"/>
                <w:color w:val="auto"/>
                <w:sz w:val="18"/>
                <w:szCs w:val="18"/>
                <w:lang w:eastAsia="zh-CN"/>
              </w:rPr>
              <w:t>13</w:t>
            </w:r>
          </w:p>
        </w:tc>
      </w:tr>
      <w:tr w:rsidR="00EC039F" w14:paraId="51341A5A" w14:textId="77777777" w:rsidTr="0036698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EC039F" w:rsidRDefault="00EC039F" w:rsidP="00EC039F">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8167931" w14:textId="77777777" w:rsidR="00EC039F" w:rsidRDefault="00EC039F" w:rsidP="00EC039F">
            <w:pPr>
              <w:pStyle w:val="Default"/>
              <w:jc w:val="center"/>
              <w:rPr>
                <w:rFonts w:ascii="Arial" w:hAnsi="Arial" w:cs="Arial"/>
                <w:color w:val="auto"/>
                <w:sz w:val="18"/>
                <w:szCs w:val="18"/>
              </w:rPr>
            </w:pPr>
          </w:p>
        </w:tc>
      </w:tr>
      <w:tr w:rsidR="00F5271B" w14:paraId="5CF94E2D" w14:textId="77777777" w:rsidTr="003F6C89">
        <w:trPr>
          <w:trHeight w:val="48"/>
        </w:trPr>
        <w:tc>
          <w:tcPr>
            <w:tcW w:w="1668" w:type="dxa"/>
            <w:vMerge w:val="restart"/>
            <w:tcBorders>
              <w:top w:val="single" w:sz="5" w:space="0" w:color="000000"/>
              <w:left w:val="single" w:sz="5" w:space="0" w:color="000000"/>
              <w:right w:val="single" w:sz="5" w:space="0" w:color="000000"/>
            </w:tcBorders>
            <w:vAlign w:val="center"/>
          </w:tcPr>
          <w:p w14:paraId="56E3C875" w14:textId="0768A8C8" w:rsidR="00F5271B" w:rsidRDefault="00F5271B" w:rsidP="00F5271B">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vAlign w:val="center"/>
          </w:tcPr>
          <w:p w14:paraId="7B8E2191" w14:textId="46E4991C" w:rsidR="00F5271B" w:rsidRDefault="00F5271B" w:rsidP="00F5271B">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vAlign w:val="center"/>
          </w:tcPr>
          <w:p w14:paraId="12F872D5" w14:textId="77777777" w:rsidR="00F5271B" w:rsidRDefault="00F5271B" w:rsidP="00F5271B">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p w14:paraId="16AABB8D" w14:textId="605A05EE" w:rsidR="00F5271B" w:rsidRDefault="00F5271B" w:rsidP="00F5271B">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2EE9DE13" w14:textId="045EED17" w:rsidR="00F5271B" w:rsidRDefault="00F5271B" w:rsidP="00F5271B">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F5271B" w14:paraId="4C3E51C1" w14:textId="77777777" w:rsidTr="003F6C89">
        <w:trPr>
          <w:trHeight w:val="57"/>
        </w:trPr>
        <w:tc>
          <w:tcPr>
            <w:tcW w:w="1668" w:type="dxa"/>
            <w:vMerge/>
            <w:tcBorders>
              <w:left w:val="single" w:sz="5" w:space="0" w:color="000000"/>
              <w:right w:val="single" w:sz="5" w:space="0" w:color="000000"/>
            </w:tcBorders>
            <w:vAlign w:val="center"/>
          </w:tcPr>
          <w:p w14:paraId="038F19BF" w14:textId="77777777" w:rsidR="00F5271B" w:rsidRDefault="00F5271B" w:rsidP="00F5271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23DB58A7" w14:textId="4B5E40EA" w:rsidR="00F5271B" w:rsidRDefault="00F5271B" w:rsidP="00F5271B">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vAlign w:val="center"/>
          </w:tcPr>
          <w:p w14:paraId="24099E2F" w14:textId="77777777" w:rsidR="00F5271B" w:rsidRDefault="00F5271B" w:rsidP="00F5271B">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p w14:paraId="30E4D536" w14:textId="1AB6F8C9" w:rsidR="00F5271B" w:rsidRDefault="00F5271B" w:rsidP="00F5271B">
            <w:pPr>
              <w:pStyle w:val="Default"/>
              <w:spacing w:before="40" w:after="40"/>
              <w:rPr>
                <w:rFonts w:ascii="Arial" w:hAnsi="Arial" w:cs="Arial"/>
                <w:sz w:val="18"/>
                <w:szCs w:val="18"/>
              </w:rPr>
            </w:pPr>
            <w:r>
              <w:rPr>
                <w:rFonts w:ascii="Arial" w:hAnsi="Arial" w:cs="Arial"/>
                <w:b/>
                <w:bCs/>
                <w:color w:val="FF0000"/>
                <w:sz w:val="18"/>
                <w:szCs w:val="18"/>
              </w:rPr>
              <w:t>Not applicable for this study</w:t>
            </w:r>
            <w:r w:rsidR="00892A54">
              <w:rPr>
                <w:rFonts w:ascii="Arial" w:hAnsi="Arial" w:cs="Arial"/>
                <w:b/>
                <w:bCs/>
                <w:color w:val="FF0000"/>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55D44A96" w14:textId="48BA3F6E" w:rsidR="00F5271B" w:rsidRDefault="00F5271B" w:rsidP="00F5271B">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F5271B" w14:paraId="131EC413" w14:textId="77777777" w:rsidTr="003F6C89">
        <w:trPr>
          <w:trHeight w:val="48"/>
        </w:trPr>
        <w:tc>
          <w:tcPr>
            <w:tcW w:w="1668" w:type="dxa"/>
            <w:vMerge/>
            <w:tcBorders>
              <w:left w:val="single" w:sz="5" w:space="0" w:color="000000"/>
              <w:bottom w:val="single" w:sz="5" w:space="0" w:color="000000"/>
              <w:right w:val="single" w:sz="5" w:space="0" w:color="000000"/>
            </w:tcBorders>
            <w:vAlign w:val="center"/>
          </w:tcPr>
          <w:p w14:paraId="3F05BA64" w14:textId="77777777" w:rsidR="00F5271B" w:rsidRDefault="00F5271B" w:rsidP="00F5271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59CC5356" w14:textId="4CC8AA70" w:rsidR="00F5271B" w:rsidRDefault="00F5271B" w:rsidP="00F5271B">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vAlign w:val="center"/>
          </w:tcPr>
          <w:p w14:paraId="71EBA1D9" w14:textId="77777777" w:rsidR="00F5271B" w:rsidRDefault="00F5271B" w:rsidP="00F5271B">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p w14:paraId="0EA5EF40" w14:textId="77AD0960" w:rsidR="00F5271B" w:rsidRDefault="00F5271B" w:rsidP="00F5271B">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single" w:sz="5" w:space="0" w:color="000000"/>
              <w:right w:val="single" w:sz="5" w:space="0" w:color="000000"/>
            </w:tcBorders>
          </w:tcPr>
          <w:p w14:paraId="0ED81809" w14:textId="2C204205" w:rsidR="00F5271B" w:rsidRDefault="00F5271B" w:rsidP="00F5271B">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r w:rsidR="00EC039F" w14:paraId="10B09DA9"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568E03AB" w14:textId="5D180926" w:rsidR="00EC039F" w:rsidRDefault="00EC039F" w:rsidP="00EC039F">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vAlign w:val="center"/>
          </w:tcPr>
          <w:p w14:paraId="212FAD83" w14:textId="404A0D21"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vAlign w:val="center"/>
          </w:tcPr>
          <w:p w14:paraId="755A5F53" w14:textId="77777777" w:rsidR="006F0B87" w:rsidRDefault="006F0B87" w:rsidP="006F0B87">
            <w:pPr>
              <w:pStyle w:val="Default"/>
              <w:spacing w:before="40" w:after="40"/>
              <w:rPr>
                <w:rFonts w:ascii="Arial" w:hAnsi="Arial" w:cs="Arial"/>
                <w:b/>
                <w:bCs/>
                <w:sz w:val="18"/>
                <w:szCs w:val="18"/>
              </w:rPr>
            </w:pPr>
            <w:r>
              <w:rPr>
                <w:rFonts w:ascii="Arial" w:hAnsi="Arial" w:cs="Arial"/>
                <w:b/>
                <w:bCs/>
                <w:sz w:val="18"/>
                <w:szCs w:val="18"/>
              </w:rPr>
              <w:t xml:space="preserve">In a review comparing the training of pharmacy residents in West China Hospital with ASHP residence certification standards, the authors received funding to complete the study: </w:t>
            </w:r>
          </w:p>
          <w:p w14:paraId="3D202DC4" w14:textId="2E80FC1B" w:rsidR="00EC039F" w:rsidRDefault="006F0B87" w:rsidP="006F0B87">
            <w:pPr>
              <w:pStyle w:val="Default"/>
              <w:spacing w:before="40" w:after="40"/>
              <w:rPr>
                <w:rFonts w:ascii="Arial" w:hAnsi="Arial" w:cs="Arial"/>
                <w:sz w:val="18"/>
                <w:szCs w:val="18"/>
              </w:rPr>
            </w:pPr>
            <w:r>
              <w:rPr>
                <w:rFonts w:ascii="Arial" w:hAnsi="Arial" w:cs="Arial" w:hint="eastAsia"/>
                <w:sz w:val="18"/>
                <w:szCs w:val="18"/>
                <w:lang w:eastAsia="zh-CN"/>
              </w:rPr>
              <w:t>“</w:t>
            </w:r>
            <w:r>
              <w:rPr>
                <w:rFonts w:ascii="Arial" w:hAnsi="Arial" w:cs="Arial" w:hint="eastAsia"/>
                <w:sz w:val="18"/>
                <w:szCs w:val="18"/>
              </w:rPr>
              <w:t xml:space="preserve">National Key R&amp;D Program of China (2020YFC2008302) </w:t>
            </w:r>
            <w:r>
              <w:rPr>
                <w:rFonts w:ascii="Arial" w:hAnsi="Arial" w:cs="Arial" w:hint="eastAsia"/>
                <w:sz w:val="18"/>
                <w:szCs w:val="18"/>
              </w:rPr>
              <w:t>、</w:t>
            </w:r>
            <w:r>
              <w:rPr>
                <w:rFonts w:ascii="Arial" w:hAnsi="Arial" w:cs="Arial" w:hint="eastAsia"/>
                <w:sz w:val="18"/>
                <w:szCs w:val="18"/>
              </w:rPr>
              <w:t>Youth Foundation from Sichuan Province (2023NSFSC1686) and National Key Clinical Specialties Construction Program.</w:t>
            </w:r>
            <w:r>
              <w:rPr>
                <w:rFonts w:ascii="Arial" w:hAnsi="Arial" w:cs="Arial" w:hint="eastAsia"/>
                <w:sz w:val="18"/>
                <w:szCs w:val="18"/>
                <w:lang w:eastAsia="zh-CN"/>
              </w:rPr>
              <w:t xml:space="preserve"> </w:t>
            </w:r>
            <w:r>
              <w:rPr>
                <w:rFonts w:ascii="Arial" w:hAnsi="Arial" w:cs="Arial" w:hint="eastAsia"/>
                <w:sz w:val="18"/>
                <w:szCs w:val="18"/>
                <w:lang w:eastAsia="zh-CN"/>
              </w:rPr>
              <w:t>”</w:t>
            </w:r>
          </w:p>
        </w:tc>
        <w:tc>
          <w:tcPr>
            <w:tcW w:w="1200" w:type="dxa"/>
            <w:tcBorders>
              <w:top w:val="single" w:sz="5" w:space="0" w:color="000000"/>
              <w:left w:val="single" w:sz="5" w:space="0" w:color="000000"/>
              <w:bottom w:val="single" w:sz="5" w:space="0" w:color="000000"/>
              <w:right w:val="single" w:sz="5" w:space="0" w:color="000000"/>
            </w:tcBorders>
            <w:vAlign w:val="center"/>
          </w:tcPr>
          <w:p w14:paraId="1688945E" w14:textId="7A36E571" w:rsidR="00EC039F" w:rsidRDefault="006F0B87" w:rsidP="00EC039F">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16</w:t>
            </w:r>
          </w:p>
        </w:tc>
      </w:tr>
      <w:tr w:rsidR="00EC039F" w14:paraId="30333012" w14:textId="77777777" w:rsidTr="00366982">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27DA1532" w14:textId="5EB50F96" w:rsidR="00EC039F" w:rsidRDefault="00EC039F" w:rsidP="00EC039F">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vAlign w:val="center"/>
          </w:tcPr>
          <w:p w14:paraId="746BF2DB" w14:textId="237CA33A"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vAlign w:val="center"/>
          </w:tcPr>
          <w:p w14:paraId="00DDFFA3" w14:textId="6C36D480" w:rsidR="00EC039F" w:rsidRDefault="006F0B87" w:rsidP="00EC039F">
            <w:pPr>
              <w:pStyle w:val="Default"/>
              <w:spacing w:before="40" w:after="40"/>
              <w:rPr>
                <w:rFonts w:ascii="Arial" w:hAnsi="Arial" w:cs="Arial"/>
                <w:b/>
                <w:bCs/>
                <w:sz w:val="18"/>
                <w:szCs w:val="18"/>
              </w:rPr>
            </w:pPr>
            <w:r>
              <w:rPr>
                <w:rFonts w:ascii="Arial" w:hAnsi="Arial" w:cs="Arial"/>
                <w:b/>
                <w:bCs/>
                <w:sz w:val="18"/>
                <w:szCs w:val="18"/>
              </w:rPr>
              <w:t>In a review comparing the training of pharmacy residents in West China Hospital with ASHP residence certification standards, the authors Competing interest:</w:t>
            </w:r>
          </w:p>
          <w:p w14:paraId="6C50B7A3" w14:textId="3E4CBAA9" w:rsidR="006F0B87" w:rsidRDefault="006F0B87" w:rsidP="00EC039F">
            <w:pPr>
              <w:pStyle w:val="Default"/>
              <w:spacing w:before="40" w:after="40"/>
              <w:rPr>
                <w:rFonts w:ascii="Arial" w:hAnsi="Arial" w:cs="Arial"/>
                <w:sz w:val="18"/>
                <w:szCs w:val="18"/>
              </w:rPr>
            </w:pPr>
            <w:r>
              <w:rPr>
                <w:rFonts w:ascii="Arial" w:hAnsi="Arial" w:cs="Arial" w:hint="eastAsia"/>
                <w:sz w:val="18"/>
                <w:szCs w:val="18"/>
                <w:lang w:eastAsia="zh-CN"/>
              </w:rPr>
              <w:t>“</w:t>
            </w:r>
            <w:r>
              <w:rPr>
                <w:rFonts w:ascii="Arial" w:hAnsi="Arial" w:cs="Arial"/>
                <w:sz w:val="18"/>
                <w:szCs w:val="18"/>
                <w:lang w:eastAsia="zh-CN"/>
              </w:rPr>
              <w:t>The authors declare that they have no competing interests.</w:t>
            </w:r>
            <w:r>
              <w:rPr>
                <w:rFonts w:ascii="Arial" w:hAnsi="Arial" w:cs="Arial" w:hint="eastAsia"/>
                <w:sz w:val="18"/>
                <w:szCs w:val="18"/>
                <w:lang w:eastAsia="zh-CN"/>
              </w:rPr>
              <w:t xml:space="preserve"> </w:t>
            </w:r>
            <w:r>
              <w:rPr>
                <w:rFonts w:ascii="Arial" w:hAnsi="Arial" w:cs="Arial" w:hint="eastAsia"/>
                <w:sz w:val="18"/>
                <w:szCs w:val="18"/>
                <w:lang w:eastAsia="zh-CN"/>
              </w:rPr>
              <w:t>”</w:t>
            </w:r>
          </w:p>
        </w:tc>
        <w:tc>
          <w:tcPr>
            <w:tcW w:w="1200" w:type="dxa"/>
            <w:tcBorders>
              <w:top w:val="single" w:sz="5" w:space="0" w:color="000000"/>
              <w:left w:val="single" w:sz="5" w:space="0" w:color="000000"/>
              <w:bottom w:val="single" w:sz="5" w:space="0" w:color="000000"/>
              <w:right w:val="single" w:sz="5" w:space="0" w:color="000000"/>
            </w:tcBorders>
            <w:vAlign w:val="center"/>
          </w:tcPr>
          <w:p w14:paraId="6FA1E09F" w14:textId="0FF019F5" w:rsidR="00EC039F" w:rsidRDefault="006F0B87" w:rsidP="00EC039F">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16</w:t>
            </w:r>
          </w:p>
        </w:tc>
      </w:tr>
      <w:tr w:rsidR="00EC039F" w14:paraId="7E1A8D23" w14:textId="77777777" w:rsidTr="00366982">
        <w:trPr>
          <w:trHeight w:val="219"/>
        </w:trPr>
        <w:tc>
          <w:tcPr>
            <w:tcW w:w="1668" w:type="dxa"/>
            <w:tcBorders>
              <w:top w:val="single" w:sz="5" w:space="0" w:color="000000"/>
              <w:left w:val="single" w:sz="5" w:space="0" w:color="000000"/>
              <w:bottom w:val="double" w:sz="5" w:space="0" w:color="000000"/>
              <w:right w:val="single" w:sz="5" w:space="0" w:color="000000"/>
            </w:tcBorders>
            <w:vAlign w:val="center"/>
          </w:tcPr>
          <w:p w14:paraId="71A9B4E7" w14:textId="784F40E8" w:rsidR="00EC039F" w:rsidRDefault="00EC039F" w:rsidP="00EC039F">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vAlign w:val="center"/>
          </w:tcPr>
          <w:p w14:paraId="168E063F" w14:textId="1CC9DD58" w:rsidR="00EC039F" w:rsidRDefault="00EC039F" w:rsidP="00EC039F">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vAlign w:val="center"/>
          </w:tcPr>
          <w:p w14:paraId="0ABA0E17" w14:textId="77777777" w:rsidR="00EC039F" w:rsidRDefault="00EC039F" w:rsidP="00EC039F">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p w14:paraId="619249F8" w14:textId="1EBB481F" w:rsidR="00E50DE7" w:rsidRDefault="00E50DE7" w:rsidP="00EC039F">
            <w:pPr>
              <w:pStyle w:val="Default"/>
              <w:spacing w:before="40" w:after="40"/>
              <w:rPr>
                <w:rFonts w:ascii="Arial" w:hAnsi="Arial" w:cs="Arial"/>
                <w:sz w:val="18"/>
                <w:szCs w:val="18"/>
              </w:rPr>
            </w:pPr>
            <w:r>
              <w:rPr>
                <w:rFonts w:ascii="Arial" w:hAnsi="Arial" w:cs="Arial"/>
                <w:b/>
                <w:bCs/>
                <w:color w:val="FF0000"/>
                <w:sz w:val="18"/>
                <w:szCs w:val="18"/>
              </w:rPr>
              <w:t>Not applicable for this study</w:t>
            </w:r>
          </w:p>
        </w:tc>
        <w:tc>
          <w:tcPr>
            <w:tcW w:w="1200" w:type="dxa"/>
            <w:tcBorders>
              <w:top w:val="single" w:sz="5" w:space="0" w:color="000000"/>
              <w:left w:val="single" w:sz="5" w:space="0" w:color="000000"/>
              <w:bottom w:val="double" w:sz="5" w:space="0" w:color="000000"/>
              <w:right w:val="single" w:sz="5" w:space="0" w:color="000000"/>
            </w:tcBorders>
            <w:vAlign w:val="center"/>
          </w:tcPr>
          <w:p w14:paraId="442C99F1" w14:textId="6C91723C" w:rsidR="00EC039F" w:rsidRDefault="00F5271B" w:rsidP="00EC039F">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E5339" w14:textId="77777777" w:rsidR="00970E42" w:rsidRDefault="00970E42">
      <w:r>
        <w:separator/>
      </w:r>
    </w:p>
  </w:endnote>
  <w:endnote w:type="continuationSeparator" w:id="0">
    <w:p w14:paraId="3B29FDB6" w14:textId="77777777" w:rsidR="00970E42" w:rsidRDefault="0097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472F5" w14:textId="77777777" w:rsidR="00970E42" w:rsidRDefault="00970E42">
      <w:r>
        <w:separator/>
      </w:r>
    </w:p>
  </w:footnote>
  <w:footnote w:type="continuationSeparator" w:id="0">
    <w:p w14:paraId="2AD70B74" w14:textId="77777777" w:rsidR="00970E42" w:rsidRDefault="00970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47EF7"/>
    <w:rsid w:val="00055ABE"/>
    <w:rsid w:val="00077B44"/>
    <w:rsid w:val="00086494"/>
    <w:rsid w:val="000A45A8"/>
    <w:rsid w:val="00152CDB"/>
    <w:rsid w:val="0018323E"/>
    <w:rsid w:val="00190C83"/>
    <w:rsid w:val="00215DBD"/>
    <w:rsid w:val="00246C93"/>
    <w:rsid w:val="00256BAF"/>
    <w:rsid w:val="00285B27"/>
    <w:rsid w:val="002A2A06"/>
    <w:rsid w:val="002A532A"/>
    <w:rsid w:val="002B7834"/>
    <w:rsid w:val="003103C2"/>
    <w:rsid w:val="003516AD"/>
    <w:rsid w:val="00363B8D"/>
    <w:rsid w:val="00366982"/>
    <w:rsid w:val="003760FB"/>
    <w:rsid w:val="003B79FF"/>
    <w:rsid w:val="00400A0B"/>
    <w:rsid w:val="00443C1D"/>
    <w:rsid w:val="00461576"/>
    <w:rsid w:val="004C1685"/>
    <w:rsid w:val="005078EE"/>
    <w:rsid w:val="00550BF1"/>
    <w:rsid w:val="0059028D"/>
    <w:rsid w:val="005979B8"/>
    <w:rsid w:val="006E5FE2"/>
    <w:rsid w:val="006F0B87"/>
    <w:rsid w:val="006F3BA6"/>
    <w:rsid w:val="00726794"/>
    <w:rsid w:val="0077253C"/>
    <w:rsid w:val="00823FBE"/>
    <w:rsid w:val="008412D5"/>
    <w:rsid w:val="00870711"/>
    <w:rsid w:val="00892A54"/>
    <w:rsid w:val="008A3EAE"/>
    <w:rsid w:val="008E2C91"/>
    <w:rsid w:val="00930A31"/>
    <w:rsid w:val="00947707"/>
    <w:rsid w:val="0095270E"/>
    <w:rsid w:val="00970E42"/>
    <w:rsid w:val="009827E5"/>
    <w:rsid w:val="00987D2E"/>
    <w:rsid w:val="00A215D2"/>
    <w:rsid w:val="00A673F6"/>
    <w:rsid w:val="00A723CA"/>
    <w:rsid w:val="00A74163"/>
    <w:rsid w:val="00A86593"/>
    <w:rsid w:val="00AB79CE"/>
    <w:rsid w:val="00AE3E52"/>
    <w:rsid w:val="00AE4BBD"/>
    <w:rsid w:val="00AF2038"/>
    <w:rsid w:val="00B1551E"/>
    <w:rsid w:val="00B24EC2"/>
    <w:rsid w:val="00B51910"/>
    <w:rsid w:val="00BD6F43"/>
    <w:rsid w:val="00BF2435"/>
    <w:rsid w:val="00C01302"/>
    <w:rsid w:val="00C22710"/>
    <w:rsid w:val="00C550CD"/>
    <w:rsid w:val="00C5687F"/>
    <w:rsid w:val="00C858FB"/>
    <w:rsid w:val="00D95D84"/>
    <w:rsid w:val="00DC4F19"/>
    <w:rsid w:val="00E324A8"/>
    <w:rsid w:val="00E50DE7"/>
    <w:rsid w:val="00E66E3A"/>
    <w:rsid w:val="00EB610E"/>
    <w:rsid w:val="00EC039F"/>
    <w:rsid w:val="00F02CC5"/>
    <w:rsid w:val="00F5271B"/>
    <w:rsid w:val="00F67C14"/>
    <w:rsid w:val="00FB3483"/>
    <w:rsid w:val="00FC6A9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23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5</Pages>
  <Words>2742</Words>
  <Characters>15632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ting zhang</cp:lastModifiedBy>
  <cp:revision>39</cp:revision>
  <cp:lastPrinted>2020-11-24T03:02:00Z</cp:lastPrinted>
  <dcterms:created xsi:type="dcterms:W3CDTF">2020-11-24T03:02:00Z</dcterms:created>
  <dcterms:modified xsi:type="dcterms:W3CDTF">2023-10-08T01:57:00Z</dcterms:modified>
</cp:coreProperties>
</file>