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64DA1" w14:textId="77777777" w:rsidR="00432323" w:rsidRPr="00166CE1" w:rsidRDefault="00432323" w:rsidP="00166CE1">
      <w:pPr>
        <w:spacing w:line="360" w:lineRule="auto"/>
        <w:jc w:val="both"/>
        <w:rPr>
          <w:rFonts w:ascii="Times New Roman" w:hAnsi="Times New Roman" w:cs="Times New Roman"/>
          <w:b/>
          <w:sz w:val="24"/>
          <w:szCs w:val="24"/>
          <w:lang w:val="en-IN"/>
        </w:rPr>
      </w:pPr>
      <w:r w:rsidRPr="00166CE1">
        <w:rPr>
          <w:rFonts w:ascii="Times New Roman" w:hAnsi="Times New Roman" w:cs="Times New Roman"/>
          <w:b/>
          <w:sz w:val="24"/>
          <w:szCs w:val="24"/>
          <w:lang w:val="en-IN"/>
        </w:rPr>
        <w:t>Measurement of urinary 8-OHdG levels</w:t>
      </w:r>
    </w:p>
    <w:p w14:paraId="3C4CD3A2" w14:textId="3AD556A1" w:rsidR="00432323" w:rsidRPr="00166CE1" w:rsidRDefault="00432323" w:rsidP="00166CE1">
      <w:pPr>
        <w:spacing w:line="360" w:lineRule="auto"/>
        <w:jc w:val="both"/>
        <w:rPr>
          <w:rFonts w:ascii="Times New Roman" w:hAnsi="Times New Roman" w:cs="Times New Roman"/>
          <w:b/>
          <w:sz w:val="24"/>
          <w:szCs w:val="24"/>
          <w:lang w:val="en-IN"/>
        </w:rPr>
      </w:pPr>
      <w:r w:rsidRPr="00166CE1">
        <w:rPr>
          <w:rFonts w:ascii="Times New Roman" w:eastAsia="Times New Roman" w:hAnsi="Times New Roman" w:cs="Times New Roman"/>
          <w:color w:val="000000"/>
          <w:sz w:val="24"/>
          <w:szCs w:val="24"/>
        </w:rPr>
        <w:t xml:space="preserve">To determine urinary 8-OHdG level, each urine sample was centrifuged at 2000-3000 rounds per minute for 15 min, and the supernatant was stored at -20°C for measurement. The measurement of 8-OHdG was conducted using an ELISA Kit (Sincere Biotech, Beijing, China). </w:t>
      </w:r>
    </w:p>
    <w:p w14:paraId="11CF27E7" w14:textId="73F91E1F" w:rsidR="007A52DA" w:rsidRPr="00166CE1" w:rsidRDefault="00432323" w:rsidP="00166CE1">
      <w:pPr>
        <w:shd w:val="clear" w:color="auto" w:fill="FFFFFF"/>
        <w:spacing w:before="166" w:after="166" w:line="360" w:lineRule="auto"/>
        <w:jc w:val="both"/>
        <w:rPr>
          <w:rFonts w:ascii="Times New Roman" w:eastAsia="Times New Roman" w:hAnsi="Times New Roman" w:cs="Times New Roman"/>
          <w:color w:val="000000"/>
          <w:sz w:val="24"/>
          <w:szCs w:val="24"/>
        </w:rPr>
      </w:pPr>
      <w:r w:rsidRPr="00166CE1">
        <w:rPr>
          <w:rFonts w:ascii="Times New Roman" w:eastAsia="Times New Roman" w:hAnsi="Times New Roman" w:cs="Times New Roman"/>
          <w:color w:val="000000"/>
          <w:sz w:val="24"/>
          <w:szCs w:val="24"/>
        </w:rPr>
        <w:t xml:space="preserve">The standards were prepared according to the instructions given in the catalog of the kit. After dilution, total volume in each well was 50µl and the concentration was 3600 </w:t>
      </w:r>
      <w:proofErr w:type="spellStart"/>
      <w:r w:rsidRPr="00166CE1">
        <w:rPr>
          <w:rFonts w:ascii="Times New Roman" w:eastAsia="Times New Roman" w:hAnsi="Times New Roman" w:cs="Times New Roman"/>
          <w:color w:val="000000"/>
          <w:sz w:val="24"/>
          <w:szCs w:val="24"/>
        </w:rPr>
        <w:t>pg</w:t>
      </w:r>
      <w:proofErr w:type="spellEnd"/>
      <w:r w:rsidRPr="00166CE1">
        <w:rPr>
          <w:rFonts w:ascii="Times New Roman" w:eastAsia="Times New Roman" w:hAnsi="Times New Roman" w:cs="Times New Roman"/>
          <w:color w:val="000000"/>
          <w:sz w:val="24"/>
          <w:szCs w:val="24"/>
        </w:rPr>
        <w:t xml:space="preserve">/ml, 2400pg/ml, 1200pg/ml, 600pg/ml, 300pg/ml and 150pg/ml respectively. The blank well was also set. Sample diluent 40µl was added to all the sample wells, and then 10µl of the sample was added. After closing the plate with the closure plate membrane, incubation was done for 30 minutes at 37ºC. Washing buffer was prepared and diluted 30 folds, and kept ready. A washing buffer was added to each well, kept for 30 seconds, and dried by pat. Washing was repeated five times. Then 50µl of horseradish peroxidase conjugate reagent was added to each well except the blank well. Repeat incubation done for 30 minutes and washing was repeated five times again. Then 50µl of 3,3’,5,5-tetramethylbenzidine (TMB) chromogen solution A was added, followed by the addition of 50µl of TMB chromogen solution B to each well. Gently the solution was mixed, evading the light, and kept preserved for 15mins at 37ºC. After incubation, 50µl of stop solution was added. The blue color changes to yellow color immediately. Keeping the optical density (OD) of blank well as zero, absorbance was read at 450 nm within 15 minutes of adding the stop solution. </w:t>
      </w:r>
    </w:p>
    <w:p w14:paraId="5F80FD53" w14:textId="0F59AB25" w:rsidR="000E7B50" w:rsidRPr="00166CE1" w:rsidRDefault="000E7B50" w:rsidP="00166CE1">
      <w:pPr>
        <w:shd w:val="clear" w:color="auto" w:fill="FFFFFF"/>
        <w:spacing w:before="166" w:after="166" w:line="360" w:lineRule="auto"/>
        <w:jc w:val="both"/>
        <w:rPr>
          <w:rFonts w:ascii="Times New Roman" w:eastAsia="Times New Roman" w:hAnsi="Times New Roman" w:cs="Times New Roman"/>
          <w:color w:val="000000"/>
          <w:sz w:val="24"/>
          <w:szCs w:val="24"/>
        </w:rPr>
      </w:pPr>
      <w:r w:rsidRPr="00166CE1">
        <w:rPr>
          <w:rFonts w:ascii="Times New Roman" w:eastAsia="Times New Roman" w:hAnsi="Times New Roman" w:cs="Times New Roman"/>
          <w:color w:val="000000"/>
          <w:sz w:val="24"/>
          <w:szCs w:val="24"/>
        </w:rPr>
        <w:t xml:space="preserve">Supplementary </w:t>
      </w:r>
      <w:r w:rsidR="00741896" w:rsidRPr="00166CE1">
        <w:rPr>
          <w:rFonts w:ascii="Times New Roman" w:eastAsia="Times New Roman" w:hAnsi="Times New Roman" w:cs="Times New Roman"/>
          <w:color w:val="000000"/>
          <w:sz w:val="24"/>
          <w:szCs w:val="24"/>
        </w:rPr>
        <w:t>F</w:t>
      </w:r>
      <w:r w:rsidRPr="00166CE1">
        <w:rPr>
          <w:rFonts w:ascii="Times New Roman" w:eastAsia="Times New Roman" w:hAnsi="Times New Roman" w:cs="Times New Roman"/>
          <w:color w:val="000000"/>
          <w:sz w:val="24"/>
          <w:szCs w:val="24"/>
        </w:rPr>
        <w:t xml:space="preserve">igure 1: Standard curves for determining </w:t>
      </w:r>
      <w:r w:rsidR="00741896" w:rsidRPr="00166CE1">
        <w:rPr>
          <w:rFonts w:ascii="Times New Roman" w:hAnsi="Times New Roman" w:cs="Times New Roman"/>
          <w:sz w:val="24"/>
          <w:szCs w:val="24"/>
        </w:rPr>
        <w:t>8-OHdG</w:t>
      </w:r>
      <w:r w:rsidRPr="00166CE1">
        <w:rPr>
          <w:rFonts w:ascii="Times New Roman" w:eastAsia="Times New Roman" w:hAnsi="Times New Roman" w:cs="Times New Roman"/>
          <w:color w:val="000000"/>
          <w:sz w:val="24"/>
          <w:szCs w:val="24"/>
        </w:rPr>
        <w:t xml:space="preserve"> concentration in </w:t>
      </w:r>
      <w:r w:rsidR="00741896" w:rsidRPr="00166CE1">
        <w:rPr>
          <w:rFonts w:ascii="Times New Roman" w:eastAsia="Times New Roman" w:hAnsi="Times New Roman" w:cs="Times New Roman"/>
          <w:color w:val="000000"/>
          <w:sz w:val="24"/>
          <w:szCs w:val="24"/>
        </w:rPr>
        <w:t>cases</w:t>
      </w:r>
    </w:p>
    <w:p w14:paraId="72834126" w14:textId="77777777" w:rsidR="00EC5A9C" w:rsidRPr="00166CE1" w:rsidRDefault="000E7B50" w:rsidP="00166CE1">
      <w:pPr>
        <w:spacing w:line="360" w:lineRule="auto"/>
        <w:rPr>
          <w:rFonts w:ascii="Times New Roman" w:hAnsi="Times New Roman" w:cs="Times New Roman"/>
          <w:sz w:val="24"/>
          <w:szCs w:val="24"/>
        </w:rPr>
      </w:pPr>
      <w:r w:rsidRPr="00166CE1">
        <w:rPr>
          <w:rFonts w:ascii="Times New Roman" w:hAnsi="Times New Roman" w:cs="Times New Roman"/>
          <w:noProof/>
          <w:sz w:val="24"/>
          <w:szCs w:val="24"/>
        </w:rPr>
        <w:drawing>
          <wp:inline distT="0" distB="0" distL="0" distR="0" wp14:anchorId="2E0E0FE4" wp14:editId="798394E0">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3F19AEAF" w14:textId="77777777" w:rsidR="000E7B50" w:rsidRPr="00166CE1" w:rsidRDefault="000E7B50" w:rsidP="00166CE1">
      <w:pPr>
        <w:shd w:val="clear" w:color="auto" w:fill="FFFFFF"/>
        <w:spacing w:before="166" w:after="166" w:line="360" w:lineRule="auto"/>
        <w:rPr>
          <w:rFonts w:ascii="Times New Roman" w:eastAsia="Times New Roman" w:hAnsi="Times New Roman" w:cs="Times New Roman"/>
          <w:b/>
          <w:color w:val="000000"/>
          <w:sz w:val="24"/>
          <w:szCs w:val="24"/>
        </w:rPr>
      </w:pPr>
      <w:r w:rsidRPr="00166CE1">
        <w:rPr>
          <w:rFonts w:ascii="Times New Roman" w:eastAsia="Times New Roman" w:hAnsi="Times New Roman" w:cs="Times New Roman"/>
          <w:b/>
          <w:color w:val="000000"/>
          <w:sz w:val="24"/>
          <w:szCs w:val="24"/>
        </w:rPr>
        <w:lastRenderedPageBreak/>
        <w:t xml:space="preserve">Calculation of </w:t>
      </w:r>
      <w:proofErr w:type="gramStart"/>
      <w:r w:rsidRPr="00166CE1">
        <w:rPr>
          <w:rFonts w:ascii="Times New Roman" w:eastAsia="Times New Roman" w:hAnsi="Times New Roman" w:cs="Times New Roman"/>
          <w:b/>
          <w:color w:val="000000"/>
          <w:sz w:val="24"/>
          <w:szCs w:val="24"/>
        </w:rPr>
        <w:t>24 hour</w:t>
      </w:r>
      <w:proofErr w:type="gramEnd"/>
      <w:r w:rsidRPr="00166CE1">
        <w:rPr>
          <w:rFonts w:ascii="Times New Roman" w:eastAsia="Times New Roman" w:hAnsi="Times New Roman" w:cs="Times New Roman"/>
          <w:b/>
          <w:color w:val="000000"/>
          <w:sz w:val="24"/>
          <w:szCs w:val="24"/>
        </w:rPr>
        <w:t xml:space="preserve"> urinary oxalate levels:</w:t>
      </w:r>
    </w:p>
    <w:p w14:paraId="3319F45D" w14:textId="067BA416" w:rsidR="00741896" w:rsidRPr="00166CE1" w:rsidRDefault="000E7B50" w:rsidP="00166CE1">
      <w:pPr>
        <w:shd w:val="clear" w:color="auto" w:fill="FFFFFF"/>
        <w:spacing w:before="166" w:after="166" w:line="360" w:lineRule="auto"/>
        <w:jc w:val="both"/>
        <w:rPr>
          <w:rFonts w:ascii="Times New Roman" w:eastAsia="Times New Roman" w:hAnsi="Times New Roman" w:cs="Times New Roman"/>
          <w:color w:val="000000"/>
          <w:sz w:val="24"/>
          <w:szCs w:val="24"/>
        </w:rPr>
      </w:pPr>
      <w:r w:rsidRPr="00166CE1">
        <w:rPr>
          <w:rFonts w:ascii="Times New Roman" w:eastAsia="Times New Roman" w:hAnsi="Times New Roman" w:cs="Times New Roman"/>
          <w:color w:val="000000"/>
          <w:sz w:val="24"/>
          <w:szCs w:val="24"/>
        </w:rPr>
        <w:t xml:space="preserve">We calculated the </w:t>
      </w:r>
      <w:proofErr w:type="gramStart"/>
      <w:r w:rsidRPr="00166CE1">
        <w:rPr>
          <w:rFonts w:ascii="Times New Roman" w:eastAsia="Times New Roman" w:hAnsi="Times New Roman" w:cs="Times New Roman"/>
          <w:color w:val="000000"/>
          <w:sz w:val="24"/>
          <w:szCs w:val="24"/>
        </w:rPr>
        <w:t>24 hour</w:t>
      </w:r>
      <w:proofErr w:type="gramEnd"/>
      <w:r w:rsidRPr="00166CE1">
        <w:rPr>
          <w:rFonts w:ascii="Times New Roman" w:eastAsia="Times New Roman" w:hAnsi="Times New Roman" w:cs="Times New Roman"/>
          <w:color w:val="000000"/>
          <w:sz w:val="24"/>
          <w:szCs w:val="24"/>
        </w:rPr>
        <w:t xml:space="preserve"> urinary concentration of oxalate in our 75 cases using ELISA kits. The procedure is same as for 8OHdG except for the differences in standard concentrations. The final concentration is obtained in ng/ml which is multiplied by total urinary volume to get the 24hr urinary levels and expressed in mg/day. </w:t>
      </w:r>
    </w:p>
    <w:p w14:paraId="1894EF9D" w14:textId="7C4BCACC" w:rsidR="000E7B50" w:rsidRPr="00166CE1" w:rsidRDefault="000E7B50" w:rsidP="00166CE1">
      <w:pPr>
        <w:shd w:val="clear" w:color="auto" w:fill="FFFFFF"/>
        <w:spacing w:before="166" w:after="166" w:line="360" w:lineRule="auto"/>
        <w:rPr>
          <w:rFonts w:ascii="Times New Roman" w:eastAsia="Times New Roman" w:hAnsi="Times New Roman" w:cs="Times New Roman"/>
          <w:color w:val="000000"/>
          <w:sz w:val="24"/>
          <w:szCs w:val="24"/>
        </w:rPr>
      </w:pPr>
      <w:r w:rsidRPr="00166CE1">
        <w:rPr>
          <w:rFonts w:ascii="Times New Roman" w:eastAsia="Times New Roman" w:hAnsi="Times New Roman" w:cs="Times New Roman"/>
          <w:color w:val="000000"/>
          <w:sz w:val="24"/>
          <w:szCs w:val="24"/>
        </w:rPr>
        <w:t xml:space="preserve">Supplementary </w:t>
      </w:r>
      <w:r w:rsidR="00741896" w:rsidRPr="00166CE1">
        <w:rPr>
          <w:rFonts w:ascii="Times New Roman" w:eastAsia="Times New Roman" w:hAnsi="Times New Roman" w:cs="Times New Roman"/>
          <w:color w:val="000000"/>
          <w:sz w:val="24"/>
          <w:szCs w:val="24"/>
        </w:rPr>
        <w:t>F</w:t>
      </w:r>
      <w:r w:rsidRPr="00166CE1">
        <w:rPr>
          <w:rFonts w:ascii="Times New Roman" w:eastAsia="Times New Roman" w:hAnsi="Times New Roman" w:cs="Times New Roman"/>
          <w:color w:val="000000"/>
          <w:sz w:val="24"/>
          <w:szCs w:val="24"/>
        </w:rPr>
        <w:t xml:space="preserve">igure 2: Standard curves for determining oxalate concentration in cases </w:t>
      </w:r>
    </w:p>
    <w:p w14:paraId="24B90F03" w14:textId="77777777" w:rsidR="000E7B50" w:rsidRPr="00166CE1" w:rsidRDefault="000E7B50" w:rsidP="00166CE1">
      <w:pPr>
        <w:shd w:val="clear" w:color="auto" w:fill="FFFFFF"/>
        <w:spacing w:before="166" w:after="166" w:line="360" w:lineRule="auto"/>
        <w:ind w:left="360"/>
        <w:rPr>
          <w:rFonts w:ascii="Times New Roman" w:eastAsia="Times New Roman" w:hAnsi="Times New Roman" w:cs="Times New Roman"/>
          <w:color w:val="000000"/>
          <w:sz w:val="24"/>
          <w:szCs w:val="24"/>
        </w:rPr>
      </w:pPr>
      <w:r w:rsidRPr="00166CE1">
        <w:rPr>
          <w:rFonts w:ascii="Times New Roman" w:hAnsi="Times New Roman" w:cs="Times New Roman"/>
          <w:noProof/>
          <w:sz w:val="24"/>
          <w:szCs w:val="24"/>
        </w:rPr>
        <w:drawing>
          <wp:inline distT="0" distB="0" distL="0" distR="0" wp14:anchorId="2C973ED8" wp14:editId="4152AD86">
            <wp:extent cx="4603750" cy="2774950"/>
            <wp:effectExtent l="0" t="0" r="25400" b="2540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A81A9AC" w14:textId="77777777" w:rsidR="000E7B50" w:rsidRPr="00166CE1" w:rsidRDefault="000E7B50" w:rsidP="00166CE1">
      <w:pPr>
        <w:shd w:val="clear" w:color="auto" w:fill="FFFFFF"/>
        <w:spacing w:before="166" w:after="166" w:line="360" w:lineRule="auto"/>
        <w:ind w:left="360"/>
        <w:rPr>
          <w:rFonts w:ascii="Times New Roman" w:eastAsia="Times New Roman" w:hAnsi="Times New Roman" w:cs="Times New Roman"/>
          <w:color w:val="000000"/>
          <w:sz w:val="24"/>
          <w:szCs w:val="24"/>
        </w:rPr>
      </w:pPr>
    </w:p>
    <w:p w14:paraId="0B57258C" w14:textId="77777777" w:rsidR="000E7B50" w:rsidRPr="00166CE1" w:rsidRDefault="000E7B50" w:rsidP="00166CE1">
      <w:pPr>
        <w:shd w:val="clear" w:color="auto" w:fill="FFFFFF"/>
        <w:spacing w:before="166" w:after="166" w:line="360" w:lineRule="auto"/>
        <w:ind w:left="360"/>
        <w:rPr>
          <w:rFonts w:ascii="Times New Roman" w:eastAsia="Times New Roman" w:hAnsi="Times New Roman" w:cs="Times New Roman"/>
          <w:b/>
          <w:color w:val="000000"/>
          <w:sz w:val="24"/>
          <w:szCs w:val="24"/>
        </w:rPr>
      </w:pPr>
    </w:p>
    <w:p w14:paraId="29481B37" w14:textId="77777777" w:rsidR="000E7B50" w:rsidRPr="00166CE1" w:rsidRDefault="000E7B50" w:rsidP="00166CE1">
      <w:pPr>
        <w:shd w:val="clear" w:color="auto" w:fill="FFFFFF"/>
        <w:spacing w:before="166" w:after="166" w:line="360" w:lineRule="auto"/>
        <w:ind w:left="360"/>
        <w:rPr>
          <w:rFonts w:ascii="Times New Roman" w:eastAsia="Times New Roman" w:hAnsi="Times New Roman" w:cs="Times New Roman"/>
          <w:b/>
          <w:color w:val="000000"/>
          <w:sz w:val="24"/>
          <w:szCs w:val="24"/>
        </w:rPr>
      </w:pPr>
    </w:p>
    <w:p w14:paraId="688DDF61" w14:textId="77777777" w:rsidR="00DE7BEF" w:rsidRPr="00166CE1" w:rsidRDefault="00DE7BEF" w:rsidP="00166CE1">
      <w:pPr>
        <w:shd w:val="clear" w:color="auto" w:fill="FFFFFF"/>
        <w:spacing w:before="166" w:after="166" w:line="360" w:lineRule="auto"/>
        <w:ind w:left="360"/>
        <w:rPr>
          <w:rFonts w:ascii="Times New Roman" w:eastAsia="Times New Roman" w:hAnsi="Times New Roman" w:cs="Times New Roman"/>
          <w:b/>
          <w:color w:val="000000"/>
          <w:sz w:val="24"/>
          <w:szCs w:val="24"/>
        </w:rPr>
      </w:pPr>
    </w:p>
    <w:p w14:paraId="3B9934FB" w14:textId="77777777" w:rsidR="00DE7BEF" w:rsidRPr="00166CE1" w:rsidRDefault="00DE7BEF" w:rsidP="00166CE1">
      <w:pPr>
        <w:shd w:val="clear" w:color="auto" w:fill="FFFFFF"/>
        <w:spacing w:before="166" w:after="166" w:line="360" w:lineRule="auto"/>
        <w:ind w:left="360"/>
        <w:rPr>
          <w:rFonts w:ascii="Times New Roman" w:eastAsia="Times New Roman" w:hAnsi="Times New Roman" w:cs="Times New Roman"/>
          <w:b/>
          <w:color w:val="000000"/>
          <w:sz w:val="24"/>
          <w:szCs w:val="24"/>
        </w:rPr>
      </w:pPr>
    </w:p>
    <w:p w14:paraId="2B19F99B" w14:textId="77777777" w:rsidR="00DE7BEF" w:rsidRPr="00166CE1" w:rsidRDefault="00DE7BEF" w:rsidP="00166CE1">
      <w:pPr>
        <w:shd w:val="clear" w:color="auto" w:fill="FFFFFF"/>
        <w:spacing w:before="166" w:after="166" w:line="360" w:lineRule="auto"/>
        <w:ind w:left="360"/>
        <w:rPr>
          <w:rFonts w:ascii="Times New Roman" w:eastAsia="Times New Roman" w:hAnsi="Times New Roman" w:cs="Times New Roman"/>
          <w:b/>
          <w:color w:val="000000"/>
          <w:sz w:val="24"/>
          <w:szCs w:val="24"/>
        </w:rPr>
      </w:pPr>
    </w:p>
    <w:p w14:paraId="1AE12531" w14:textId="77777777" w:rsidR="00DE7BEF" w:rsidRPr="00166CE1" w:rsidRDefault="00DE7BEF" w:rsidP="00166CE1">
      <w:pPr>
        <w:shd w:val="clear" w:color="auto" w:fill="FFFFFF"/>
        <w:spacing w:before="166" w:after="166" w:line="360" w:lineRule="auto"/>
        <w:ind w:left="360"/>
        <w:rPr>
          <w:rFonts w:ascii="Times New Roman" w:eastAsia="Times New Roman" w:hAnsi="Times New Roman" w:cs="Times New Roman"/>
          <w:b/>
          <w:color w:val="000000"/>
          <w:sz w:val="24"/>
          <w:szCs w:val="24"/>
        </w:rPr>
      </w:pPr>
    </w:p>
    <w:p w14:paraId="58270C54" w14:textId="77777777" w:rsidR="00DE7BEF" w:rsidRPr="00166CE1" w:rsidRDefault="00DE7BEF" w:rsidP="00166CE1">
      <w:pPr>
        <w:shd w:val="clear" w:color="auto" w:fill="FFFFFF"/>
        <w:spacing w:before="166" w:after="166" w:line="360" w:lineRule="auto"/>
        <w:ind w:left="360"/>
        <w:rPr>
          <w:rFonts w:ascii="Times New Roman" w:eastAsia="Times New Roman" w:hAnsi="Times New Roman" w:cs="Times New Roman"/>
          <w:b/>
          <w:color w:val="000000"/>
          <w:sz w:val="24"/>
          <w:szCs w:val="24"/>
        </w:rPr>
      </w:pPr>
    </w:p>
    <w:p w14:paraId="04AF0CC8" w14:textId="77777777" w:rsidR="007A52DA" w:rsidRPr="00166CE1" w:rsidRDefault="007A52DA" w:rsidP="00166CE1">
      <w:pPr>
        <w:shd w:val="clear" w:color="auto" w:fill="FFFFFF"/>
        <w:spacing w:before="166" w:after="166" w:line="360" w:lineRule="auto"/>
        <w:rPr>
          <w:rFonts w:ascii="Times New Roman" w:eastAsia="Times New Roman" w:hAnsi="Times New Roman" w:cs="Times New Roman"/>
          <w:b/>
          <w:color w:val="000000"/>
          <w:sz w:val="24"/>
          <w:szCs w:val="24"/>
        </w:rPr>
      </w:pPr>
    </w:p>
    <w:p w14:paraId="4F2822B0" w14:textId="77777777" w:rsidR="000E7B50" w:rsidRPr="00166CE1" w:rsidRDefault="000E7B50" w:rsidP="00166CE1">
      <w:pPr>
        <w:shd w:val="clear" w:color="auto" w:fill="FFFFFF"/>
        <w:spacing w:before="166" w:after="166" w:line="360" w:lineRule="auto"/>
        <w:rPr>
          <w:rFonts w:ascii="Times New Roman" w:eastAsia="Times New Roman" w:hAnsi="Times New Roman" w:cs="Times New Roman"/>
          <w:b/>
          <w:color w:val="000000"/>
          <w:sz w:val="24"/>
          <w:szCs w:val="24"/>
        </w:rPr>
      </w:pPr>
      <w:r w:rsidRPr="00166CE1">
        <w:rPr>
          <w:rFonts w:ascii="Times New Roman" w:eastAsia="Times New Roman" w:hAnsi="Times New Roman" w:cs="Times New Roman"/>
          <w:b/>
          <w:color w:val="000000"/>
          <w:sz w:val="24"/>
          <w:szCs w:val="24"/>
        </w:rPr>
        <w:lastRenderedPageBreak/>
        <w:t xml:space="preserve">Calculation of </w:t>
      </w:r>
      <w:proofErr w:type="gramStart"/>
      <w:r w:rsidRPr="00166CE1">
        <w:rPr>
          <w:rFonts w:ascii="Times New Roman" w:eastAsia="Times New Roman" w:hAnsi="Times New Roman" w:cs="Times New Roman"/>
          <w:b/>
          <w:color w:val="000000"/>
          <w:sz w:val="24"/>
          <w:szCs w:val="24"/>
        </w:rPr>
        <w:t>24 hour</w:t>
      </w:r>
      <w:proofErr w:type="gramEnd"/>
      <w:r w:rsidRPr="00166CE1">
        <w:rPr>
          <w:rFonts w:ascii="Times New Roman" w:eastAsia="Times New Roman" w:hAnsi="Times New Roman" w:cs="Times New Roman"/>
          <w:b/>
          <w:color w:val="000000"/>
          <w:sz w:val="24"/>
          <w:szCs w:val="24"/>
        </w:rPr>
        <w:t xml:space="preserve"> urinary citrate levels</w:t>
      </w:r>
    </w:p>
    <w:p w14:paraId="51C7AAA1" w14:textId="77777777" w:rsidR="000E7B50" w:rsidRPr="00166CE1" w:rsidRDefault="000E7B50" w:rsidP="00166CE1">
      <w:pPr>
        <w:shd w:val="clear" w:color="auto" w:fill="FFFFFF"/>
        <w:spacing w:before="166" w:after="166" w:line="360" w:lineRule="auto"/>
        <w:jc w:val="both"/>
        <w:rPr>
          <w:rFonts w:ascii="Times New Roman" w:eastAsia="Times New Roman" w:hAnsi="Times New Roman" w:cs="Times New Roman"/>
          <w:color w:val="000000"/>
          <w:sz w:val="24"/>
          <w:szCs w:val="24"/>
        </w:rPr>
      </w:pPr>
      <w:r w:rsidRPr="00166CE1">
        <w:rPr>
          <w:rFonts w:ascii="Times New Roman" w:eastAsia="Times New Roman" w:hAnsi="Times New Roman" w:cs="Times New Roman"/>
          <w:color w:val="000000"/>
          <w:sz w:val="24"/>
          <w:szCs w:val="24"/>
        </w:rPr>
        <w:t xml:space="preserve">We calculated the 24hr urinary concentration of citrate in our 75 cases using ELISA kits. The procedure is same as for 8OHdG except for the differences in standard concentrations. The final concentration is obtained in µg/ml which is multiplied by total urinary volume to get the 24hr urinary levels and expressed in mg/day. </w:t>
      </w:r>
    </w:p>
    <w:p w14:paraId="73E9C384" w14:textId="3F1E3FA0" w:rsidR="000E7B50" w:rsidRPr="00166CE1" w:rsidRDefault="000E7B50" w:rsidP="00166CE1">
      <w:pPr>
        <w:shd w:val="clear" w:color="auto" w:fill="FFFFFF"/>
        <w:spacing w:before="166" w:after="166" w:line="360" w:lineRule="auto"/>
        <w:rPr>
          <w:rFonts w:ascii="Times New Roman" w:eastAsia="Times New Roman" w:hAnsi="Times New Roman" w:cs="Times New Roman"/>
          <w:color w:val="000000"/>
          <w:sz w:val="24"/>
          <w:szCs w:val="24"/>
        </w:rPr>
      </w:pPr>
      <w:r w:rsidRPr="00166CE1">
        <w:rPr>
          <w:rFonts w:ascii="Times New Roman" w:eastAsia="Times New Roman" w:hAnsi="Times New Roman" w:cs="Times New Roman"/>
          <w:color w:val="000000"/>
          <w:sz w:val="24"/>
          <w:szCs w:val="24"/>
        </w:rPr>
        <w:t xml:space="preserve">Supplementary </w:t>
      </w:r>
      <w:r w:rsidR="00741896" w:rsidRPr="00166CE1">
        <w:rPr>
          <w:rFonts w:ascii="Times New Roman" w:eastAsia="Times New Roman" w:hAnsi="Times New Roman" w:cs="Times New Roman"/>
          <w:color w:val="000000"/>
          <w:sz w:val="24"/>
          <w:szCs w:val="24"/>
        </w:rPr>
        <w:t>F</w:t>
      </w:r>
      <w:r w:rsidRPr="00166CE1">
        <w:rPr>
          <w:rFonts w:ascii="Times New Roman" w:eastAsia="Times New Roman" w:hAnsi="Times New Roman" w:cs="Times New Roman"/>
          <w:color w:val="000000"/>
          <w:sz w:val="24"/>
          <w:szCs w:val="24"/>
        </w:rPr>
        <w:t>igure 3: Standard curves for measuring citrate concentration in cases</w:t>
      </w:r>
    </w:p>
    <w:p w14:paraId="3FFAE39D" w14:textId="755A71D9" w:rsidR="00DE7BEF" w:rsidRPr="00166CE1" w:rsidRDefault="000E7B50" w:rsidP="00166CE1">
      <w:pPr>
        <w:shd w:val="clear" w:color="auto" w:fill="FFFFFF"/>
        <w:spacing w:before="166" w:after="166" w:line="360" w:lineRule="auto"/>
        <w:ind w:left="360"/>
        <w:rPr>
          <w:rFonts w:ascii="Times New Roman" w:eastAsia="Times New Roman" w:hAnsi="Times New Roman" w:cs="Times New Roman"/>
          <w:color w:val="000000"/>
          <w:sz w:val="24"/>
          <w:szCs w:val="24"/>
        </w:rPr>
      </w:pPr>
      <w:r w:rsidRPr="00166CE1">
        <w:rPr>
          <w:rFonts w:ascii="Times New Roman" w:hAnsi="Times New Roman" w:cs="Times New Roman"/>
          <w:noProof/>
          <w:sz w:val="24"/>
          <w:szCs w:val="24"/>
        </w:rPr>
        <w:drawing>
          <wp:inline distT="0" distB="0" distL="0" distR="0" wp14:anchorId="1BD7CB58" wp14:editId="40A0A465">
            <wp:extent cx="4584700" cy="2755900"/>
            <wp:effectExtent l="0" t="0" r="25400" b="254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bookmarkStart w:id="0" w:name="_heading=h.gjdgxs" w:colFirst="0" w:colLast="0"/>
      <w:bookmarkEnd w:id="0"/>
    </w:p>
    <w:p w14:paraId="2E303575" w14:textId="77777777" w:rsidR="00DE7BEF" w:rsidRPr="00166CE1" w:rsidRDefault="00DE7BEF" w:rsidP="00166CE1">
      <w:pPr>
        <w:shd w:val="clear" w:color="auto" w:fill="FFFFFF"/>
        <w:spacing w:after="0" w:line="360" w:lineRule="auto"/>
        <w:jc w:val="both"/>
        <w:rPr>
          <w:rFonts w:ascii="Times New Roman" w:hAnsi="Times New Roman" w:cs="Times New Roman"/>
          <w:sz w:val="24"/>
          <w:szCs w:val="24"/>
        </w:rPr>
      </w:pPr>
    </w:p>
    <w:p w14:paraId="5A65BE46" w14:textId="77777777" w:rsidR="00DE7BEF" w:rsidRPr="00166CE1" w:rsidRDefault="00DE7BEF" w:rsidP="00166CE1">
      <w:pPr>
        <w:shd w:val="clear" w:color="auto" w:fill="FFFFFF"/>
        <w:spacing w:after="0" w:line="360" w:lineRule="auto"/>
        <w:jc w:val="both"/>
        <w:rPr>
          <w:rFonts w:ascii="Times New Roman" w:hAnsi="Times New Roman" w:cs="Times New Roman"/>
          <w:sz w:val="24"/>
          <w:szCs w:val="24"/>
        </w:rPr>
      </w:pPr>
    </w:p>
    <w:p w14:paraId="44110150" w14:textId="77777777" w:rsidR="00DE7BEF" w:rsidRPr="00166CE1" w:rsidRDefault="00DE7BEF" w:rsidP="00166CE1">
      <w:pPr>
        <w:shd w:val="clear" w:color="auto" w:fill="FFFFFF"/>
        <w:spacing w:after="0" w:line="360" w:lineRule="auto"/>
        <w:jc w:val="both"/>
        <w:rPr>
          <w:rFonts w:ascii="Times New Roman" w:hAnsi="Times New Roman" w:cs="Times New Roman"/>
          <w:sz w:val="24"/>
          <w:szCs w:val="24"/>
        </w:rPr>
      </w:pPr>
    </w:p>
    <w:p w14:paraId="630CBFB3" w14:textId="77777777" w:rsidR="00DE7BEF" w:rsidRPr="00166CE1" w:rsidRDefault="00DE7BEF" w:rsidP="00166CE1">
      <w:pPr>
        <w:shd w:val="clear" w:color="auto" w:fill="FFFFFF"/>
        <w:spacing w:after="0" w:line="360" w:lineRule="auto"/>
        <w:jc w:val="both"/>
        <w:rPr>
          <w:rFonts w:ascii="Times New Roman" w:hAnsi="Times New Roman" w:cs="Times New Roman"/>
          <w:sz w:val="24"/>
          <w:szCs w:val="24"/>
        </w:rPr>
      </w:pPr>
    </w:p>
    <w:p w14:paraId="0AFF2B01" w14:textId="77777777" w:rsidR="00DE7BEF" w:rsidRPr="00166CE1" w:rsidRDefault="00DE7BEF" w:rsidP="00166CE1">
      <w:pPr>
        <w:shd w:val="clear" w:color="auto" w:fill="FFFFFF"/>
        <w:spacing w:after="0" w:line="360" w:lineRule="auto"/>
        <w:jc w:val="both"/>
        <w:rPr>
          <w:rFonts w:ascii="Times New Roman" w:hAnsi="Times New Roman" w:cs="Times New Roman"/>
          <w:sz w:val="24"/>
          <w:szCs w:val="24"/>
        </w:rPr>
      </w:pPr>
    </w:p>
    <w:p w14:paraId="19779806" w14:textId="77777777" w:rsidR="00DE7BEF" w:rsidRPr="00166CE1" w:rsidRDefault="00DE7BEF" w:rsidP="00166CE1">
      <w:pPr>
        <w:shd w:val="clear" w:color="auto" w:fill="FFFFFF"/>
        <w:spacing w:after="0" w:line="360" w:lineRule="auto"/>
        <w:jc w:val="both"/>
        <w:rPr>
          <w:rFonts w:ascii="Times New Roman" w:hAnsi="Times New Roman" w:cs="Times New Roman"/>
          <w:sz w:val="24"/>
          <w:szCs w:val="24"/>
        </w:rPr>
      </w:pPr>
    </w:p>
    <w:p w14:paraId="2996E16A" w14:textId="77777777" w:rsidR="00DE7BEF" w:rsidRPr="00166CE1" w:rsidRDefault="00DE7BEF" w:rsidP="00166CE1">
      <w:pPr>
        <w:shd w:val="clear" w:color="auto" w:fill="FFFFFF"/>
        <w:spacing w:after="0" w:line="360" w:lineRule="auto"/>
        <w:jc w:val="both"/>
        <w:rPr>
          <w:rFonts w:ascii="Times New Roman" w:hAnsi="Times New Roman" w:cs="Times New Roman"/>
          <w:sz w:val="24"/>
          <w:szCs w:val="24"/>
        </w:rPr>
      </w:pPr>
    </w:p>
    <w:p w14:paraId="223A0630" w14:textId="77777777" w:rsidR="00DE7BEF" w:rsidRPr="00166CE1" w:rsidRDefault="00DE7BEF" w:rsidP="00166CE1">
      <w:pPr>
        <w:shd w:val="clear" w:color="auto" w:fill="FFFFFF"/>
        <w:spacing w:after="0" w:line="360" w:lineRule="auto"/>
        <w:jc w:val="both"/>
        <w:rPr>
          <w:rFonts w:ascii="Times New Roman" w:hAnsi="Times New Roman" w:cs="Times New Roman"/>
          <w:sz w:val="24"/>
          <w:szCs w:val="24"/>
        </w:rPr>
      </w:pPr>
    </w:p>
    <w:sectPr w:rsidR="00DE7BEF" w:rsidRPr="00166CE1" w:rsidSect="00DE7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c0tTA0tDAxMTA1NDNQ0lEKTi0uzszPAykwrAUAETCkwCwAAAA="/>
  </w:docVars>
  <w:rsids>
    <w:rsidRoot w:val="000E7B50"/>
    <w:rsid w:val="00057519"/>
    <w:rsid w:val="000E7B50"/>
    <w:rsid w:val="00166CE1"/>
    <w:rsid w:val="00432323"/>
    <w:rsid w:val="00741896"/>
    <w:rsid w:val="007A52DA"/>
    <w:rsid w:val="00CB4AD3"/>
    <w:rsid w:val="00D01D9E"/>
    <w:rsid w:val="00DE7BEF"/>
    <w:rsid w:val="00EC5A9C"/>
    <w:rsid w:val="00FF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0449"/>
  <w15:docId w15:val="{79D21312-930B-9140-918B-31088E5B2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B50"/>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7B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B50"/>
    <w:rPr>
      <w:rFonts w:ascii="Tahoma" w:hAnsi="Tahoma" w:cs="Tahoma"/>
      <w:sz w:val="16"/>
      <w:szCs w:val="16"/>
    </w:rPr>
  </w:style>
  <w:style w:type="table" w:styleId="TableGrid">
    <w:name w:val="Table Grid"/>
    <w:basedOn w:val="TableNormal"/>
    <w:uiPriority w:val="59"/>
    <w:rsid w:val="007A5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195704">
      <w:bodyDiv w:val="1"/>
      <w:marLeft w:val="0"/>
      <w:marRight w:val="0"/>
      <w:marTop w:val="0"/>
      <w:marBottom w:val="0"/>
      <w:divBdr>
        <w:top w:val="none" w:sz="0" w:space="0" w:color="auto"/>
        <w:left w:val="none" w:sz="0" w:space="0" w:color="auto"/>
        <w:bottom w:val="none" w:sz="0" w:space="0" w:color="auto"/>
        <w:right w:val="none" w:sz="0" w:space="0" w:color="auto"/>
      </w:divBdr>
    </w:div>
    <w:div w:id="101229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ocuments\Thesis%20documents\Final%20kit%20resul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Documents\Thesis%20documents\Final%20kit%20resul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SUS\Documents\Thesis%20documents\Final%20kit%20resul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IN"/>
              <a:t>STANDARD CURVE FOR 8OHdG </a:t>
            </a:r>
          </a:p>
        </c:rich>
      </c:tx>
      <c:overlay val="0"/>
    </c:title>
    <c:autoTitleDeleted val="0"/>
    <c:plotArea>
      <c:layout/>
      <c:scatterChart>
        <c:scatterStyle val="lineMarker"/>
        <c:varyColors val="0"/>
        <c:ser>
          <c:idx val="0"/>
          <c:order val="0"/>
          <c:tx>
            <c:strRef>
              <c:f>Sheet3!$C$24</c:f>
              <c:strCache>
                <c:ptCount val="1"/>
                <c:pt idx="0">
                  <c:v>OD</c:v>
                </c:pt>
              </c:strCache>
            </c:strRef>
          </c:tx>
          <c:dLbls>
            <c:spPr>
              <a:noFill/>
              <a:ln>
                <a:noFill/>
              </a:ln>
              <a:effectLst/>
            </c:sp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Sheet3!$B$25:$B$30</c:f>
              <c:numCache>
                <c:formatCode>General</c:formatCode>
                <c:ptCount val="6"/>
                <c:pt idx="0">
                  <c:v>3600</c:v>
                </c:pt>
                <c:pt idx="1">
                  <c:v>2400</c:v>
                </c:pt>
                <c:pt idx="2">
                  <c:v>1200</c:v>
                </c:pt>
                <c:pt idx="3">
                  <c:v>600</c:v>
                </c:pt>
                <c:pt idx="4">
                  <c:v>300</c:v>
                </c:pt>
                <c:pt idx="5">
                  <c:v>150</c:v>
                </c:pt>
              </c:numCache>
            </c:numRef>
          </c:xVal>
          <c:yVal>
            <c:numRef>
              <c:f>Sheet3!$C$25:$C$30</c:f>
              <c:numCache>
                <c:formatCode>General</c:formatCode>
                <c:ptCount val="6"/>
                <c:pt idx="0">
                  <c:v>0.86499999999999999</c:v>
                </c:pt>
                <c:pt idx="1">
                  <c:v>0.67749999999999999</c:v>
                </c:pt>
                <c:pt idx="2">
                  <c:v>0.60899999999999999</c:v>
                </c:pt>
                <c:pt idx="3">
                  <c:v>0.54849999999999999</c:v>
                </c:pt>
                <c:pt idx="4">
                  <c:v>0.52950000000000008</c:v>
                </c:pt>
                <c:pt idx="5">
                  <c:v>0.51150000000000007</c:v>
                </c:pt>
              </c:numCache>
            </c:numRef>
          </c:yVal>
          <c:smooth val="0"/>
          <c:extLst>
            <c:ext xmlns:c16="http://schemas.microsoft.com/office/drawing/2014/chart" uri="{C3380CC4-5D6E-409C-BE32-E72D297353CC}">
              <c16:uniqueId val="{00000000-E7B0-FF49-96F8-5ADDCAC07E74}"/>
            </c:ext>
          </c:extLst>
        </c:ser>
        <c:dLbls>
          <c:dLblPos val="r"/>
          <c:showLegendKey val="0"/>
          <c:showVal val="1"/>
          <c:showCatName val="0"/>
          <c:showSerName val="0"/>
          <c:showPercent val="0"/>
          <c:showBubbleSize val="0"/>
        </c:dLbls>
        <c:axId val="223446832"/>
        <c:axId val="397459936"/>
      </c:scatterChart>
      <c:valAx>
        <c:axId val="223446832"/>
        <c:scaling>
          <c:orientation val="minMax"/>
        </c:scaling>
        <c:delete val="0"/>
        <c:axPos val="b"/>
        <c:title>
          <c:tx>
            <c:rich>
              <a:bodyPr/>
              <a:lstStyle/>
              <a:p>
                <a:pPr>
                  <a:defRPr/>
                </a:pPr>
                <a:r>
                  <a:rPr lang="en-IN"/>
                  <a:t>8OHdG CONCENTRATION IN URINE(pg/ml)</a:t>
                </a:r>
              </a:p>
            </c:rich>
          </c:tx>
          <c:overlay val="0"/>
        </c:title>
        <c:numFmt formatCode="General" sourceLinked="1"/>
        <c:majorTickMark val="out"/>
        <c:minorTickMark val="none"/>
        <c:tickLblPos val="nextTo"/>
        <c:crossAx val="397459936"/>
        <c:crosses val="autoZero"/>
        <c:crossBetween val="midCat"/>
      </c:valAx>
      <c:valAx>
        <c:axId val="397459936"/>
        <c:scaling>
          <c:orientation val="minMax"/>
          <c:min val="0.5"/>
        </c:scaling>
        <c:delete val="0"/>
        <c:axPos val="l"/>
        <c:majorGridlines/>
        <c:title>
          <c:tx>
            <c:rich>
              <a:bodyPr rot="-5400000" vert="horz"/>
              <a:lstStyle/>
              <a:p>
                <a:pPr>
                  <a:defRPr/>
                </a:pPr>
                <a:r>
                  <a:rPr lang="en-IN"/>
                  <a:t>OPTICAL DENSITY</a:t>
                </a:r>
              </a:p>
            </c:rich>
          </c:tx>
          <c:overlay val="0"/>
        </c:title>
        <c:numFmt formatCode="General" sourceLinked="1"/>
        <c:majorTickMark val="out"/>
        <c:minorTickMark val="none"/>
        <c:tickLblPos val="nextTo"/>
        <c:crossAx val="223446832"/>
        <c:crosses val="autoZero"/>
        <c:crossBetween val="midCat"/>
        <c:majorUnit val="0.1"/>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a:pPr>
            <a:r>
              <a:rPr lang="en-US"/>
              <a:t>STANDARD CURVE FOR OXALATE</a:t>
            </a:r>
          </a:p>
        </c:rich>
      </c:tx>
      <c:overlay val="0"/>
    </c:title>
    <c:autoTitleDeleted val="0"/>
    <c:plotArea>
      <c:layout/>
      <c:scatterChart>
        <c:scatterStyle val="lineMarker"/>
        <c:varyColors val="0"/>
        <c:ser>
          <c:idx val="0"/>
          <c:order val="0"/>
          <c:tx>
            <c:strRef>
              <c:f>Sheet2!$E$22</c:f>
              <c:strCache>
                <c:ptCount val="1"/>
                <c:pt idx="0">
                  <c:v>OD</c:v>
                </c:pt>
              </c:strCache>
            </c:strRef>
          </c:tx>
          <c:dLbls>
            <c:spPr>
              <a:noFill/>
              <a:ln>
                <a:noFill/>
              </a:ln>
              <a:effectLst/>
            </c:sp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Sheet2!$D$23:$D$27</c:f>
              <c:numCache>
                <c:formatCode>General</c:formatCode>
                <c:ptCount val="5"/>
                <c:pt idx="0">
                  <c:v>4800</c:v>
                </c:pt>
                <c:pt idx="1">
                  <c:v>3200</c:v>
                </c:pt>
                <c:pt idx="2">
                  <c:v>1600</c:v>
                </c:pt>
                <c:pt idx="3">
                  <c:v>800</c:v>
                </c:pt>
                <c:pt idx="4">
                  <c:v>400</c:v>
                </c:pt>
              </c:numCache>
            </c:numRef>
          </c:xVal>
          <c:yVal>
            <c:numRef>
              <c:f>Sheet2!$E$23:$E$27</c:f>
              <c:numCache>
                <c:formatCode>General</c:formatCode>
                <c:ptCount val="5"/>
                <c:pt idx="0">
                  <c:v>0.29199999999999998</c:v>
                </c:pt>
                <c:pt idx="1">
                  <c:v>0.27200000000000002</c:v>
                </c:pt>
                <c:pt idx="2">
                  <c:v>0.16500000000000001</c:v>
                </c:pt>
                <c:pt idx="3">
                  <c:v>7.1999999999999995E-2</c:v>
                </c:pt>
                <c:pt idx="4">
                  <c:v>5.5E-2</c:v>
                </c:pt>
              </c:numCache>
            </c:numRef>
          </c:yVal>
          <c:smooth val="0"/>
          <c:extLst>
            <c:ext xmlns:c16="http://schemas.microsoft.com/office/drawing/2014/chart" uri="{C3380CC4-5D6E-409C-BE32-E72D297353CC}">
              <c16:uniqueId val="{00000000-1108-034C-8727-55CE16DD0252}"/>
            </c:ext>
          </c:extLst>
        </c:ser>
        <c:dLbls>
          <c:dLblPos val="r"/>
          <c:showLegendKey val="0"/>
          <c:showVal val="1"/>
          <c:showCatName val="0"/>
          <c:showSerName val="0"/>
          <c:showPercent val="0"/>
          <c:showBubbleSize val="0"/>
        </c:dLbls>
        <c:axId val="397456800"/>
        <c:axId val="397459544"/>
      </c:scatterChart>
      <c:valAx>
        <c:axId val="397456800"/>
        <c:scaling>
          <c:orientation val="minMax"/>
        </c:scaling>
        <c:delete val="0"/>
        <c:axPos val="b"/>
        <c:title>
          <c:tx>
            <c:rich>
              <a:bodyPr/>
              <a:lstStyle/>
              <a:p>
                <a:pPr>
                  <a:defRPr/>
                </a:pPr>
                <a:r>
                  <a:rPr lang="en-IN"/>
                  <a:t>OXALATE CONCENTRATION(ng/ml)</a:t>
                </a:r>
              </a:p>
            </c:rich>
          </c:tx>
          <c:overlay val="0"/>
        </c:title>
        <c:numFmt formatCode="General" sourceLinked="1"/>
        <c:majorTickMark val="out"/>
        <c:minorTickMark val="none"/>
        <c:tickLblPos val="nextTo"/>
        <c:crossAx val="397459544"/>
        <c:crosses val="autoZero"/>
        <c:crossBetween val="midCat"/>
      </c:valAx>
      <c:valAx>
        <c:axId val="397459544"/>
        <c:scaling>
          <c:orientation val="minMax"/>
        </c:scaling>
        <c:delete val="0"/>
        <c:axPos val="l"/>
        <c:title>
          <c:tx>
            <c:rich>
              <a:bodyPr rot="-5400000" vert="horz"/>
              <a:lstStyle/>
              <a:p>
                <a:pPr>
                  <a:defRPr/>
                </a:pPr>
                <a:r>
                  <a:rPr lang="en-IN"/>
                  <a:t>OPTICAL DENSITY</a:t>
                </a:r>
              </a:p>
            </c:rich>
          </c:tx>
          <c:overlay val="0"/>
        </c:title>
        <c:numFmt formatCode="General" sourceLinked="1"/>
        <c:majorTickMark val="out"/>
        <c:minorTickMark val="none"/>
        <c:tickLblPos val="nextTo"/>
        <c:crossAx val="397456800"/>
        <c:crosses val="autoZero"/>
        <c:crossBetween val="midCat"/>
      </c:valAx>
    </c:plotArea>
    <c:plotVisOnly val="1"/>
    <c:dispBlanksAs val="gap"/>
    <c:showDLblsOverMax val="0"/>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IN"/>
              <a:t>STANDARD CURVE FOR CITRATE</a:t>
            </a:r>
          </a:p>
        </c:rich>
      </c:tx>
      <c:overlay val="0"/>
    </c:title>
    <c:autoTitleDeleted val="0"/>
    <c:plotArea>
      <c:layout/>
      <c:scatterChart>
        <c:scatterStyle val="lineMarker"/>
        <c:varyColors val="0"/>
        <c:ser>
          <c:idx val="0"/>
          <c:order val="0"/>
          <c:tx>
            <c:strRef>
              <c:f>Sheet1!$D$10</c:f>
              <c:strCache>
                <c:ptCount val="1"/>
                <c:pt idx="0">
                  <c:v>OD</c:v>
                </c:pt>
              </c:strCache>
            </c:strRef>
          </c:tx>
          <c:dLbls>
            <c:spPr>
              <a:noFill/>
              <a:ln>
                <a:noFill/>
              </a:ln>
              <a:effectLst/>
            </c:sp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Sheet1!$C$11:$C$15</c:f>
              <c:numCache>
                <c:formatCode>General</c:formatCode>
                <c:ptCount val="5"/>
                <c:pt idx="0">
                  <c:v>360</c:v>
                </c:pt>
                <c:pt idx="1">
                  <c:v>240</c:v>
                </c:pt>
                <c:pt idx="2">
                  <c:v>120</c:v>
                </c:pt>
                <c:pt idx="3">
                  <c:v>60</c:v>
                </c:pt>
                <c:pt idx="4">
                  <c:v>30</c:v>
                </c:pt>
              </c:numCache>
            </c:numRef>
          </c:xVal>
          <c:yVal>
            <c:numRef>
              <c:f>Sheet1!$D$11:$D$15</c:f>
              <c:numCache>
                <c:formatCode>General</c:formatCode>
                <c:ptCount val="5"/>
                <c:pt idx="0">
                  <c:v>0.26</c:v>
                </c:pt>
                <c:pt idx="1">
                  <c:v>0.158</c:v>
                </c:pt>
                <c:pt idx="2">
                  <c:v>0.06</c:v>
                </c:pt>
                <c:pt idx="3">
                  <c:v>0.04</c:v>
                </c:pt>
                <c:pt idx="4">
                  <c:v>0.03</c:v>
                </c:pt>
              </c:numCache>
            </c:numRef>
          </c:yVal>
          <c:smooth val="0"/>
          <c:extLst>
            <c:ext xmlns:c16="http://schemas.microsoft.com/office/drawing/2014/chart" uri="{C3380CC4-5D6E-409C-BE32-E72D297353CC}">
              <c16:uniqueId val="{00000000-2ABE-4A42-8C83-6CC7105100AC}"/>
            </c:ext>
          </c:extLst>
        </c:ser>
        <c:dLbls>
          <c:dLblPos val="r"/>
          <c:showLegendKey val="0"/>
          <c:showVal val="1"/>
          <c:showCatName val="0"/>
          <c:showSerName val="0"/>
          <c:showPercent val="0"/>
          <c:showBubbleSize val="0"/>
        </c:dLbls>
        <c:axId val="397460328"/>
        <c:axId val="397454840"/>
      </c:scatterChart>
      <c:valAx>
        <c:axId val="397460328"/>
        <c:scaling>
          <c:orientation val="minMax"/>
        </c:scaling>
        <c:delete val="0"/>
        <c:axPos val="b"/>
        <c:numFmt formatCode="General" sourceLinked="1"/>
        <c:majorTickMark val="out"/>
        <c:minorTickMark val="none"/>
        <c:tickLblPos val="nextTo"/>
        <c:crossAx val="397454840"/>
        <c:crosses val="autoZero"/>
        <c:crossBetween val="midCat"/>
      </c:valAx>
      <c:valAx>
        <c:axId val="397454840"/>
        <c:scaling>
          <c:orientation val="minMax"/>
        </c:scaling>
        <c:delete val="0"/>
        <c:axPos val="l"/>
        <c:title>
          <c:tx>
            <c:rich>
              <a:bodyPr rot="-5400000" vert="horz"/>
              <a:lstStyle/>
              <a:p>
                <a:pPr>
                  <a:defRPr/>
                </a:pPr>
                <a:r>
                  <a:rPr lang="en-IN"/>
                  <a:t>OPTICAL</a:t>
                </a:r>
                <a:r>
                  <a:rPr lang="en-IN" baseline="0"/>
                  <a:t> DENSITY</a:t>
                </a:r>
                <a:endParaRPr lang="en-IN"/>
              </a:p>
            </c:rich>
          </c:tx>
          <c:overlay val="0"/>
        </c:title>
        <c:numFmt formatCode="General" sourceLinked="1"/>
        <c:majorTickMark val="out"/>
        <c:minorTickMark val="none"/>
        <c:tickLblPos val="nextTo"/>
        <c:crossAx val="397460328"/>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Microsoft Office User</cp:lastModifiedBy>
  <cp:revision>9</cp:revision>
  <dcterms:created xsi:type="dcterms:W3CDTF">2021-05-19T09:36:00Z</dcterms:created>
  <dcterms:modified xsi:type="dcterms:W3CDTF">2023-09-13T01:21:00Z</dcterms:modified>
</cp:coreProperties>
</file>