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240" w:lineRule="auto"/>
        <w:rPr>
          <w:rFonts w:ascii="Times New Roman" w:hAnsi="Times New Roman" w:eastAsia="宋体" w:cs="Times New Roman"/>
          <w:b/>
          <w:sz w:val="24"/>
          <w:szCs w:val="24"/>
          <w:lang w:val="en-US" w:eastAsia="zh-CN"/>
          <w14:ligatures w14:val="none"/>
        </w:rPr>
      </w:pPr>
      <w:bookmarkStart w:id="1" w:name="_GoBack"/>
      <w:bookmarkEnd w:id="1"/>
      <w:r>
        <w:rPr>
          <w:rFonts w:ascii="Times New Roman" w:hAnsi="Times New Roman" w:eastAsia="宋体" w:cs="Times New Roman"/>
          <w:b/>
          <w:sz w:val="24"/>
          <w:szCs w:val="24"/>
          <w:lang w:val="en-US" w:eastAsia="zh-CN"/>
          <w14:ligatures w14:val="none"/>
        </w:rPr>
        <w:t xml:space="preserve">Supplementary Table 2 Clinical follow-up assessment of the </w:t>
      </w:r>
      <w:r>
        <w:rPr>
          <w:rFonts w:hint="default" w:ascii="Times New Roman" w:hAnsi="Times New Roman" w:eastAsia="宋体" w:cs="Times New Roman"/>
          <w:b/>
          <w:i w:val="0"/>
          <w:iCs w:val="0"/>
          <w:color w:val="auto"/>
          <w:kern w:val="2"/>
          <w:sz w:val="24"/>
          <w:szCs w:val="24"/>
          <w:u w:val="none"/>
          <w:lang w:val="en-US" w:eastAsia="zh-CN" w:bidi="ar"/>
          <w14:ligatures w14:val="none"/>
        </w:rPr>
        <w:t>6536</w:t>
      </w:r>
      <w:r>
        <w:rPr>
          <w:rFonts w:ascii="Times New Roman" w:hAnsi="Times New Roman" w:eastAsia="宋体" w:cs="Times New Roman"/>
          <w:b/>
          <w:sz w:val="24"/>
          <w:szCs w:val="24"/>
          <w:lang w:val="en-US" w:eastAsia="zh-CN"/>
          <w14:ligatures w14:val="none"/>
        </w:rPr>
        <w:t xml:space="preserve"> fetuses with low risk of NIPS for aneuploidy and CNVs</w:t>
      </w:r>
    </w:p>
    <w:tbl>
      <w:tblPr>
        <w:tblStyle w:val="4"/>
        <w:tblW w:w="1468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1003"/>
        <w:gridCol w:w="1117"/>
        <w:gridCol w:w="3463"/>
        <w:gridCol w:w="2544"/>
        <w:gridCol w:w="2372"/>
        <w:gridCol w:w="1043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Ultrasound category</w:t>
            </w:r>
          </w:p>
        </w:tc>
        <w:tc>
          <w:tcPr>
            <w:tcW w:w="100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Low risk of NIPS</w:t>
            </w: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Normal after birth</w:t>
            </w:r>
          </w:p>
        </w:tc>
        <w:tc>
          <w:tcPr>
            <w:tcW w:w="34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TOP/intrauterine fetal death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Birth with defects</w:t>
            </w:r>
          </w:p>
        </w:tc>
        <w:tc>
          <w:tcPr>
            <w:tcW w:w="23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Confirmed CNVs</w:t>
            </w:r>
          </w:p>
        </w:tc>
        <w:tc>
          <w:tcPr>
            <w:tcW w:w="10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Premature delivery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Loss of follow-up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Multiple soft markers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189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171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(TOP, nuchal cord)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EIF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5340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4867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(TOP, personal reasons)                      1 (intrauterine fetal death, 24W)             1 (intrauterine fetal death, 28W)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 (neonatal death)                 3 (congenital heart disease)   14 (patent foramen ovale)      4 (developmental delay)         8 (hemangioma)                    1 (cleft lip)                            1 (hypertonia)                       1 (infant ear malformations)   2 (syndactyly)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428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Mild ventriculomegaly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(birth with moderate ventriculomegaly, confirmed CNVs)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del12q15q22(26Mb),VUS, Born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CPCs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544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(TOP, ultrasound follow-up revealed structural malformations after NIPS )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(developmental delay)         1 (hypertonia)                       1 (congenital heart disease)      1 (patent foramen ovale)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Echogenic bowel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Mild pyelectasis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154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140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(hydronephrosis)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SUA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116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(TOP, unclear reason)                         1 (TOP, oligohydramnios after NIPS)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(birth with mild ventriculomegaly, confirmed CNVs)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dup5q21.3(1.43Mb),VUS, Born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Absent or hypoplastic nasal bone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48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(TOP, cleft lip and palate after NIPS)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(infant ear malformations)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ARSA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 (TOP, confirmed  P CNVs after NIPS)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16p11.2 recurrent microdeletion , P CNVs, TOP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Total (n)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6536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5934</w:t>
            </w:r>
          </w:p>
        </w:tc>
        <w:tc>
          <w:tcPr>
            <w:tcW w:w="34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44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539 </w:t>
            </w:r>
          </w:p>
        </w:tc>
      </w:tr>
    </w:tbl>
    <w:p>
      <w:pPr>
        <w:spacing w:after="0" w:line="240" w:lineRule="auto"/>
      </w:pP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NIPS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noninvasive prenatal screening,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CNV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copy-</w:t>
      </w:r>
      <w:bookmarkStart w:id="0" w:name="_Hlk141195223"/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>number variant</w:t>
      </w:r>
      <w:bookmarkEnd w:id="0"/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TOP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termination of pregnancy,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EIF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echogenic intracardiac focus,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CPC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choroid plexus cysts,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 xml:space="preserve"> SUA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single umbilical artery,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ARSA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aberrant right subclavian artery,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P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pathogenic, </w:t>
      </w:r>
      <w:r>
        <w:rPr>
          <w:rFonts w:ascii="Times New Roman" w:hAnsi="Times New Roman" w:eastAsia="宋体" w:cs="Times New Roman"/>
          <w:bCs/>
          <w:i/>
          <w:iCs/>
          <w:sz w:val="15"/>
          <w:szCs w:val="15"/>
          <w:lang w:val="en-US" w:eastAsia="zh-CN"/>
          <w14:ligatures w14:val="none"/>
        </w:rPr>
        <w:t>VUS</w:t>
      </w:r>
      <w:r>
        <w:rPr>
          <w:rFonts w:ascii="Times New Roman" w:hAnsi="Times New Roman" w:eastAsia="宋体" w:cs="Times New Roman"/>
          <w:bCs/>
          <w:sz w:val="15"/>
          <w:szCs w:val="15"/>
          <w:lang w:val="en-US" w:eastAsia="zh-CN"/>
          <w14:ligatures w14:val="none"/>
        </w:rPr>
        <w:t xml:space="preserve"> variant of uncertain significance, </w:t>
      </w:r>
    </w:p>
    <w:p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mMjllNjlhZjZkNWE1NDJkYjNlM2U1N2UwYWEzYjkifQ=="/>
  </w:docVars>
  <w:rsids>
    <w:rsidRoot w:val="007C156B"/>
    <w:rsid w:val="002D5E45"/>
    <w:rsid w:val="004977D2"/>
    <w:rsid w:val="005843C2"/>
    <w:rsid w:val="007C156B"/>
    <w:rsid w:val="00A964BA"/>
    <w:rsid w:val="00AA62CC"/>
    <w:rsid w:val="00D83330"/>
    <w:rsid w:val="00EF5DE0"/>
    <w:rsid w:val="1879692D"/>
    <w:rsid w:val="1AED42CA"/>
    <w:rsid w:val="24EC5DD1"/>
    <w:rsid w:val="257D2BB8"/>
    <w:rsid w:val="2D403258"/>
    <w:rsid w:val="31196A6C"/>
    <w:rsid w:val="389A4282"/>
    <w:rsid w:val="39091B5A"/>
    <w:rsid w:val="5DD91549"/>
    <w:rsid w:val="5E070FAB"/>
    <w:rsid w:val="61A44D62"/>
    <w:rsid w:val="72B0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GB" w:eastAsia="ja-JP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nhideWhenUsed/>
    <w:uiPriority w:val="99"/>
    <w:pPr>
      <w:spacing w:line="240" w:lineRule="auto"/>
    </w:pPr>
    <w:rPr>
      <w:sz w:val="20"/>
      <w:szCs w:val="20"/>
    </w:rPr>
  </w:style>
  <w:style w:type="paragraph" w:styleId="3">
    <w:name w:val="annotation subject"/>
    <w:basedOn w:val="2"/>
    <w:next w:val="2"/>
    <w:link w:val="9"/>
    <w:semiHidden/>
    <w:unhideWhenUsed/>
    <w:uiPriority w:val="99"/>
    <w:rPr>
      <w:b/>
      <w:bCs/>
    </w:rPr>
  </w:style>
  <w:style w:type="character" w:styleId="6">
    <w:name w:val="annotation reference"/>
    <w:basedOn w:val="5"/>
    <w:semiHidden/>
    <w:unhideWhenUsed/>
    <w:uiPriority w:val="99"/>
    <w:rPr>
      <w:sz w:val="16"/>
      <w:szCs w:val="16"/>
    </w:rPr>
  </w:style>
  <w:style w:type="paragraph" w:customStyle="1" w:styleId="7">
    <w:name w:val="Revision"/>
    <w:hidden/>
    <w:semiHidden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2"/>
      <w:szCs w:val="22"/>
      <w:lang w:val="en-GB" w:eastAsia="ja-JP" w:bidi="ar-SA"/>
      <w14:ligatures w14:val="standardContextual"/>
    </w:rPr>
  </w:style>
  <w:style w:type="character" w:customStyle="1" w:styleId="8">
    <w:name w:val="Comment Text Char"/>
    <w:basedOn w:val="5"/>
    <w:link w:val="2"/>
    <w:qFormat/>
    <w:uiPriority w:val="99"/>
    <w:rPr>
      <w:sz w:val="20"/>
      <w:szCs w:val="20"/>
    </w:rPr>
  </w:style>
  <w:style w:type="character" w:customStyle="1" w:styleId="9">
    <w:name w:val="Comment Subject Char"/>
    <w:basedOn w:val="8"/>
    <w:link w:val="3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1415</Characters>
  <Lines>2</Lines>
  <Paragraphs>1</Paragraphs>
  <TotalTime>0</TotalTime>
  <ScaleCrop>false</ScaleCrop>
  <LinksUpToDate>false</LinksUpToDate>
  <CharactersWithSpaces>1804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2023-07-25T01:25:00Z</dcterms:created>
  <dc:creator>Author</dc:creator>
  <cp:lastModifiedBy>云云</cp:lastModifiedBy>
  <dcterms:modified xsi:type="dcterms:W3CDTF">2023-08-02T09:02:41Z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6FA25066DC224C65AEE0A4DF51FE2798_12</vt:lpwstr>
  </property>
</Properties>
</file>