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0F0E3" w14:textId="77777777" w:rsidR="005D7850" w:rsidRPr="00762B30" w:rsidRDefault="005D7850">
      <w:pPr>
        <w:spacing w:after="120"/>
        <w:jc w:val="both"/>
        <w:rPr>
          <w:rFonts w:asciiTheme="minorHAnsi" w:hAnsiTheme="minorHAnsi" w:cstheme="minorHAnsi"/>
          <w:b/>
          <w:color w:val="000000"/>
          <w:sz w:val="22"/>
          <w:szCs w:val="22"/>
        </w:rPr>
      </w:pPr>
      <w:r w:rsidRPr="0098272C">
        <w:rPr>
          <w:rFonts w:asciiTheme="minorHAnsi" w:hAnsiTheme="minorHAnsi" w:cstheme="minorHAnsi"/>
          <w:b/>
          <w:color w:val="000000"/>
          <w:sz w:val="22"/>
          <w:szCs w:val="22"/>
        </w:rPr>
        <w:t>Appendix</w:t>
      </w:r>
    </w:p>
    <w:p w14:paraId="0DC70054" w14:textId="77777777" w:rsidR="00013656" w:rsidRDefault="00013656">
      <w:pPr>
        <w:spacing w:after="120"/>
        <w:jc w:val="both"/>
        <w:rPr>
          <w:rFonts w:asciiTheme="minorHAnsi" w:hAnsiTheme="minorHAnsi" w:cstheme="minorHAnsi"/>
          <w:color w:val="000000"/>
          <w:sz w:val="22"/>
          <w:szCs w:val="22"/>
        </w:rPr>
      </w:pPr>
    </w:p>
    <w:p w14:paraId="3376302C" w14:textId="0063BFF0" w:rsidR="005D7850" w:rsidRPr="00013656" w:rsidRDefault="003D59BC">
      <w:pPr>
        <w:spacing w:after="120"/>
        <w:jc w:val="both"/>
        <w:rPr>
          <w:rFonts w:asciiTheme="minorHAnsi" w:hAnsiTheme="minorHAnsi" w:cstheme="minorHAnsi"/>
          <w:color w:val="000000"/>
          <w:sz w:val="22"/>
          <w:szCs w:val="22"/>
        </w:rPr>
      </w:pPr>
      <w:r w:rsidRPr="00013656">
        <w:rPr>
          <w:rFonts w:asciiTheme="minorHAnsi" w:hAnsiTheme="minorHAnsi" w:cstheme="minorHAnsi"/>
          <w:color w:val="000000"/>
          <w:sz w:val="22"/>
          <w:szCs w:val="22"/>
        </w:rPr>
        <w:t>Table A1 - Descriptive statistics, municipalities in Ordinary Statute Regions (n = 6565)</w:t>
      </w:r>
    </w:p>
    <w:p w14:paraId="5822DD8D" w14:textId="77777777" w:rsidR="003D59BC" w:rsidRPr="00762B30" w:rsidRDefault="003D59BC">
      <w:pPr>
        <w:spacing w:after="120"/>
        <w:jc w:val="both"/>
        <w:rPr>
          <w:rFonts w:asciiTheme="minorHAnsi" w:hAnsiTheme="minorHAnsi" w:cstheme="minorHAnsi"/>
          <w:color w:val="000000"/>
          <w:sz w:val="22"/>
          <w:szCs w:val="22"/>
        </w:rPr>
      </w:pPr>
      <w:r w:rsidRPr="009C45E8">
        <w:rPr>
          <w:noProof/>
        </w:rPr>
        <w:drawing>
          <wp:inline distT="0" distB="0" distL="0" distR="0" wp14:anchorId="4ED5B06A" wp14:editId="17A8C54C">
            <wp:extent cx="5072645" cy="415390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2850" cy="4154073"/>
                    </a:xfrm>
                    <a:prstGeom prst="rect">
                      <a:avLst/>
                    </a:prstGeom>
                    <a:noFill/>
                    <a:ln>
                      <a:noFill/>
                    </a:ln>
                  </pic:spPr>
                </pic:pic>
              </a:graphicData>
            </a:graphic>
          </wp:inline>
        </w:drawing>
      </w:r>
    </w:p>
    <w:p w14:paraId="4C9A54B2" w14:textId="77777777" w:rsidR="003D59BC" w:rsidRPr="00D62A0D" w:rsidRDefault="003D59BC">
      <w:pPr>
        <w:spacing w:after="120"/>
        <w:jc w:val="both"/>
        <w:rPr>
          <w:rFonts w:asciiTheme="minorHAnsi" w:hAnsiTheme="minorHAnsi" w:cstheme="minorHAnsi"/>
          <w:color w:val="000000"/>
          <w:sz w:val="22"/>
          <w:szCs w:val="22"/>
        </w:rPr>
      </w:pPr>
    </w:p>
    <w:p w14:paraId="0C7B552F" w14:textId="77777777" w:rsidR="00A371C2" w:rsidRDefault="00A371C2" w:rsidP="00A371C2">
      <w:pPr>
        <w:rPr>
          <w:rFonts w:asciiTheme="minorHAnsi" w:hAnsiTheme="minorHAnsi" w:cstheme="minorHAnsi"/>
          <w:b/>
          <w:bCs/>
          <w:color w:val="000000"/>
          <w:sz w:val="22"/>
          <w:szCs w:val="22"/>
        </w:rPr>
      </w:pPr>
    </w:p>
    <w:p w14:paraId="35A1A346" w14:textId="6B21D87E" w:rsidR="00A371C2" w:rsidRDefault="008F3152" w:rsidP="00A371C2">
      <w:pPr>
        <w:rPr>
          <w:rFonts w:asciiTheme="minorHAnsi" w:hAnsiTheme="minorHAnsi" w:cstheme="minorHAnsi"/>
          <w:b/>
          <w:color w:val="000000"/>
          <w:sz w:val="22"/>
          <w:szCs w:val="22"/>
        </w:rPr>
      </w:pPr>
      <w:r w:rsidRPr="00762B30">
        <w:rPr>
          <w:rFonts w:asciiTheme="minorHAnsi" w:hAnsiTheme="minorHAnsi" w:cstheme="minorHAnsi"/>
          <w:b/>
          <w:bCs/>
          <w:color w:val="000000"/>
          <w:sz w:val="22"/>
          <w:szCs w:val="22"/>
        </w:rPr>
        <w:t>Legal definition of financial distress of local governments according to Italian legislation</w:t>
      </w:r>
    </w:p>
    <w:p w14:paraId="75A236EB" w14:textId="77777777" w:rsidR="00A371C2" w:rsidRDefault="00A371C2" w:rsidP="00A371C2">
      <w:pPr>
        <w:rPr>
          <w:rFonts w:asciiTheme="minorHAnsi" w:hAnsiTheme="minorHAnsi" w:cstheme="minorHAnsi"/>
          <w:b/>
          <w:color w:val="000000"/>
          <w:sz w:val="22"/>
          <w:szCs w:val="22"/>
        </w:rPr>
      </w:pPr>
    </w:p>
    <w:p w14:paraId="6C237B5C" w14:textId="15018043" w:rsidR="008F3152" w:rsidRPr="00DF6E98" w:rsidRDefault="008F3152" w:rsidP="00DF6E98">
      <w:pPr>
        <w:spacing w:after="120"/>
        <w:jc w:val="both"/>
        <w:rPr>
          <w:rFonts w:asciiTheme="minorHAnsi" w:hAnsiTheme="minorHAnsi" w:cstheme="minorHAnsi"/>
          <w:color w:val="000000"/>
          <w:sz w:val="22"/>
          <w:szCs w:val="22"/>
        </w:rPr>
      </w:pPr>
      <w:r w:rsidRPr="00762B30">
        <w:rPr>
          <w:rFonts w:asciiTheme="minorHAnsi" w:hAnsiTheme="minorHAnsi" w:cstheme="minorHAnsi"/>
          <w:color w:val="000000"/>
          <w:sz w:val="22"/>
          <w:szCs w:val="22"/>
        </w:rPr>
        <w:t>In Italy, the legal framework (Legislative decree 267/2000) provides for three different insolvency regimes for municipalities: financial default (</w:t>
      </w:r>
      <w:r w:rsidRPr="00DF6E98">
        <w:rPr>
          <w:rFonts w:asciiTheme="minorHAnsi" w:hAnsiTheme="minorHAnsi" w:cstheme="minorHAnsi"/>
          <w:color w:val="000000"/>
          <w:sz w:val="22"/>
          <w:szCs w:val="22"/>
        </w:rPr>
        <w:t>dissesto), intermediate pre-default (pre-dissesto)</w:t>
      </w:r>
      <w:r w:rsidRPr="00762B30">
        <w:rPr>
          <w:rFonts w:asciiTheme="minorHAnsi" w:hAnsiTheme="minorHAnsi" w:cstheme="minorHAnsi"/>
          <w:color w:val="000000"/>
          <w:sz w:val="22"/>
          <w:szCs w:val="22"/>
        </w:rPr>
        <w:t xml:space="preserve"> and pluriannual re-equilibrium procedure (</w:t>
      </w:r>
      <w:r w:rsidRPr="00DF6E98">
        <w:rPr>
          <w:rFonts w:asciiTheme="minorHAnsi" w:hAnsiTheme="minorHAnsi" w:cstheme="minorHAnsi"/>
          <w:color w:val="000000"/>
          <w:sz w:val="22"/>
          <w:szCs w:val="22"/>
        </w:rPr>
        <w:t>deficitarietà strutturale).</w:t>
      </w:r>
      <w:r w:rsidRPr="00762B30">
        <w:rPr>
          <w:rFonts w:asciiTheme="minorHAnsi" w:hAnsiTheme="minorHAnsi" w:cstheme="minorHAnsi"/>
          <w:color w:val="000000"/>
          <w:sz w:val="22"/>
          <w:szCs w:val="22"/>
        </w:rPr>
        <w:t xml:space="preserve"> The different procedures of resolution of subnational financial crises usually comprises some form of debt restructuring, supplemented with subnational fiscal adjustment plans, administrative intervention by a higher level of government, or judicial procedures for insolvency and bankruptcy.</w:t>
      </w:r>
    </w:p>
    <w:p w14:paraId="28407AB9" w14:textId="77777777" w:rsidR="008F3152" w:rsidRPr="00762B30" w:rsidRDefault="008F3152" w:rsidP="008F3152">
      <w:pPr>
        <w:spacing w:after="120"/>
        <w:jc w:val="both"/>
        <w:rPr>
          <w:rFonts w:asciiTheme="minorHAnsi" w:hAnsiTheme="minorHAnsi" w:cstheme="minorHAnsi"/>
          <w:color w:val="000000"/>
          <w:sz w:val="22"/>
          <w:szCs w:val="22"/>
        </w:rPr>
      </w:pPr>
      <w:r w:rsidRPr="00762B30">
        <w:rPr>
          <w:rFonts w:asciiTheme="minorHAnsi" w:hAnsiTheme="minorHAnsi" w:cstheme="minorHAnsi"/>
          <w:color w:val="000000"/>
          <w:sz w:val="22"/>
          <w:szCs w:val="22"/>
        </w:rPr>
        <w:t xml:space="preserve">In particular, local governments under “pluriannual re-equilibrium procedure” are those where there is evidence of “severe and incontrovertible conditions of disequilibrium” as signalled by a set of specific financial indicators monitored each year. When more than half of these parameters (referred to past final accounts and not to the budget) are out of the acceptable ranges, local governments are subject to controls by the Department of the Interior in order to prevent insolvency. Controls concern personnel expenditures, including hiring of new staff, and coverage of costs for services provision by means of fees and tariffs. In the case of failing in meeting the rules, a reduction in funds from central government is inflicted. Controls cease as </w:t>
      </w:r>
      <w:r w:rsidRPr="00762B30">
        <w:rPr>
          <w:rFonts w:asciiTheme="minorHAnsi" w:hAnsiTheme="minorHAnsi" w:cstheme="minorHAnsi"/>
          <w:color w:val="000000"/>
          <w:sz w:val="22"/>
          <w:szCs w:val="22"/>
        </w:rPr>
        <w:lastRenderedPageBreak/>
        <w:t>soon as the local government restores its sound financial condition according to the set of indicators mentioned above, which are checked at the end of each year. This means that after a single year, a formerly structurally distressed local government can get rid of central controls by reducing to four the number of parameters out of acceptable ranges, whatever they are. The criteria to identify the “structurally distressed” local governments, first applied in 2010, have been recently reviewed (2018) in order to maintain an adequate ability to capture Municipalities in conditions of serious financial distress.</w:t>
      </w:r>
    </w:p>
    <w:p w14:paraId="4CB0E040" w14:textId="77777777" w:rsidR="008F3152" w:rsidRPr="00762B30" w:rsidRDefault="008F3152" w:rsidP="008F3152">
      <w:pPr>
        <w:spacing w:after="120"/>
        <w:jc w:val="both"/>
        <w:rPr>
          <w:rFonts w:asciiTheme="minorHAnsi" w:hAnsiTheme="minorHAnsi" w:cstheme="minorHAnsi"/>
          <w:color w:val="000000"/>
          <w:sz w:val="22"/>
          <w:szCs w:val="22"/>
        </w:rPr>
      </w:pPr>
      <w:r w:rsidRPr="00762B30">
        <w:rPr>
          <w:rFonts w:asciiTheme="minorHAnsi" w:hAnsiTheme="minorHAnsi" w:cstheme="minorHAnsi"/>
          <w:color w:val="000000"/>
          <w:sz w:val="22"/>
          <w:szCs w:val="22"/>
        </w:rPr>
        <w:t>The "</w:t>
      </w:r>
      <w:r w:rsidRPr="00762B30">
        <w:rPr>
          <w:rFonts w:asciiTheme="minorHAnsi" w:hAnsiTheme="minorHAnsi" w:cstheme="minorHAnsi"/>
          <w:iCs/>
          <w:color w:val="000000"/>
          <w:sz w:val="22"/>
          <w:szCs w:val="22"/>
        </w:rPr>
        <w:t xml:space="preserve"> intermediate pre-default</w:t>
      </w:r>
      <w:r w:rsidRPr="00762B30">
        <w:rPr>
          <w:rFonts w:asciiTheme="minorHAnsi" w:hAnsiTheme="minorHAnsi" w:cstheme="minorHAnsi"/>
          <w:color w:val="000000"/>
          <w:sz w:val="22"/>
          <w:szCs w:val="22"/>
        </w:rPr>
        <w:t>" is a procedure that the Municipalities can decide to implement in case of structural imbalances able to put the budget at risk of financial default. Introduced in 2012, this procedure is a sort of a tool for the self-reorganization of the Municipality since the management of the crisis remains entrusted to its ordinary bodies on the basis of an array of measures envisaged by a multiyear financial rebalance plan. The experience of the implementation of the "</w:t>
      </w:r>
      <w:r w:rsidRPr="00762B30">
        <w:rPr>
          <w:rFonts w:asciiTheme="minorHAnsi" w:hAnsiTheme="minorHAnsi" w:cstheme="minorHAnsi"/>
          <w:iCs/>
          <w:color w:val="000000"/>
          <w:sz w:val="22"/>
          <w:szCs w:val="22"/>
        </w:rPr>
        <w:t>intermediate pre-default</w:t>
      </w:r>
      <w:r w:rsidRPr="00762B30">
        <w:rPr>
          <w:rFonts w:asciiTheme="minorHAnsi" w:hAnsiTheme="minorHAnsi" w:cstheme="minorHAnsi"/>
          <w:color w:val="000000"/>
          <w:sz w:val="22"/>
          <w:szCs w:val="22"/>
        </w:rPr>
        <w:t>" procedure shows that Municipalities sometimes adopt unnecessary dilatory interventions, based on the remodulation and reformulation of the plans, exclusively aimed at putting off the final acknowledgement of the default (in this sense "</w:t>
      </w:r>
      <w:r w:rsidRPr="00762B30">
        <w:rPr>
          <w:rFonts w:asciiTheme="minorHAnsi" w:hAnsiTheme="minorHAnsi" w:cstheme="minorHAnsi"/>
          <w:iCs/>
          <w:color w:val="000000"/>
          <w:sz w:val="22"/>
          <w:szCs w:val="22"/>
        </w:rPr>
        <w:t xml:space="preserve"> intermediate pre-default</w:t>
      </w:r>
      <w:r w:rsidRPr="00762B30">
        <w:rPr>
          <w:rFonts w:asciiTheme="minorHAnsi" w:hAnsiTheme="minorHAnsi" w:cstheme="minorHAnsi"/>
          <w:color w:val="000000"/>
          <w:sz w:val="22"/>
          <w:szCs w:val="22"/>
        </w:rPr>
        <w:t>" is sometimes viewed as a sort of non-declared “financial default” situation).</w:t>
      </w:r>
    </w:p>
    <w:p w14:paraId="3897D74F" w14:textId="77777777" w:rsidR="008F3152" w:rsidRPr="00762B30" w:rsidRDefault="008F3152" w:rsidP="008F3152">
      <w:pPr>
        <w:spacing w:after="120"/>
        <w:jc w:val="both"/>
        <w:rPr>
          <w:rFonts w:asciiTheme="minorHAnsi" w:hAnsiTheme="minorHAnsi" w:cstheme="minorHAnsi"/>
          <w:color w:val="000000"/>
          <w:sz w:val="22"/>
          <w:szCs w:val="22"/>
        </w:rPr>
      </w:pPr>
      <w:r w:rsidRPr="00762B30">
        <w:rPr>
          <w:rFonts w:asciiTheme="minorHAnsi" w:hAnsiTheme="minorHAnsi" w:cstheme="minorHAnsi"/>
          <w:color w:val="000000"/>
          <w:sz w:val="22"/>
          <w:szCs w:val="22"/>
        </w:rPr>
        <w:t>Lastly, the default case (formally defined as local government in “financial default”), Introduced in 1989 in the Italian legislation, is the most severe situation of fiscal distress: it occurs when the Municipality it is no longer able to assure the provision of essential services and functions, or when its liquid liabilities cannot be fulfilled. When these conditions occur, the city council votes a formal default resolution. Subsequently, the central government appoints an extraordinary board charged with managing the paying off of past debts, whereas the ordinary municipal bodies are left the task of dealing with “good loans” but under severe limitations (in terms of obligations to increase their own taxes and service fees, to reduce staff, etc.).</w:t>
      </w:r>
    </w:p>
    <w:p w14:paraId="342BC64B" w14:textId="38413D87" w:rsidR="008F3152" w:rsidRPr="00762B30" w:rsidRDefault="008F3152" w:rsidP="008F3152">
      <w:pPr>
        <w:spacing w:after="120"/>
        <w:jc w:val="both"/>
        <w:rPr>
          <w:rFonts w:asciiTheme="minorHAnsi" w:hAnsiTheme="minorHAnsi" w:cstheme="minorHAnsi"/>
          <w:color w:val="000000"/>
          <w:sz w:val="22"/>
          <w:szCs w:val="22"/>
        </w:rPr>
      </w:pPr>
      <w:r w:rsidRPr="00762B30">
        <w:rPr>
          <w:rFonts w:asciiTheme="minorHAnsi" w:hAnsiTheme="minorHAnsi" w:cstheme="minorHAnsi"/>
          <w:color w:val="000000"/>
          <w:sz w:val="22"/>
          <w:szCs w:val="22"/>
        </w:rPr>
        <w:t>A reform of the different procedures of fiscal distress above illustrated is currently under discussion in Italy. The main elements of the reform envisage to unify "financial rebalance" and default procedures, to exclude financial distressed Municipalities from fiscal consolidation measures implemented by the central government, to assign financial support to those entities which incurred financial distress outside the direct responsibility of local policy-makers.</w:t>
      </w:r>
    </w:p>
    <w:p w14:paraId="0E6307DC" w14:textId="4F9D27E3" w:rsidR="008F3152" w:rsidRPr="00762B30" w:rsidRDefault="008F3152" w:rsidP="008F3152">
      <w:pPr>
        <w:spacing w:after="120"/>
        <w:jc w:val="both"/>
        <w:rPr>
          <w:rFonts w:asciiTheme="minorHAnsi" w:hAnsiTheme="minorHAnsi" w:cstheme="minorHAnsi"/>
          <w:color w:val="000000"/>
          <w:sz w:val="22"/>
          <w:szCs w:val="22"/>
        </w:rPr>
      </w:pPr>
      <w:r w:rsidRPr="00762B30">
        <w:rPr>
          <w:rFonts w:asciiTheme="minorHAnsi" w:hAnsiTheme="minorHAnsi" w:cstheme="minorHAnsi"/>
          <w:color w:val="000000"/>
          <w:sz w:val="22"/>
          <w:szCs w:val="22"/>
        </w:rPr>
        <w:t>In particular, Table A</w:t>
      </w:r>
      <w:r w:rsidR="00E85344" w:rsidRPr="00762B30">
        <w:rPr>
          <w:rFonts w:asciiTheme="minorHAnsi" w:hAnsiTheme="minorHAnsi" w:cstheme="minorHAnsi"/>
          <w:color w:val="000000"/>
          <w:sz w:val="22"/>
          <w:szCs w:val="22"/>
        </w:rPr>
        <w:t>2</w:t>
      </w:r>
      <w:r w:rsidRPr="00762B30">
        <w:rPr>
          <w:rFonts w:asciiTheme="minorHAnsi" w:hAnsiTheme="minorHAnsi" w:cstheme="minorHAnsi"/>
          <w:color w:val="000000"/>
          <w:sz w:val="22"/>
          <w:szCs w:val="22"/>
        </w:rPr>
        <w:t xml:space="preserve"> reports all official cases of </w:t>
      </w:r>
      <w:r w:rsidR="00013656">
        <w:rPr>
          <w:rFonts w:ascii="Calibri" w:hAnsi="Calibri" w:cs="Calibri"/>
          <w:color w:val="000000"/>
          <w:sz w:val="22"/>
          <w:szCs w:val="22"/>
        </w:rPr>
        <w:t>f</w:t>
      </w:r>
      <w:r w:rsidRPr="00013656">
        <w:rPr>
          <w:rFonts w:ascii="Calibri" w:hAnsi="Calibri" w:cs="Calibri"/>
          <w:color w:val="000000"/>
          <w:sz w:val="22"/>
          <w:szCs w:val="22"/>
        </w:rPr>
        <w:t>inancial default</w:t>
      </w:r>
      <w:r w:rsidR="00013656">
        <w:rPr>
          <w:rFonts w:ascii="Calibri" w:hAnsi="Calibri" w:cs="Calibri"/>
          <w:color w:val="000000"/>
          <w:sz w:val="22"/>
          <w:szCs w:val="22"/>
        </w:rPr>
        <w:t xml:space="preserve"> and of i</w:t>
      </w:r>
      <w:r w:rsidRPr="0067328F">
        <w:rPr>
          <w:rFonts w:ascii="Calibri" w:hAnsi="Calibri" w:cs="Calibri"/>
          <w:color w:val="000000"/>
          <w:sz w:val="22"/>
          <w:szCs w:val="22"/>
        </w:rPr>
        <w:t xml:space="preserve">ntermediate pre-default </w:t>
      </w:r>
      <w:r w:rsidR="00013656">
        <w:rPr>
          <w:rFonts w:ascii="Calibri" w:hAnsi="Calibri" w:cs="Calibri"/>
          <w:color w:val="000000"/>
          <w:sz w:val="22"/>
          <w:szCs w:val="22"/>
        </w:rPr>
        <w:t>from 19898 to 2023.</w:t>
      </w:r>
    </w:p>
    <w:p w14:paraId="083149E2" w14:textId="58951DB1" w:rsidR="00E85344" w:rsidRPr="00762B30" w:rsidRDefault="00E85344">
      <w:pPr>
        <w:rPr>
          <w:rFonts w:ascii="Calibri" w:hAnsi="Calibri" w:cs="Calibri"/>
          <w:color w:val="000000"/>
          <w:sz w:val="22"/>
          <w:szCs w:val="22"/>
        </w:rPr>
      </w:pPr>
      <w:r w:rsidRPr="00762B30">
        <w:rPr>
          <w:rFonts w:ascii="Calibri" w:hAnsi="Calibri" w:cs="Calibri"/>
          <w:color w:val="000000"/>
          <w:sz w:val="22"/>
          <w:szCs w:val="22"/>
        </w:rPr>
        <w:br w:type="page"/>
      </w:r>
    </w:p>
    <w:p w14:paraId="6BA0E551" w14:textId="77777777" w:rsidR="008F3152" w:rsidRPr="00D62A0D" w:rsidRDefault="008F3152" w:rsidP="008F3152">
      <w:pPr>
        <w:autoSpaceDE w:val="0"/>
        <w:autoSpaceDN w:val="0"/>
        <w:adjustRightInd w:val="0"/>
        <w:spacing w:after="120" w:line="260" w:lineRule="auto"/>
        <w:rPr>
          <w:rFonts w:ascii="Calibri" w:hAnsi="Calibri" w:cs="Calibri"/>
          <w:color w:val="000000"/>
          <w:sz w:val="22"/>
          <w:szCs w:val="22"/>
        </w:rPr>
      </w:pPr>
    </w:p>
    <w:p w14:paraId="3B5151FE" w14:textId="5B1002A2" w:rsidR="008F3152" w:rsidRPr="00762B30" w:rsidRDefault="008F3152" w:rsidP="009F6887">
      <w:pPr>
        <w:autoSpaceDE w:val="0"/>
        <w:autoSpaceDN w:val="0"/>
        <w:adjustRightInd w:val="0"/>
        <w:spacing w:after="120" w:line="260" w:lineRule="auto"/>
        <w:rPr>
          <w:rFonts w:asciiTheme="minorHAnsi" w:hAnsiTheme="minorHAnsi" w:cstheme="minorHAnsi"/>
          <w:b/>
          <w:bCs/>
          <w:color w:val="000000"/>
          <w:sz w:val="22"/>
          <w:szCs w:val="22"/>
        </w:rPr>
      </w:pPr>
      <w:r w:rsidRPr="00762B30">
        <w:rPr>
          <w:rFonts w:asciiTheme="minorHAnsi" w:hAnsiTheme="minorHAnsi" w:cstheme="minorHAnsi"/>
          <w:b/>
          <w:bCs/>
          <w:color w:val="000000"/>
          <w:sz w:val="22"/>
          <w:szCs w:val="22"/>
        </w:rPr>
        <w:t>Table A2 – Italian municipalities in financial distress</w:t>
      </w:r>
      <w:r w:rsidR="00F232AB">
        <w:rPr>
          <w:rFonts w:asciiTheme="minorHAnsi" w:hAnsiTheme="minorHAnsi" w:cstheme="minorHAnsi"/>
          <w:b/>
          <w:bCs/>
          <w:color w:val="000000"/>
          <w:sz w:val="22"/>
          <w:szCs w:val="22"/>
        </w:rPr>
        <w:t xml:space="preserve"> 1989-2023</w:t>
      </w:r>
    </w:p>
    <w:p w14:paraId="1D4D0B2E" w14:textId="75160D97" w:rsidR="00E85344" w:rsidRPr="00762B30" w:rsidRDefault="00C41B4A">
      <w:pPr>
        <w:rPr>
          <w:rFonts w:asciiTheme="minorHAnsi" w:hAnsiTheme="minorHAnsi" w:cstheme="minorHAnsi"/>
          <w:b/>
          <w:color w:val="000000"/>
          <w:sz w:val="22"/>
          <w:szCs w:val="22"/>
        </w:rPr>
      </w:pPr>
      <w:r w:rsidRPr="009C45E8">
        <w:rPr>
          <w:noProof/>
        </w:rPr>
        <w:drawing>
          <wp:inline distT="0" distB="0" distL="0" distR="0" wp14:anchorId="2C34C13C" wp14:editId="1A8EAC11">
            <wp:extent cx="4094870" cy="6425403"/>
            <wp:effectExtent l="0" t="0" r="1270" b="0"/>
            <wp:docPr id="184200912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7254" cy="6429144"/>
                    </a:xfrm>
                    <a:prstGeom prst="rect">
                      <a:avLst/>
                    </a:prstGeom>
                    <a:noFill/>
                    <a:ln>
                      <a:noFill/>
                    </a:ln>
                  </pic:spPr>
                </pic:pic>
              </a:graphicData>
            </a:graphic>
          </wp:inline>
        </w:drawing>
      </w:r>
    </w:p>
    <w:p w14:paraId="73DBFBC7" w14:textId="2323B54F" w:rsidR="00F232AB" w:rsidRPr="0067328F" w:rsidRDefault="00F232AB" w:rsidP="00F232AB">
      <w:pPr>
        <w:autoSpaceDE w:val="0"/>
        <w:autoSpaceDN w:val="0"/>
        <w:adjustRightInd w:val="0"/>
        <w:spacing w:after="120" w:line="260" w:lineRule="auto"/>
        <w:rPr>
          <w:rFonts w:asciiTheme="minorHAnsi" w:hAnsiTheme="minorHAnsi" w:cstheme="minorHAnsi"/>
          <w:bCs/>
          <w:color w:val="000000"/>
          <w:sz w:val="22"/>
          <w:szCs w:val="22"/>
        </w:rPr>
      </w:pPr>
      <w:r w:rsidRPr="0067328F">
        <w:rPr>
          <w:rFonts w:asciiTheme="minorHAnsi" w:hAnsiTheme="minorHAnsi" w:cstheme="minorHAnsi"/>
          <w:i/>
          <w:color w:val="000000"/>
          <w:sz w:val="22"/>
          <w:szCs w:val="22"/>
        </w:rPr>
        <w:t>S</w:t>
      </w:r>
      <w:r w:rsidRPr="0067328F">
        <w:rPr>
          <w:rFonts w:asciiTheme="minorHAnsi" w:hAnsiTheme="minorHAnsi" w:cstheme="minorHAnsi"/>
          <w:bCs/>
          <w:i/>
          <w:color w:val="000000"/>
          <w:sz w:val="22"/>
          <w:szCs w:val="22"/>
        </w:rPr>
        <w:t>ource</w:t>
      </w:r>
      <w:r>
        <w:rPr>
          <w:rFonts w:asciiTheme="minorHAnsi" w:hAnsiTheme="minorHAnsi" w:cstheme="minorHAnsi"/>
          <w:bCs/>
          <w:color w:val="000000"/>
          <w:sz w:val="22"/>
          <w:szCs w:val="22"/>
        </w:rPr>
        <w:t>:</w:t>
      </w:r>
      <w:r w:rsidRPr="0067328F">
        <w:rPr>
          <w:rFonts w:asciiTheme="minorHAnsi" w:hAnsiTheme="minorHAnsi" w:cstheme="minorHAnsi"/>
          <w:bCs/>
          <w:color w:val="000000"/>
          <w:sz w:val="22"/>
          <w:szCs w:val="22"/>
        </w:rPr>
        <w:t xml:space="preserve"> Ca ’Foscari Foundation</w:t>
      </w:r>
    </w:p>
    <w:p w14:paraId="32FBA84C" w14:textId="1D23C1EB" w:rsidR="00F232AB" w:rsidRDefault="00F232AB">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sectPr w:rsidR="00F232AB" w:rsidSect="0020733A">
      <w:headerReference w:type="even" r:id="rId11"/>
      <w:headerReference w:type="default" r:id="rId12"/>
      <w:footerReference w:type="even" r:id="rId13"/>
      <w:footerReference w:type="default" r:id="rId14"/>
      <w:headerReference w:type="first" r:id="rId15"/>
      <w:footerReference w:type="first" r:id="rId16"/>
      <w:pgSz w:w="11906" w:h="16838" w:code="9"/>
      <w:pgMar w:top="1701" w:right="1701" w:bottom="1701"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230CB" w14:textId="77777777" w:rsidR="000B78F5" w:rsidRDefault="000B78F5">
      <w:r>
        <w:separator/>
      </w:r>
    </w:p>
  </w:endnote>
  <w:endnote w:type="continuationSeparator" w:id="0">
    <w:p w14:paraId="3937FB94" w14:textId="77777777" w:rsidR="000B78F5" w:rsidRDefault="000B7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474E6" w14:textId="77777777" w:rsidR="00A83C22" w:rsidRDefault="00A83C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1878232330"/>
      <w:docPartObj>
        <w:docPartGallery w:val="Page Numbers (Bottom of Page)"/>
        <w:docPartUnique/>
      </w:docPartObj>
    </w:sdtPr>
    <w:sdtEndPr/>
    <w:sdtContent>
      <w:p w14:paraId="1595FE7D" w14:textId="4FF368C0" w:rsidR="00A83C22" w:rsidRPr="00835608" w:rsidRDefault="00A83C22">
        <w:pPr>
          <w:pStyle w:val="Footer"/>
          <w:jc w:val="center"/>
          <w:rPr>
            <w:rFonts w:asciiTheme="minorHAnsi" w:hAnsiTheme="minorHAnsi" w:cstheme="minorHAnsi"/>
          </w:rPr>
        </w:pPr>
        <w:r w:rsidRPr="00835608">
          <w:rPr>
            <w:rFonts w:asciiTheme="minorHAnsi" w:hAnsiTheme="minorHAnsi" w:cstheme="minorHAnsi"/>
          </w:rPr>
          <w:fldChar w:fldCharType="begin"/>
        </w:r>
        <w:r w:rsidRPr="00835608">
          <w:rPr>
            <w:rFonts w:asciiTheme="minorHAnsi" w:hAnsiTheme="minorHAnsi" w:cstheme="minorHAnsi"/>
          </w:rPr>
          <w:instrText>PAGE   \* MERGEFORMAT</w:instrText>
        </w:r>
        <w:r w:rsidRPr="00835608">
          <w:rPr>
            <w:rFonts w:asciiTheme="minorHAnsi" w:hAnsiTheme="minorHAnsi" w:cstheme="minorHAnsi"/>
          </w:rPr>
          <w:fldChar w:fldCharType="separate"/>
        </w:r>
        <w:r w:rsidRPr="00835608">
          <w:rPr>
            <w:rFonts w:asciiTheme="minorHAnsi" w:hAnsiTheme="minorHAnsi" w:cstheme="minorHAnsi"/>
            <w:lang w:val="it-IT"/>
          </w:rPr>
          <w:t>2</w:t>
        </w:r>
        <w:r w:rsidRPr="00835608">
          <w:rPr>
            <w:rFonts w:asciiTheme="minorHAnsi" w:hAnsiTheme="minorHAnsi" w:cstheme="minorHAnsi"/>
          </w:rPr>
          <w:fldChar w:fldCharType="end"/>
        </w:r>
      </w:p>
    </w:sdtContent>
  </w:sdt>
  <w:p w14:paraId="162FF354" w14:textId="77777777" w:rsidR="007E423E" w:rsidRDefault="007E423E">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521612"/>
      <w:docPartObj>
        <w:docPartGallery w:val="Page Numbers (Bottom of Page)"/>
        <w:docPartUnique/>
      </w:docPartObj>
    </w:sdtPr>
    <w:sdtEndPr>
      <w:rPr>
        <w:rFonts w:asciiTheme="minorHAnsi" w:hAnsiTheme="minorHAnsi" w:cstheme="minorHAnsi"/>
      </w:rPr>
    </w:sdtEndPr>
    <w:sdtContent>
      <w:p w14:paraId="1D6F2201" w14:textId="3CE03705" w:rsidR="0020733A" w:rsidRPr="00A83C22" w:rsidRDefault="0020733A">
        <w:pPr>
          <w:pStyle w:val="Footer"/>
          <w:jc w:val="center"/>
          <w:rPr>
            <w:rFonts w:asciiTheme="minorHAnsi" w:hAnsiTheme="minorHAnsi" w:cstheme="minorHAnsi"/>
          </w:rPr>
        </w:pPr>
        <w:r w:rsidRPr="00A83C22">
          <w:rPr>
            <w:rFonts w:asciiTheme="minorHAnsi" w:hAnsiTheme="minorHAnsi" w:cstheme="minorHAnsi"/>
          </w:rPr>
          <w:fldChar w:fldCharType="begin"/>
        </w:r>
        <w:r w:rsidRPr="00A83C22">
          <w:rPr>
            <w:rFonts w:asciiTheme="minorHAnsi" w:hAnsiTheme="minorHAnsi" w:cstheme="minorHAnsi"/>
          </w:rPr>
          <w:instrText>PAGE   \* MERGEFORMAT</w:instrText>
        </w:r>
        <w:r w:rsidRPr="00A83C22">
          <w:rPr>
            <w:rFonts w:asciiTheme="minorHAnsi" w:hAnsiTheme="minorHAnsi" w:cstheme="minorHAnsi"/>
          </w:rPr>
          <w:fldChar w:fldCharType="separate"/>
        </w:r>
        <w:r w:rsidRPr="00A83C22">
          <w:rPr>
            <w:rFonts w:asciiTheme="minorHAnsi" w:hAnsiTheme="minorHAnsi" w:cstheme="minorHAnsi"/>
            <w:lang w:val="it-IT"/>
          </w:rPr>
          <w:t>2</w:t>
        </w:r>
        <w:r w:rsidRPr="00A83C22">
          <w:rPr>
            <w:rFonts w:asciiTheme="minorHAnsi" w:hAnsiTheme="minorHAnsi" w:cstheme="minorHAnsi"/>
          </w:rPr>
          <w:fldChar w:fldCharType="end"/>
        </w:r>
      </w:p>
    </w:sdtContent>
  </w:sdt>
  <w:p w14:paraId="12FCA7FA" w14:textId="77777777" w:rsidR="00636C4F" w:rsidRDefault="00636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C7300" w14:textId="77777777" w:rsidR="000B78F5" w:rsidRDefault="000B78F5">
      <w:r>
        <w:separator/>
      </w:r>
    </w:p>
  </w:footnote>
  <w:footnote w:type="continuationSeparator" w:id="0">
    <w:p w14:paraId="5626EB79" w14:textId="77777777" w:rsidR="000B78F5" w:rsidRDefault="000B7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2BD7A" w14:textId="77777777" w:rsidR="00A83C22" w:rsidRDefault="00A83C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EA3EC" w14:textId="77777777" w:rsidR="00A83C22" w:rsidRDefault="00A83C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02358" w14:textId="77777777" w:rsidR="00A83C22" w:rsidRDefault="00A83C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8647A"/>
    <w:multiLevelType w:val="hybridMultilevel"/>
    <w:tmpl w:val="D97AC510"/>
    <w:lvl w:ilvl="0" w:tplc="7DB4091A">
      <w:start w:val="1"/>
      <w:numFmt w:val="bullet"/>
      <w:lvlText w:val="•"/>
      <w:lvlJc w:val="left"/>
      <w:pPr>
        <w:tabs>
          <w:tab w:val="num" w:pos="720"/>
        </w:tabs>
        <w:ind w:left="720" w:hanging="360"/>
      </w:pPr>
      <w:rPr>
        <w:rFonts w:ascii="Arial" w:hAnsi="Arial" w:hint="default"/>
      </w:rPr>
    </w:lvl>
    <w:lvl w:ilvl="1" w:tplc="654EEE72" w:tentative="1">
      <w:start w:val="1"/>
      <w:numFmt w:val="bullet"/>
      <w:lvlText w:val="•"/>
      <w:lvlJc w:val="left"/>
      <w:pPr>
        <w:tabs>
          <w:tab w:val="num" w:pos="1440"/>
        </w:tabs>
        <w:ind w:left="1440" w:hanging="360"/>
      </w:pPr>
      <w:rPr>
        <w:rFonts w:ascii="Arial" w:hAnsi="Arial" w:hint="default"/>
      </w:rPr>
    </w:lvl>
    <w:lvl w:ilvl="2" w:tplc="49A24FE4" w:tentative="1">
      <w:start w:val="1"/>
      <w:numFmt w:val="bullet"/>
      <w:lvlText w:val="•"/>
      <w:lvlJc w:val="left"/>
      <w:pPr>
        <w:tabs>
          <w:tab w:val="num" w:pos="2160"/>
        </w:tabs>
        <w:ind w:left="2160" w:hanging="360"/>
      </w:pPr>
      <w:rPr>
        <w:rFonts w:ascii="Arial" w:hAnsi="Arial" w:hint="default"/>
      </w:rPr>
    </w:lvl>
    <w:lvl w:ilvl="3" w:tplc="54A2577C" w:tentative="1">
      <w:start w:val="1"/>
      <w:numFmt w:val="bullet"/>
      <w:lvlText w:val="•"/>
      <w:lvlJc w:val="left"/>
      <w:pPr>
        <w:tabs>
          <w:tab w:val="num" w:pos="2880"/>
        </w:tabs>
        <w:ind w:left="2880" w:hanging="360"/>
      </w:pPr>
      <w:rPr>
        <w:rFonts w:ascii="Arial" w:hAnsi="Arial" w:hint="default"/>
      </w:rPr>
    </w:lvl>
    <w:lvl w:ilvl="4" w:tplc="BA62B86E" w:tentative="1">
      <w:start w:val="1"/>
      <w:numFmt w:val="bullet"/>
      <w:lvlText w:val="•"/>
      <w:lvlJc w:val="left"/>
      <w:pPr>
        <w:tabs>
          <w:tab w:val="num" w:pos="3600"/>
        </w:tabs>
        <w:ind w:left="3600" w:hanging="360"/>
      </w:pPr>
      <w:rPr>
        <w:rFonts w:ascii="Arial" w:hAnsi="Arial" w:hint="default"/>
      </w:rPr>
    </w:lvl>
    <w:lvl w:ilvl="5" w:tplc="F1A4C2F6" w:tentative="1">
      <w:start w:val="1"/>
      <w:numFmt w:val="bullet"/>
      <w:lvlText w:val="•"/>
      <w:lvlJc w:val="left"/>
      <w:pPr>
        <w:tabs>
          <w:tab w:val="num" w:pos="4320"/>
        </w:tabs>
        <w:ind w:left="4320" w:hanging="360"/>
      </w:pPr>
      <w:rPr>
        <w:rFonts w:ascii="Arial" w:hAnsi="Arial" w:hint="default"/>
      </w:rPr>
    </w:lvl>
    <w:lvl w:ilvl="6" w:tplc="04D825EC" w:tentative="1">
      <w:start w:val="1"/>
      <w:numFmt w:val="bullet"/>
      <w:lvlText w:val="•"/>
      <w:lvlJc w:val="left"/>
      <w:pPr>
        <w:tabs>
          <w:tab w:val="num" w:pos="5040"/>
        </w:tabs>
        <w:ind w:left="5040" w:hanging="360"/>
      </w:pPr>
      <w:rPr>
        <w:rFonts w:ascii="Arial" w:hAnsi="Arial" w:hint="default"/>
      </w:rPr>
    </w:lvl>
    <w:lvl w:ilvl="7" w:tplc="5118987C" w:tentative="1">
      <w:start w:val="1"/>
      <w:numFmt w:val="bullet"/>
      <w:lvlText w:val="•"/>
      <w:lvlJc w:val="left"/>
      <w:pPr>
        <w:tabs>
          <w:tab w:val="num" w:pos="5760"/>
        </w:tabs>
        <w:ind w:left="5760" w:hanging="360"/>
      </w:pPr>
      <w:rPr>
        <w:rFonts w:ascii="Arial" w:hAnsi="Arial" w:hint="default"/>
      </w:rPr>
    </w:lvl>
    <w:lvl w:ilvl="8" w:tplc="5D82B7A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316419"/>
    <w:multiLevelType w:val="multilevel"/>
    <w:tmpl w:val="D540887A"/>
    <w:lvl w:ilvl="0">
      <w:start w:val="1"/>
      <w:numFmt w:val="decimal"/>
      <w:lvlText w:val="%1"/>
      <w:lvlJc w:val="left"/>
      <w:pPr>
        <w:ind w:left="792" w:hanging="432"/>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7"/>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2" w15:restartNumberingAfterBreak="0">
    <w:nsid w:val="05594AEA"/>
    <w:multiLevelType w:val="hybridMultilevel"/>
    <w:tmpl w:val="4B64C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555DC4"/>
    <w:multiLevelType w:val="hybridMultilevel"/>
    <w:tmpl w:val="CF3810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5EB51C9"/>
    <w:multiLevelType w:val="multilevel"/>
    <w:tmpl w:val="A054452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28AB70F1"/>
    <w:multiLevelType w:val="hybridMultilevel"/>
    <w:tmpl w:val="3EE2F310"/>
    <w:lvl w:ilvl="0" w:tplc="55503FCA">
      <w:start w:val="1"/>
      <w:numFmt w:val="bullet"/>
      <w:lvlText w:val="•"/>
      <w:lvlJc w:val="left"/>
      <w:pPr>
        <w:tabs>
          <w:tab w:val="num" w:pos="720"/>
        </w:tabs>
        <w:ind w:left="720" w:hanging="360"/>
      </w:pPr>
      <w:rPr>
        <w:rFonts w:ascii="Arial" w:hAnsi="Arial" w:hint="default"/>
      </w:rPr>
    </w:lvl>
    <w:lvl w:ilvl="1" w:tplc="856C1876" w:tentative="1">
      <w:start w:val="1"/>
      <w:numFmt w:val="bullet"/>
      <w:lvlText w:val="•"/>
      <w:lvlJc w:val="left"/>
      <w:pPr>
        <w:tabs>
          <w:tab w:val="num" w:pos="1440"/>
        </w:tabs>
        <w:ind w:left="1440" w:hanging="360"/>
      </w:pPr>
      <w:rPr>
        <w:rFonts w:ascii="Arial" w:hAnsi="Arial" w:hint="default"/>
      </w:rPr>
    </w:lvl>
    <w:lvl w:ilvl="2" w:tplc="A9FEFD5A" w:tentative="1">
      <w:start w:val="1"/>
      <w:numFmt w:val="bullet"/>
      <w:lvlText w:val="•"/>
      <w:lvlJc w:val="left"/>
      <w:pPr>
        <w:tabs>
          <w:tab w:val="num" w:pos="2160"/>
        </w:tabs>
        <w:ind w:left="2160" w:hanging="360"/>
      </w:pPr>
      <w:rPr>
        <w:rFonts w:ascii="Arial" w:hAnsi="Arial" w:hint="default"/>
      </w:rPr>
    </w:lvl>
    <w:lvl w:ilvl="3" w:tplc="07EE8374" w:tentative="1">
      <w:start w:val="1"/>
      <w:numFmt w:val="bullet"/>
      <w:lvlText w:val="•"/>
      <w:lvlJc w:val="left"/>
      <w:pPr>
        <w:tabs>
          <w:tab w:val="num" w:pos="2880"/>
        </w:tabs>
        <w:ind w:left="2880" w:hanging="360"/>
      </w:pPr>
      <w:rPr>
        <w:rFonts w:ascii="Arial" w:hAnsi="Arial" w:hint="default"/>
      </w:rPr>
    </w:lvl>
    <w:lvl w:ilvl="4" w:tplc="8B48C808" w:tentative="1">
      <w:start w:val="1"/>
      <w:numFmt w:val="bullet"/>
      <w:lvlText w:val="•"/>
      <w:lvlJc w:val="left"/>
      <w:pPr>
        <w:tabs>
          <w:tab w:val="num" w:pos="3600"/>
        </w:tabs>
        <w:ind w:left="3600" w:hanging="360"/>
      </w:pPr>
      <w:rPr>
        <w:rFonts w:ascii="Arial" w:hAnsi="Arial" w:hint="default"/>
      </w:rPr>
    </w:lvl>
    <w:lvl w:ilvl="5" w:tplc="69381DF8" w:tentative="1">
      <w:start w:val="1"/>
      <w:numFmt w:val="bullet"/>
      <w:lvlText w:val="•"/>
      <w:lvlJc w:val="left"/>
      <w:pPr>
        <w:tabs>
          <w:tab w:val="num" w:pos="4320"/>
        </w:tabs>
        <w:ind w:left="4320" w:hanging="360"/>
      </w:pPr>
      <w:rPr>
        <w:rFonts w:ascii="Arial" w:hAnsi="Arial" w:hint="default"/>
      </w:rPr>
    </w:lvl>
    <w:lvl w:ilvl="6" w:tplc="F4923140" w:tentative="1">
      <w:start w:val="1"/>
      <w:numFmt w:val="bullet"/>
      <w:lvlText w:val="•"/>
      <w:lvlJc w:val="left"/>
      <w:pPr>
        <w:tabs>
          <w:tab w:val="num" w:pos="5040"/>
        </w:tabs>
        <w:ind w:left="5040" w:hanging="360"/>
      </w:pPr>
      <w:rPr>
        <w:rFonts w:ascii="Arial" w:hAnsi="Arial" w:hint="default"/>
      </w:rPr>
    </w:lvl>
    <w:lvl w:ilvl="7" w:tplc="C324B342" w:tentative="1">
      <w:start w:val="1"/>
      <w:numFmt w:val="bullet"/>
      <w:lvlText w:val="•"/>
      <w:lvlJc w:val="left"/>
      <w:pPr>
        <w:tabs>
          <w:tab w:val="num" w:pos="5760"/>
        </w:tabs>
        <w:ind w:left="5760" w:hanging="360"/>
      </w:pPr>
      <w:rPr>
        <w:rFonts w:ascii="Arial" w:hAnsi="Arial" w:hint="default"/>
      </w:rPr>
    </w:lvl>
    <w:lvl w:ilvl="8" w:tplc="6C0C9F26"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39C"/>
    <w:rsid w:val="00000DB4"/>
    <w:rsid w:val="000072C0"/>
    <w:rsid w:val="00007F6A"/>
    <w:rsid w:val="00013656"/>
    <w:rsid w:val="00014E06"/>
    <w:rsid w:val="00017BCA"/>
    <w:rsid w:val="00020354"/>
    <w:rsid w:val="00021B39"/>
    <w:rsid w:val="00021F12"/>
    <w:rsid w:val="00034E81"/>
    <w:rsid w:val="000451B5"/>
    <w:rsid w:val="00053A4C"/>
    <w:rsid w:val="00055A8D"/>
    <w:rsid w:val="000640FB"/>
    <w:rsid w:val="00072070"/>
    <w:rsid w:val="00075AA8"/>
    <w:rsid w:val="000775CB"/>
    <w:rsid w:val="00081C14"/>
    <w:rsid w:val="00086498"/>
    <w:rsid w:val="000953ED"/>
    <w:rsid w:val="000B0432"/>
    <w:rsid w:val="000B50E1"/>
    <w:rsid w:val="000B78F5"/>
    <w:rsid w:val="000D7BB9"/>
    <w:rsid w:val="000E3BAA"/>
    <w:rsid w:val="000E695D"/>
    <w:rsid w:val="000F2AD9"/>
    <w:rsid w:val="00107B0D"/>
    <w:rsid w:val="00113F5C"/>
    <w:rsid w:val="00116E73"/>
    <w:rsid w:val="001272AD"/>
    <w:rsid w:val="001339D7"/>
    <w:rsid w:val="001345B2"/>
    <w:rsid w:val="00135D05"/>
    <w:rsid w:val="0014759A"/>
    <w:rsid w:val="001539E8"/>
    <w:rsid w:val="00154ADD"/>
    <w:rsid w:val="001669AA"/>
    <w:rsid w:val="00181158"/>
    <w:rsid w:val="001856C2"/>
    <w:rsid w:val="0018684A"/>
    <w:rsid w:val="001876A5"/>
    <w:rsid w:val="00192749"/>
    <w:rsid w:val="00197B60"/>
    <w:rsid w:val="001B0DEC"/>
    <w:rsid w:val="001C041D"/>
    <w:rsid w:val="001C1FB4"/>
    <w:rsid w:val="001C6E85"/>
    <w:rsid w:val="001D57CF"/>
    <w:rsid w:val="001D5D38"/>
    <w:rsid w:val="001D7D11"/>
    <w:rsid w:val="001D7E1E"/>
    <w:rsid w:val="001E0609"/>
    <w:rsid w:val="001F6071"/>
    <w:rsid w:val="0020733A"/>
    <w:rsid w:val="0021050C"/>
    <w:rsid w:val="00210F4C"/>
    <w:rsid w:val="002136D5"/>
    <w:rsid w:val="002143B1"/>
    <w:rsid w:val="00224E64"/>
    <w:rsid w:val="00226079"/>
    <w:rsid w:val="0023209D"/>
    <w:rsid w:val="00235EAF"/>
    <w:rsid w:val="00237671"/>
    <w:rsid w:val="0025437E"/>
    <w:rsid w:val="00256966"/>
    <w:rsid w:val="00256EAA"/>
    <w:rsid w:val="002707AB"/>
    <w:rsid w:val="00276B91"/>
    <w:rsid w:val="00290245"/>
    <w:rsid w:val="002919C5"/>
    <w:rsid w:val="00293753"/>
    <w:rsid w:val="002A07EC"/>
    <w:rsid w:val="002A4CAE"/>
    <w:rsid w:val="002B462A"/>
    <w:rsid w:val="002B4E9C"/>
    <w:rsid w:val="002E179E"/>
    <w:rsid w:val="002E1C49"/>
    <w:rsid w:val="002E2E79"/>
    <w:rsid w:val="002F66C8"/>
    <w:rsid w:val="00306C23"/>
    <w:rsid w:val="003108F9"/>
    <w:rsid w:val="003112B1"/>
    <w:rsid w:val="00317FE3"/>
    <w:rsid w:val="00322169"/>
    <w:rsid w:val="00325926"/>
    <w:rsid w:val="00331D9D"/>
    <w:rsid w:val="00332BC5"/>
    <w:rsid w:val="00336496"/>
    <w:rsid w:val="003372A6"/>
    <w:rsid w:val="00345C8A"/>
    <w:rsid w:val="00354148"/>
    <w:rsid w:val="003701EB"/>
    <w:rsid w:val="0037172E"/>
    <w:rsid w:val="003810D1"/>
    <w:rsid w:val="00394FE4"/>
    <w:rsid w:val="003956BC"/>
    <w:rsid w:val="003B3256"/>
    <w:rsid w:val="003D59BC"/>
    <w:rsid w:val="003E43E7"/>
    <w:rsid w:val="003E7AFE"/>
    <w:rsid w:val="003F5B86"/>
    <w:rsid w:val="00405F93"/>
    <w:rsid w:val="00406921"/>
    <w:rsid w:val="00413F84"/>
    <w:rsid w:val="00420ABE"/>
    <w:rsid w:val="00426E46"/>
    <w:rsid w:val="00440C5E"/>
    <w:rsid w:val="00444AA6"/>
    <w:rsid w:val="00457616"/>
    <w:rsid w:val="004609B2"/>
    <w:rsid w:val="00460BEF"/>
    <w:rsid w:val="004624C4"/>
    <w:rsid w:val="00464BB7"/>
    <w:rsid w:val="00472D4D"/>
    <w:rsid w:val="00486B17"/>
    <w:rsid w:val="00497992"/>
    <w:rsid w:val="004A425C"/>
    <w:rsid w:val="004B0447"/>
    <w:rsid w:val="004B485E"/>
    <w:rsid w:val="004B693D"/>
    <w:rsid w:val="004D019B"/>
    <w:rsid w:val="004D1887"/>
    <w:rsid w:val="004D5EF0"/>
    <w:rsid w:val="004E0F78"/>
    <w:rsid w:val="004E30E3"/>
    <w:rsid w:val="004E37B0"/>
    <w:rsid w:val="004F4B30"/>
    <w:rsid w:val="004F65BF"/>
    <w:rsid w:val="004F741F"/>
    <w:rsid w:val="004F7F43"/>
    <w:rsid w:val="00503D88"/>
    <w:rsid w:val="00503F2D"/>
    <w:rsid w:val="00506AFF"/>
    <w:rsid w:val="00510D62"/>
    <w:rsid w:val="0051192D"/>
    <w:rsid w:val="00514880"/>
    <w:rsid w:val="0053088E"/>
    <w:rsid w:val="00532662"/>
    <w:rsid w:val="0053464C"/>
    <w:rsid w:val="005558B9"/>
    <w:rsid w:val="005640D8"/>
    <w:rsid w:val="00572573"/>
    <w:rsid w:val="005831A8"/>
    <w:rsid w:val="00586175"/>
    <w:rsid w:val="00597384"/>
    <w:rsid w:val="005B5DF8"/>
    <w:rsid w:val="005D767B"/>
    <w:rsid w:val="005D7850"/>
    <w:rsid w:val="005F1C93"/>
    <w:rsid w:val="005F214E"/>
    <w:rsid w:val="005F4C71"/>
    <w:rsid w:val="005F6ABA"/>
    <w:rsid w:val="00635911"/>
    <w:rsid w:val="00636C4F"/>
    <w:rsid w:val="00643B48"/>
    <w:rsid w:val="00647DF4"/>
    <w:rsid w:val="00651DB6"/>
    <w:rsid w:val="00654678"/>
    <w:rsid w:val="0067328F"/>
    <w:rsid w:val="00675076"/>
    <w:rsid w:val="00680C4D"/>
    <w:rsid w:val="00686B99"/>
    <w:rsid w:val="0069220D"/>
    <w:rsid w:val="00696E25"/>
    <w:rsid w:val="006A03FD"/>
    <w:rsid w:val="006A1851"/>
    <w:rsid w:val="006B60AF"/>
    <w:rsid w:val="006B64EA"/>
    <w:rsid w:val="006C3CCB"/>
    <w:rsid w:val="006C514A"/>
    <w:rsid w:val="006D4D05"/>
    <w:rsid w:val="006D616C"/>
    <w:rsid w:val="006E1DFC"/>
    <w:rsid w:val="006F22AB"/>
    <w:rsid w:val="006F5387"/>
    <w:rsid w:val="00703698"/>
    <w:rsid w:val="00704B17"/>
    <w:rsid w:val="00727E67"/>
    <w:rsid w:val="00736764"/>
    <w:rsid w:val="007408B3"/>
    <w:rsid w:val="00741780"/>
    <w:rsid w:val="0074285B"/>
    <w:rsid w:val="0075002C"/>
    <w:rsid w:val="00751FBE"/>
    <w:rsid w:val="00753C5A"/>
    <w:rsid w:val="00762B30"/>
    <w:rsid w:val="007637D6"/>
    <w:rsid w:val="00764C9A"/>
    <w:rsid w:val="007666A2"/>
    <w:rsid w:val="00770162"/>
    <w:rsid w:val="0077144C"/>
    <w:rsid w:val="00777D46"/>
    <w:rsid w:val="007912B6"/>
    <w:rsid w:val="00792410"/>
    <w:rsid w:val="007937B0"/>
    <w:rsid w:val="007C52DF"/>
    <w:rsid w:val="007D563E"/>
    <w:rsid w:val="007E0FD0"/>
    <w:rsid w:val="007E423E"/>
    <w:rsid w:val="007E7BCF"/>
    <w:rsid w:val="007F1706"/>
    <w:rsid w:val="007F1946"/>
    <w:rsid w:val="007F5716"/>
    <w:rsid w:val="008149EF"/>
    <w:rsid w:val="00816079"/>
    <w:rsid w:val="00820584"/>
    <w:rsid w:val="00825901"/>
    <w:rsid w:val="00825A7B"/>
    <w:rsid w:val="0082624E"/>
    <w:rsid w:val="00834407"/>
    <w:rsid w:val="00835608"/>
    <w:rsid w:val="00841A3B"/>
    <w:rsid w:val="0084383E"/>
    <w:rsid w:val="00852258"/>
    <w:rsid w:val="008524D3"/>
    <w:rsid w:val="00867FCB"/>
    <w:rsid w:val="0088050C"/>
    <w:rsid w:val="00883D66"/>
    <w:rsid w:val="00884F75"/>
    <w:rsid w:val="00890F67"/>
    <w:rsid w:val="00896C73"/>
    <w:rsid w:val="008B19EA"/>
    <w:rsid w:val="008B3DED"/>
    <w:rsid w:val="008D24F2"/>
    <w:rsid w:val="008D47A9"/>
    <w:rsid w:val="008D47C3"/>
    <w:rsid w:val="008F2EC0"/>
    <w:rsid w:val="008F2F23"/>
    <w:rsid w:val="008F3152"/>
    <w:rsid w:val="008F43D4"/>
    <w:rsid w:val="008F7483"/>
    <w:rsid w:val="00916E0C"/>
    <w:rsid w:val="00920E49"/>
    <w:rsid w:val="00926487"/>
    <w:rsid w:val="0093238A"/>
    <w:rsid w:val="009400F1"/>
    <w:rsid w:val="00955F41"/>
    <w:rsid w:val="00965A3B"/>
    <w:rsid w:val="009746C3"/>
    <w:rsid w:val="009773D3"/>
    <w:rsid w:val="0098038C"/>
    <w:rsid w:val="0098272C"/>
    <w:rsid w:val="00983C2A"/>
    <w:rsid w:val="00991858"/>
    <w:rsid w:val="00995CA3"/>
    <w:rsid w:val="0099661C"/>
    <w:rsid w:val="00996B30"/>
    <w:rsid w:val="009974E1"/>
    <w:rsid w:val="009A12E7"/>
    <w:rsid w:val="009A22E1"/>
    <w:rsid w:val="009A4394"/>
    <w:rsid w:val="009C10E5"/>
    <w:rsid w:val="009C45E8"/>
    <w:rsid w:val="009E2CC2"/>
    <w:rsid w:val="009E38F7"/>
    <w:rsid w:val="009E69A6"/>
    <w:rsid w:val="009E6F47"/>
    <w:rsid w:val="009F2EDB"/>
    <w:rsid w:val="009F3EBF"/>
    <w:rsid w:val="009F6887"/>
    <w:rsid w:val="00A020E8"/>
    <w:rsid w:val="00A05D9D"/>
    <w:rsid w:val="00A2092A"/>
    <w:rsid w:val="00A22CC0"/>
    <w:rsid w:val="00A371C2"/>
    <w:rsid w:val="00A50091"/>
    <w:rsid w:val="00A52A77"/>
    <w:rsid w:val="00A67CBB"/>
    <w:rsid w:val="00A74075"/>
    <w:rsid w:val="00A77685"/>
    <w:rsid w:val="00A83C22"/>
    <w:rsid w:val="00A96C02"/>
    <w:rsid w:val="00AA226B"/>
    <w:rsid w:val="00AA2DAE"/>
    <w:rsid w:val="00AB5FE0"/>
    <w:rsid w:val="00AC40AB"/>
    <w:rsid w:val="00AE6937"/>
    <w:rsid w:val="00AF311D"/>
    <w:rsid w:val="00B318B5"/>
    <w:rsid w:val="00B3290D"/>
    <w:rsid w:val="00B32D2B"/>
    <w:rsid w:val="00B52A19"/>
    <w:rsid w:val="00B547E6"/>
    <w:rsid w:val="00B56E97"/>
    <w:rsid w:val="00B56EFD"/>
    <w:rsid w:val="00B62E31"/>
    <w:rsid w:val="00B7209F"/>
    <w:rsid w:val="00B8696C"/>
    <w:rsid w:val="00B90AA3"/>
    <w:rsid w:val="00B93252"/>
    <w:rsid w:val="00B955E6"/>
    <w:rsid w:val="00BA4163"/>
    <w:rsid w:val="00BB24DC"/>
    <w:rsid w:val="00BB580F"/>
    <w:rsid w:val="00BB7BDF"/>
    <w:rsid w:val="00BD2786"/>
    <w:rsid w:val="00BD38C5"/>
    <w:rsid w:val="00BD7655"/>
    <w:rsid w:val="00BE00B3"/>
    <w:rsid w:val="00BF465E"/>
    <w:rsid w:val="00BF7BB3"/>
    <w:rsid w:val="00BF7C9F"/>
    <w:rsid w:val="00C02032"/>
    <w:rsid w:val="00C07009"/>
    <w:rsid w:val="00C079A0"/>
    <w:rsid w:val="00C07EB5"/>
    <w:rsid w:val="00C12627"/>
    <w:rsid w:val="00C17205"/>
    <w:rsid w:val="00C313B9"/>
    <w:rsid w:val="00C349E5"/>
    <w:rsid w:val="00C3768F"/>
    <w:rsid w:val="00C37FD6"/>
    <w:rsid w:val="00C40037"/>
    <w:rsid w:val="00C41B4A"/>
    <w:rsid w:val="00C45E4D"/>
    <w:rsid w:val="00C52512"/>
    <w:rsid w:val="00C56CE2"/>
    <w:rsid w:val="00C65CD6"/>
    <w:rsid w:val="00C6634C"/>
    <w:rsid w:val="00C74FE6"/>
    <w:rsid w:val="00C76BA3"/>
    <w:rsid w:val="00C959E1"/>
    <w:rsid w:val="00CA1D02"/>
    <w:rsid w:val="00CA7DC8"/>
    <w:rsid w:val="00CB14E4"/>
    <w:rsid w:val="00CB7364"/>
    <w:rsid w:val="00CC29C9"/>
    <w:rsid w:val="00CC7A17"/>
    <w:rsid w:val="00CD05A9"/>
    <w:rsid w:val="00CF31D5"/>
    <w:rsid w:val="00CF4145"/>
    <w:rsid w:val="00CF74CC"/>
    <w:rsid w:val="00D01D65"/>
    <w:rsid w:val="00D11894"/>
    <w:rsid w:val="00D12BF3"/>
    <w:rsid w:val="00D31BE0"/>
    <w:rsid w:val="00D32C63"/>
    <w:rsid w:val="00D364E7"/>
    <w:rsid w:val="00D45E06"/>
    <w:rsid w:val="00D531EE"/>
    <w:rsid w:val="00D56CBA"/>
    <w:rsid w:val="00D62A0D"/>
    <w:rsid w:val="00D67212"/>
    <w:rsid w:val="00D8714B"/>
    <w:rsid w:val="00D91F05"/>
    <w:rsid w:val="00DA28E6"/>
    <w:rsid w:val="00DB0F5F"/>
    <w:rsid w:val="00DC0B80"/>
    <w:rsid w:val="00DC39A7"/>
    <w:rsid w:val="00DC539A"/>
    <w:rsid w:val="00DE4217"/>
    <w:rsid w:val="00DE47BE"/>
    <w:rsid w:val="00DE51D9"/>
    <w:rsid w:val="00DF0D5C"/>
    <w:rsid w:val="00DF6E98"/>
    <w:rsid w:val="00E00DA5"/>
    <w:rsid w:val="00E130CB"/>
    <w:rsid w:val="00E13C16"/>
    <w:rsid w:val="00E26712"/>
    <w:rsid w:val="00E36214"/>
    <w:rsid w:val="00E427AB"/>
    <w:rsid w:val="00E56286"/>
    <w:rsid w:val="00E6432B"/>
    <w:rsid w:val="00E662E4"/>
    <w:rsid w:val="00E71DA6"/>
    <w:rsid w:val="00E74C89"/>
    <w:rsid w:val="00E767FC"/>
    <w:rsid w:val="00E85344"/>
    <w:rsid w:val="00E924A6"/>
    <w:rsid w:val="00E92D25"/>
    <w:rsid w:val="00EA094F"/>
    <w:rsid w:val="00EA3F31"/>
    <w:rsid w:val="00EB56BC"/>
    <w:rsid w:val="00EB78F9"/>
    <w:rsid w:val="00ED3DC9"/>
    <w:rsid w:val="00ED6A1E"/>
    <w:rsid w:val="00EE003C"/>
    <w:rsid w:val="00EE2AAC"/>
    <w:rsid w:val="00F0101A"/>
    <w:rsid w:val="00F01F60"/>
    <w:rsid w:val="00F0239C"/>
    <w:rsid w:val="00F232AB"/>
    <w:rsid w:val="00F30158"/>
    <w:rsid w:val="00F37D46"/>
    <w:rsid w:val="00F4037C"/>
    <w:rsid w:val="00F45018"/>
    <w:rsid w:val="00F54420"/>
    <w:rsid w:val="00F61D32"/>
    <w:rsid w:val="00F62259"/>
    <w:rsid w:val="00F70087"/>
    <w:rsid w:val="00F72623"/>
    <w:rsid w:val="00F72FFA"/>
    <w:rsid w:val="00F7635F"/>
    <w:rsid w:val="00F80BBD"/>
    <w:rsid w:val="00F86525"/>
    <w:rsid w:val="00F867C0"/>
    <w:rsid w:val="00F86977"/>
    <w:rsid w:val="00F90E6C"/>
    <w:rsid w:val="00F94163"/>
    <w:rsid w:val="00F94B8A"/>
    <w:rsid w:val="00F967E1"/>
    <w:rsid w:val="00FB4964"/>
    <w:rsid w:val="00FC2509"/>
    <w:rsid w:val="00FC701D"/>
    <w:rsid w:val="00FE67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F861A"/>
  <w15:docId w15:val="{FA6F1C04-7722-4D07-9375-982CC90B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E8"/>
  </w:style>
  <w:style w:type="paragraph" w:styleId="Heading1">
    <w:name w:val="heading 1"/>
    <w:basedOn w:val="Normal"/>
    <w:next w:val="Normal"/>
    <w:link w:val="Heading1Char"/>
    <w:uiPriority w:val="9"/>
    <w:qFormat/>
    <w:rsid w:val="00A532D5"/>
    <w:pPr>
      <w:keepNext/>
      <w:keepLines/>
      <w:numPr>
        <w:numId w:val="2"/>
      </w:numPr>
      <w:spacing w:before="240" w:after="120" w:line="259" w:lineRule="auto"/>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semiHidden/>
    <w:unhideWhenUsed/>
    <w:qFormat/>
    <w:rsid w:val="00814B46"/>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14B46"/>
    <w:pPr>
      <w:keepNext/>
      <w:keepLines/>
      <w:numPr>
        <w:ilvl w:val="2"/>
        <w:numId w:val="2"/>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14B46"/>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14B46"/>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14B46"/>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14B46"/>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14B4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14B4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532D5"/>
    <w:rPr>
      <w:rFonts w:ascii="Times New Roman" w:eastAsiaTheme="majorEastAsia" w:hAnsi="Times New Roman" w:cstheme="majorBidi"/>
      <w:b/>
      <w:color w:val="000000" w:themeColor="text1"/>
      <w:szCs w:val="32"/>
    </w:rPr>
  </w:style>
  <w:style w:type="paragraph" w:styleId="NormalWeb">
    <w:name w:val="Normal (Web)"/>
    <w:basedOn w:val="Normal"/>
    <w:uiPriority w:val="99"/>
    <w:semiHidden/>
    <w:unhideWhenUsed/>
    <w:rsid w:val="000505FA"/>
    <w:pPr>
      <w:spacing w:before="100" w:beforeAutospacing="1" w:after="100" w:afterAutospacing="1"/>
    </w:pPr>
  </w:style>
  <w:style w:type="paragraph" w:customStyle="1" w:styleId="Stile1">
    <w:name w:val="Stile1"/>
    <w:basedOn w:val="Heading1"/>
    <w:qFormat/>
    <w:rsid w:val="00814B46"/>
    <w:pPr>
      <w:numPr>
        <w:numId w:val="0"/>
      </w:numPr>
      <w:tabs>
        <w:tab w:val="num" w:pos="720"/>
      </w:tabs>
      <w:ind w:left="720" w:hanging="720"/>
    </w:pPr>
  </w:style>
  <w:style w:type="paragraph" w:customStyle="1" w:styleId="Stile2">
    <w:name w:val="Stile2"/>
    <w:basedOn w:val="Stile1"/>
    <w:qFormat/>
    <w:rsid w:val="00796A53"/>
    <w:pPr>
      <w:ind w:left="714" w:hanging="357"/>
      <w:outlineLvl w:val="9"/>
    </w:pPr>
  </w:style>
  <w:style w:type="character" w:customStyle="1" w:styleId="Heading2Char">
    <w:name w:val="Heading 2 Char"/>
    <w:basedOn w:val="DefaultParagraphFont"/>
    <w:link w:val="Heading2"/>
    <w:uiPriority w:val="9"/>
    <w:rsid w:val="00814B4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14B46"/>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814B4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14B4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14B4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14B4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14B4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14B4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3E2F8B"/>
    <w:pPr>
      <w:ind w:left="720"/>
      <w:contextualSpacing/>
    </w:pPr>
  </w:style>
  <w:style w:type="numbering" w:customStyle="1" w:styleId="Elencocorrente1">
    <w:name w:val="Elenco corrente1"/>
    <w:uiPriority w:val="99"/>
    <w:rsid w:val="00814B4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408B3"/>
    <w:pPr>
      <w:tabs>
        <w:tab w:val="center" w:pos="4819"/>
        <w:tab w:val="right" w:pos="9638"/>
      </w:tabs>
    </w:pPr>
  </w:style>
  <w:style w:type="character" w:customStyle="1" w:styleId="HeaderChar">
    <w:name w:val="Header Char"/>
    <w:basedOn w:val="DefaultParagraphFont"/>
    <w:link w:val="Header"/>
    <w:uiPriority w:val="99"/>
    <w:rsid w:val="007408B3"/>
  </w:style>
  <w:style w:type="paragraph" w:styleId="Footer">
    <w:name w:val="footer"/>
    <w:basedOn w:val="Normal"/>
    <w:link w:val="FooterChar"/>
    <w:uiPriority w:val="99"/>
    <w:unhideWhenUsed/>
    <w:rsid w:val="007408B3"/>
    <w:pPr>
      <w:tabs>
        <w:tab w:val="center" w:pos="4819"/>
        <w:tab w:val="right" w:pos="9638"/>
      </w:tabs>
    </w:pPr>
  </w:style>
  <w:style w:type="character" w:customStyle="1" w:styleId="FooterChar">
    <w:name w:val="Footer Char"/>
    <w:basedOn w:val="DefaultParagraphFont"/>
    <w:link w:val="Footer"/>
    <w:uiPriority w:val="99"/>
    <w:rsid w:val="007408B3"/>
  </w:style>
  <w:style w:type="paragraph" w:styleId="FootnoteText">
    <w:name w:val="footnote text"/>
    <w:basedOn w:val="Normal"/>
    <w:link w:val="FootnoteTextChar"/>
    <w:uiPriority w:val="99"/>
    <w:semiHidden/>
    <w:unhideWhenUsed/>
    <w:rsid w:val="00E36214"/>
    <w:rPr>
      <w:sz w:val="20"/>
      <w:szCs w:val="20"/>
    </w:rPr>
  </w:style>
  <w:style w:type="character" w:customStyle="1" w:styleId="FootnoteTextChar">
    <w:name w:val="Footnote Text Char"/>
    <w:basedOn w:val="DefaultParagraphFont"/>
    <w:link w:val="FootnoteText"/>
    <w:uiPriority w:val="99"/>
    <w:semiHidden/>
    <w:rsid w:val="00E36214"/>
    <w:rPr>
      <w:sz w:val="20"/>
      <w:szCs w:val="20"/>
    </w:rPr>
  </w:style>
  <w:style w:type="character" w:styleId="FootnoteReference">
    <w:name w:val="footnote reference"/>
    <w:basedOn w:val="DefaultParagraphFont"/>
    <w:uiPriority w:val="99"/>
    <w:semiHidden/>
    <w:unhideWhenUsed/>
    <w:rsid w:val="00E36214"/>
    <w:rPr>
      <w:vertAlign w:val="superscript"/>
    </w:rPr>
  </w:style>
  <w:style w:type="paragraph" w:styleId="BalloonText">
    <w:name w:val="Balloon Text"/>
    <w:basedOn w:val="Normal"/>
    <w:link w:val="BalloonTextChar"/>
    <w:uiPriority w:val="99"/>
    <w:semiHidden/>
    <w:unhideWhenUsed/>
    <w:rsid w:val="006C3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CCB"/>
    <w:rPr>
      <w:rFonts w:ascii="Segoe UI" w:hAnsi="Segoe UI" w:cs="Segoe UI"/>
      <w:sz w:val="18"/>
      <w:szCs w:val="18"/>
    </w:rPr>
  </w:style>
  <w:style w:type="paragraph" w:styleId="Revision">
    <w:name w:val="Revision"/>
    <w:hidden/>
    <w:uiPriority w:val="99"/>
    <w:semiHidden/>
    <w:rsid w:val="00394FE4"/>
  </w:style>
  <w:style w:type="character" w:styleId="Hyperlink">
    <w:name w:val="Hyperlink"/>
    <w:basedOn w:val="DefaultParagraphFont"/>
    <w:uiPriority w:val="99"/>
    <w:unhideWhenUsed/>
    <w:rsid w:val="00BE00B3"/>
    <w:rPr>
      <w:color w:val="0563C1" w:themeColor="hyperlink"/>
      <w:u w:val="single"/>
    </w:rPr>
  </w:style>
  <w:style w:type="character" w:styleId="UnresolvedMention">
    <w:name w:val="Unresolved Mention"/>
    <w:basedOn w:val="DefaultParagraphFont"/>
    <w:uiPriority w:val="99"/>
    <w:semiHidden/>
    <w:unhideWhenUsed/>
    <w:rsid w:val="00BE00B3"/>
    <w:rPr>
      <w:color w:val="605E5C"/>
      <w:shd w:val="clear" w:color="auto" w:fill="E1DFDD"/>
    </w:rPr>
  </w:style>
  <w:style w:type="character" w:styleId="CommentReference">
    <w:name w:val="annotation reference"/>
    <w:basedOn w:val="DefaultParagraphFont"/>
    <w:uiPriority w:val="99"/>
    <w:semiHidden/>
    <w:unhideWhenUsed/>
    <w:rsid w:val="00727E67"/>
    <w:rPr>
      <w:sz w:val="16"/>
      <w:szCs w:val="16"/>
    </w:rPr>
  </w:style>
  <w:style w:type="paragraph" w:styleId="CommentText">
    <w:name w:val="annotation text"/>
    <w:basedOn w:val="Normal"/>
    <w:link w:val="CommentTextChar"/>
    <w:uiPriority w:val="99"/>
    <w:semiHidden/>
    <w:unhideWhenUsed/>
    <w:rsid w:val="00727E67"/>
    <w:rPr>
      <w:sz w:val="20"/>
      <w:szCs w:val="20"/>
    </w:rPr>
  </w:style>
  <w:style w:type="character" w:customStyle="1" w:styleId="CommentTextChar">
    <w:name w:val="Comment Text Char"/>
    <w:basedOn w:val="DefaultParagraphFont"/>
    <w:link w:val="CommentText"/>
    <w:uiPriority w:val="99"/>
    <w:semiHidden/>
    <w:rsid w:val="00727E67"/>
    <w:rPr>
      <w:sz w:val="20"/>
      <w:szCs w:val="20"/>
    </w:rPr>
  </w:style>
  <w:style w:type="paragraph" w:styleId="CommentSubject">
    <w:name w:val="annotation subject"/>
    <w:basedOn w:val="CommentText"/>
    <w:next w:val="CommentText"/>
    <w:link w:val="CommentSubjectChar"/>
    <w:uiPriority w:val="99"/>
    <w:semiHidden/>
    <w:unhideWhenUsed/>
    <w:rsid w:val="00727E67"/>
    <w:rPr>
      <w:b/>
      <w:bCs/>
    </w:rPr>
  </w:style>
  <w:style w:type="character" w:customStyle="1" w:styleId="CommentSubjectChar">
    <w:name w:val="Comment Subject Char"/>
    <w:basedOn w:val="CommentTextChar"/>
    <w:link w:val="CommentSubject"/>
    <w:uiPriority w:val="99"/>
    <w:semiHidden/>
    <w:rsid w:val="00727E67"/>
    <w:rPr>
      <w:b/>
      <w:bCs/>
      <w:sz w:val="20"/>
      <w:szCs w:val="20"/>
    </w:rPr>
  </w:style>
  <w:style w:type="table" w:styleId="TableGrid">
    <w:name w:val="Table Grid"/>
    <w:basedOn w:val="TableNormal"/>
    <w:uiPriority w:val="39"/>
    <w:rsid w:val="00750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248748">
      <w:bodyDiv w:val="1"/>
      <w:marLeft w:val="0"/>
      <w:marRight w:val="0"/>
      <w:marTop w:val="0"/>
      <w:marBottom w:val="0"/>
      <w:divBdr>
        <w:top w:val="none" w:sz="0" w:space="0" w:color="auto"/>
        <w:left w:val="none" w:sz="0" w:space="0" w:color="auto"/>
        <w:bottom w:val="none" w:sz="0" w:space="0" w:color="auto"/>
        <w:right w:val="none" w:sz="0" w:space="0" w:color="auto"/>
      </w:divBdr>
    </w:div>
    <w:div w:id="120080070">
      <w:bodyDiv w:val="1"/>
      <w:marLeft w:val="0"/>
      <w:marRight w:val="0"/>
      <w:marTop w:val="0"/>
      <w:marBottom w:val="0"/>
      <w:divBdr>
        <w:top w:val="none" w:sz="0" w:space="0" w:color="auto"/>
        <w:left w:val="none" w:sz="0" w:space="0" w:color="auto"/>
        <w:bottom w:val="none" w:sz="0" w:space="0" w:color="auto"/>
        <w:right w:val="none" w:sz="0" w:space="0" w:color="auto"/>
      </w:divBdr>
    </w:div>
    <w:div w:id="207111408">
      <w:bodyDiv w:val="1"/>
      <w:marLeft w:val="0"/>
      <w:marRight w:val="0"/>
      <w:marTop w:val="0"/>
      <w:marBottom w:val="0"/>
      <w:divBdr>
        <w:top w:val="none" w:sz="0" w:space="0" w:color="auto"/>
        <w:left w:val="none" w:sz="0" w:space="0" w:color="auto"/>
        <w:bottom w:val="none" w:sz="0" w:space="0" w:color="auto"/>
        <w:right w:val="none" w:sz="0" w:space="0" w:color="auto"/>
      </w:divBdr>
    </w:div>
    <w:div w:id="217518977">
      <w:bodyDiv w:val="1"/>
      <w:marLeft w:val="0"/>
      <w:marRight w:val="0"/>
      <w:marTop w:val="0"/>
      <w:marBottom w:val="0"/>
      <w:divBdr>
        <w:top w:val="none" w:sz="0" w:space="0" w:color="auto"/>
        <w:left w:val="none" w:sz="0" w:space="0" w:color="auto"/>
        <w:bottom w:val="none" w:sz="0" w:space="0" w:color="auto"/>
        <w:right w:val="none" w:sz="0" w:space="0" w:color="auto"/>
      </w:divBdr>
      <w:divsChild>
        <w:div w:id="1815442999">
          <w:marLeft w:val="547"/>
          <w:marRight w:val="0"/>
          <w:marTop w:val="0"/>
          <w:marBottom w:val="160"/>
          <w:divBdr>
            <w:top w:val="none" w:sz="0" w:space="0" w:color="auto"/>
            <w:left w:val="none" w:sz="0" w:space="0" w:color="auto"/>
            <w:bottom w:val="none" w:sz="0" w:space="0" w:color="auto"/>
            <w:right w:val="none" w:sz="0" w:space="0" w:color="auto"/>
          </w:divBdr>
        </w:div>
        <w:div w:id="1852336716">
          <w:marLeft w:val="547"/>
          <w:marRight w:val="0"/>
          <w:marTop w:val="0"/>
          <w:marBottom w:val="160"/>
          <w:divBdr>
            <w:top w:val="none" w:sz="0" w:space="0" w:color="auto"/>
            <w:left w:val="none" w:sz="0" w:space="0" w:color="auto"/>
            <w:bottom w:val="none" w:sz="0" w:space="0" w:color="auto"/>
            <w:right w:val="none" w:sz="0" w:space="0" w:color="auto"/>
          </w:divBdr>
        </w:div>
      </w:divsChild>
    </w:div>
    <w:div w:id="331832297">
      <w:bodyDiv w:val="1"/>
      <w:marLeft w:val="0"/>
      <w:marRight w:val="0"/>
      <w:marTop w:val="0"/>
      <w:marBottom w:val="0"/>
      <w:divBdr>
        <w:top w:val="none" w:sz="0" w:space="0" w:color="auto"/>
        <w:left w:val="none" w:sz="0" w:space="0" w:color="auto"/>
        <w:bottom w:val="none" w:sz="0" w:space="0" w:color="auto"/>
        <w:right w:val="none" w:sz="0" w:space="0" w:color="auto"/>
      </w:divBdr>
    </w:div>
    <w:div w:id="366025545">
      <w:bodyDiv w:val="1"/>
      <w:marLeft w:val="0"/>
      <w:marRight w:val="0"/>
      <w:marTop w:val="0"/>
      <w:marBottom w:val="0"/>
      <w:divBdr>
        <w:top w:val="none" w:sz="0" w:space="0" w:color="auto"/>
        <w:left w:val="none" w:sz="0" w:space="0" w:color="auto"/>
        <w:bottom w:val="none" w:sz="0" w:space="0" w:color="auto"/>
        <w:right w:val="none" w:sz="0" w:space="0" w:color="auto"/>
      </w:divBdr>
    </w:div>
    <w:div w:id="391806394">
      <w:bodyDiv w:val="1"/>
      <w:marLeft w:val="0"/>
      <w:marRight w:val="0"/>
      <w:marTop w:val="0"/>
      <w:marBottom w:val="0"/>
      <w:divBdr>
        <w:top w:val="none" w:sz="0" w:space="0" w:color="auto"/>
        <w:left w:val="none" w:sz="0" w:space="0" w:color="auto"/>
        <w:bottom w:val="none" w:sz="0" w:space="0" w:color="auto"/>
        <w:right w:val="none" w:sz="0" w:space="0" w:color="auto"/>
      </w:divBdr>
      <w:divsChild>
        <w:div w:id="779036525">
          <w:marLeft w:val="720"/>
          <w:marRight w:val="0"/>
          <w:marTop w:val="0"/>
          <w:marBottom w:val="120"/>
          <w:divBdr>
            <w:top w:val="none" w:sz="0" w:space="0" w:color="auto"/>
            <w:left w:val="none" w:sz="0" w:space="0" w:color="auto"/>
            <w:bottom w:val="none" w:sz="0" w:space="0" w:color="auto"/>
            <w:right w:val="none" w:sz="0" w:space="0" w:color="auto"/>
          </w:divBdr>
        </w:div>
        <w:div w:id="2139258210">
          <w:marLeft w:val="720"/>
          <w:marRight w:val="0"/>
          <w:marTop w:val="0"/>
          <w:marBottom w:val="120"/>
          <w:divBdr>
            <w:top w:val="none" w:sz="0" w:space="0" w:color="auto"/>
            <w:left w:val="none" w:sz="0" w:space="0" w:color="auto"/>
            <w:bottom w:val="none" w:sz="0" w:space="0" w:color="auto"/>
            <w:right w:val="none" w:sz="0" w:space="0" w:color="auto"/>
          </w:divBdr>
        </w:div>
        <w:div w:id="22441709">
          <w:marLeft w:val="720"/>
          <w:marRight w:val="0"/>
          <w:marTop w:val="0"/>
          <w:marBottom w:val="120"/>
          <w:divBdr>
            <w:top w:val="none" w:sz="0" w:space="0" w:color="auto"/>
            <w:left w:val="none" w:sz="0" w:space="0" w:color="auto"/>
            <w:bottom w:val="none" w:sz="0" w:space="0" w:color="auto"/>
            <w:right w:val="none" w:sz="0" w:space="0" w:color="auto"/>
          </w:divBdr>
        </w:div>
      </w:divsChild>
    </w:div>
    <w:div w:id="584849458">
      <w:bodyDiv w:val="1"/>
      <w:marLeft w:val="0"/>
      <w:marRight w:val="0"/>
      <w:marTop w:val="0"/>
      <w:marBottom w:val="0"/>
      <w:divBdr>
        <w:top w:val="none" w:sz="0" w:space="0" w:color="auto"/>
        <w:left w:val="none" w:sz="0" w:space="0" w:color="auto"/>
        <w:bottom w:val="none" w:sz="0" w:space="0" w:color="auto"/>
        <w:right w:val="none" w:sz="0" w:space="0" w:color="auto"/>
      </w:divBdr>
    </w:div>
    <w:div w:id="683745285">
      <w:bodyDiv w:val="1"/>
      <w:marLeft w:val="0"/>
      <w:marRight w:val="0"/>
      <w:marTop w:val="0"/>
      <w:marBottom w:val="0"/>
      <w:divBdr>
        <w:top w:val="none" w:sz="0" w:space="0" w:color="auto"/>
        <w:left w:val="none" w:sz="0" w:space="0" w:color="auto"/>
        <w:bottom w:val="none" w:sz="0" w:space="0" w:color="auto"/>
        <w:right w:val="none" w:sz="0" w:space="0" w:color="auto"/>
      </w:divBdr>
    </w:div>
    <w:div w:id="705833073">
      <w:bodyDiv w:val="1"/>
      <w:marLeft w:val="0"/>
      <w:marRight w:val="0"/>
      <w:marTop w:val="0"/>
      <w:marBottom w:val="0"/>
      <w:divBdr>
        <w:top w:val="none" w:sz="0" w:space="0" w:color="auto"/>
        <w:left w:val="none" w:sz="0" w:space="0" w:color="auto"/>
        <w:bottom w:val="none" w:sz="0" w:space="0" w:color="auto"/>
        <w:right w:val="none" w:sz="0" w:space="0" w:color="auto"/>
      </w:divBdr>
    </w:div>
    <w:div w:id="754909356">
      <w:bodyDiv w:val="1"/>
      <w:marLeft w:val="0"/>
      <w:marRight w:val="0"/>
      <w:marTop w:val="0"/>
      <w:marBottom w:val="0"/>
      <w:divBdr>
        <w:top w:val="none" w:sz="0" w:space="0" w:color="auto"/>
        <w:left w:val="none" w:sz="0" w:space="0" w:color="auto"/>
        <w:bottom w:val="none" w:sz="0" w:space="0" w:color="auto"/>
        <w:right w:val="none" w:sz="0" w:space="0" w:color="auto"/>
      </w:divBdr>
    </w:div>
    <w:div w:id="812329663">
      <w:bodyDiv w:val="1"/>
      <w:marLeft w:val="0"/>
      <w:marRight w:val="0"/>
      <w:marTop w:val="0"/>
      <w:marBottom w:val="0"/>
      <w:divBdr>
        <w:top w:val="none" w:sz="0" w:space="0" w:color="auto"/>
        <w:left w:val="none" w:sz="0" w:space="0" w:color="auto"/>
        <w:bottom w:val="none" w:sz="0" w:space="0" w:color="auto"/>
        <w:right w:val="none" w:sz="0" w:space="0" w:color="auto"/>
      </w:divBdr>
    </w:div>
    <w:div w:id="1018236561">
      <w:bodyDiv w:val="1"/>
      <w:marLeft w:val="0"/>
      <w:marRight w:val="0"/>
      <w:marTop w:val="0"/>
      <w:marBottom w:val="0"/>
      <w:divBdr>
        <w:top w:val="none" w:sz="0" w:space="0" w:color="auto"/>
        <w:left w:val="none" w:sz="0" w:space="0" w:color="auto"/>
        <w:bottom w:val="none" w:sz="0" w:space="0" w:color="auto"/>
        <w:right w:val="none" w:sz="0" w:space="0" w:color="auto"/>
      </w:divBdr>
      <w:divsChild>
        <w:div w:id="1575553272">
          <w:marLeft w:val="446"/>
          <w:marRight w:val="0"/>
          <w:marTop w:val="0"/>
          <w:marBottom w:val="0"/>
          <w:divBdr>
            <w:top w:val="none" w:sz="0" w:space="0" w:color="auto"/>
            <w:left w:val="none" w:sz="0" w:space="0" w:color="auto"/>
            <w:bottom w:val="none" w:sz="0" w:space="0" w:color="auto"/>
            <w:right w:val="none" w:sz="0" w:space="0" w:color="auto"/>
          </w:divBdr>
        </w:div>
        <w:div w:id="772281758">
          <w:marLeft w:val="446"/>
          <w:marRight w:val="0"/>
          <w:marTop w:val="0"/>
          <w:marBottom w:val="0"/>
          <w:divBdr>
            <w:top w:val="none" w:sz="0" w:space="0" w:color="auto"/>
            <w:left w:val="none" w:sz="0" w:space="0" w:color="auto"/>
            <w:bottom w:val="none" w:sz="0" w:space="0" w:color="auto"/>
            <w:right w:val="none" w:sz="0" w:space="0" w:color="auto"/>
          </w:divBdr>
        </w:div>
        <w:div w:id="989943387">
          <w:marLeft w:val="446"/>
          <w:marRight w:val="0"/>
          <w:marTop w:val="0"/>
          <w:marBottom w:val="0"/>
          <w:divBdr>
            <w:top w:val="none" w:sz="0" w:space="0" w:color="auto"/>
            <w:left w:val="none" w:sz="0" w:space="0" w:color="auto"/>
            <w:bottom w:val="none" w:sz="0" w:space="0" w:color="auto"/>
            <w:right w:val="none" w:sz="0" w:space="0" w:color="auto"/>
          </w:divBdr>
        </w:div>
        <w:div w:id="192497386">
          <w:marLeft w:val="446"/>
          <w:marRight w:val="0"/>
          <w:marTop w:val="0"/>
          <w:marBottom w:val="0"/>
          <w:divBdr>
            <w:top w:val="none" w:sz="0" w:space="0" w:color="auto"/>
            <w:left w:val="none" w:sz="0" w:space="0" w:color="auto"/>
            <w:bottom w:val="none" w:sz="0" w:space="0" w:color="auto"/>
            <w:right w:val="none" w:sz="0" w:space="0" w:color="auto"/>
          </w:divBdr>
        </w:div>
        <w:div w:id="1162814933">
          <w:marLeft w:val="446"/>
          <w:marRight w:val="0"/>
          <w:marTop w:val="0"/>
          <w:marBottom w:val="0"/>
          <w:divBdr>
            <w:top w:val="none" w:sz="0" w:space="0" w:color="auto"/>
            <w:left w:val="none" w:sz="0" w:space="0" w:color="auto"/>
            <w:bottom w:val="none" w:sz="0" w:space="0" w:color="auto"/>
            <w:right w:val="none" w:sz="0" w:space="0" w:color="auto"/>
          </w:divBdr>
        </w:div>
        <w:div w:id="1535918691">
          <w:marLeft w:val="446"/>
          <w:marRight w:val="0"/>
          <w:marTop w:val="0"/>
          <w:marBottom w:val="0"/>
          <w:divBdr>
            <w:top w:val="none" w:sz="0" w:space="0" w:color="auto"/>
            <w:left w:val="none" w:sz="0" w:space="0" w:color="auto"/>
            <w:bottom w:val="none" w:sz="0" w:space="0" w:color="auto"/>
            <w:right w:val="none" w:sz="0" w:space="0" w:color="auto"/>
          </w:divBdr>
        </w:div>
        <w:div w:id="1956518835">
          <w:marLeft w:val="446"/>
          <w:marRight w:val="0"/>
          <w:marTop w:val="0"/>
          <w:marBottom w:val="0"/>
          <w:divBdr>
            <w:top w:val="none" w:sz="0" w:space="0" w:color="auto"/>
            <w:left w:val="none" w:sz="0" w:space="0" w:color="auto"/>
            <w:bottom w:val="none" w:sz="0" w:space="0" w:color="auto"/>
            <w:right w:val="none" w:sz="0" w:space="0" w:color="auto"/>
          </w:divBdr>
        </w:div>
      </w:divsChild>
    </w:div>
    <w:div w:id="1095445181">
      <w:bodyDiv w:val="1"/>
      <w:marLeft w:val="0"/>
      <w:marRight w:val="0"/>
      <w:marTop w:val="0"/>
      <w:marBottom w:val="0"/>
      <w:divBdr>
        <w:top w:val="none" w:sz="0" w:space="0" w:color="auto"/>
        <w:left w:val="none" w:sz="0" w:space="0" w:color="auto"/>
        <w:bottom w:val="none" w:sz="0" w:space="0" w:color="auto"/>
        <w:right w:val="none" w:sz="0" w:space="0" w:color="auto"/>
      </w:divBdr>
    </w:div>
    <w:div w:id="1335063805">
      <w:bodyDiv w:val="1"/>
      <w:marLeft w:val="0"/>
      <w:marRight w:val="0"/>
      <w:marTop w:val="0"/>
      <w:marBottom w:val="0"/>
      <w:divBdr>
        <w:top w:val="none" w:sz="0" w:space="0" w:color="auto"/>
        <w:left w:val="none" w:sz="0" w:space="0" w:color="auto"/>
        <w:bottom w:val="none" w:sz="0" w:space="0" w:color="auto"/>
        <w:right w:val="none" w:sz="0" w:space="0" w:color="auto"/>
      </w:divBdr>
    </w:div>
    <w:div w:id="1490055063">
      <w:bodyDiv w:val="1"/>
      <w:marLeft w:val="0"/>
      <w:marRight w:val="0"/>
      <w:marTop w:val="0"/>
      <w:marBottom w:val="0"/>
      <w:divBdr>
        <w:top w:val="none" w:sz="0" w:space="0" w:color="auto"/>
        <w:left w:val="none" w:sz="0" w:space="0" w:color="auto"/>
        <w:bottom w:val="none" w:sz="0" w:space="0" w:color="auto"/>
        <w:right w:val="none" w:sz="0" w:space="0" w:color="auto"/>
      </w:divBdr>
      <w:divsChild>
        <w:div w:id="1075856044">
          <w:marLeft w:val="0"/>
          <w:marRight w:val="0"/>
          <w:marTop w:val="0"/>
          <w:marBottom w:val="0"/>
          <w:divBdr>
            <w:top w:val="none" w:sz="0" w:space="0" w:color="auto"/>
            <w:left w:val="none" w:sz="0" w:space="0" w:color="auto"/>
            <w:bottom w:val="none" w:sz="0" w:space="0" w:color="auto"/>
            <w:right w:val="none" w:sz="0" w:space="0" w:color="auto"/>
          </w:divBdr>
          <w:divsChild>
            <w:div w:id="1331786712">
              <w:marLeft w:val="0"/>
              <w:marRight w:val="0"/>
              <w:marTop w:val="0"/>
              <w:marBottom w:val="0"/>
              <w:divBdr>
                <w:top w:val="none" w:sz="0" w:space="0" w:color="auto"/>
                <w:left w:val="none" w:sz="0" w:space="0" w:color="auto"/>
                <w:bottom w:val="none" w:sz="0" w:space="0" w:color="auto"/>
                <w:right w:val="none" w:sz="0" w:space="0" w:color="auto"/>
              </w:divBdr>
              <w:divsChild>
                <w:div w:id="199630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615784">
      <w:bodyDiv w:val="1"/>
      <w:marLeft w:val="0"/>
      <w:marRight w:val="0"/>
      <w:marTop w:val="0"/>
      <w:marBottom w:val="0"/>
      <w:divBdr>
        <w:top w:val="none" w:sz="0" w:space="0" w:color="auto"/>
        <w:left w:val="none" w:sz="0" w:space="0" w:color="auto"/>
        <w:bottom w:val="none" w:sz="0" w:space="0" w:color="auto"/>
        <w:right w:val="none" w:sz="0" w:space="0" w:color="auto"/>
      </w:divBdr>
    </w:div>
    <w:div w:id="1659116514">
      <w:bodyDiv w:val="1"/>
      <w:marLeft w:val="0"/>
      <w:marRight w:val="0"/>
      <w:marTop w:val="0"/>
      <w:marBottom w:val="0"/>
      <w:divBdr>
        <w:top w:val="none" w:sz="0" w:space="0" w:color="auto"/>
        <w:left w:val="none" w:sz="0" w:space="0" w:color="auto"/>
        <w:bottom w:val="none" w:sz="0" w:space="0" w:color="auto"/>
        <w:right w:val="none" w:sz="0" w:space="0" w:color="auto"/>
      </w:divBdr>
    </w:div>
    <w:div w:id="1984264449">
      <w:bodyDiv w:val="1"/>
      <w:marLeft w:val="0"/>
      <w:marRight w:val="0"/>
      <w:marTop w:val="0"/>
      <w:marBottom w:val="0"/>
      <w:divBdr>
        <w:top w:val="none" w:sz="0" w:space="0" w:color="auto"/>
        <w:left w:val="none" w:sz="0" w:space="0" w:color="auto"/>
        <w:bottom w:val="none" w:sz="0" w:space="0" w:color="auto"/>
        <w:right w:val="none" w:sz="0" w:space="0" w:color="auto"/>
      </w:divBdr>
      <w:divsChild>
        <w:div w:id="349644127">
          <w:marLeft w:val="547"/>
          <w:marRight w:val="0"/>
          <w:marTop w:val="0"/>
          <w:marBottom w:val="120"/>
          <w:divBdr>
            <w:top w:val="none" w:sz="0" w:space="0" w:color="auto"/>
            <w:left w:val="none" w:sz="0" w:space="0" w:color="auto"/>
            <w:bottom w:val="none" w:sz="0" w:space="0" w:color="auto"/>
            <w:right w:val="none" w:sz="0" w:space="0" w:color="auto"/>
          </w:divBdr>
        </w:div>
        <w:div w:id="823204405">
          <w:marLeft w:val="547"/>
          <w:marRight w:val="0"/>
          <w:marTop w:val="0"/>
          <w:marBottom w:val="120"/>
          <w:divBdr>
            <w:top w:val="none" w:sz="0" w:space="0" w:color="auto"/>
            <w:left w:val="none" w:sz="0" w:space="0" w:color="auto"/>
            <w:bottom w:val="none" w:sz="0" w:space="0" w:color="auto"/>
            <w:right w:val="none" w:sz="0" w:space="0" w:color="auto"/>
          </w:divBdr>
        </w:div>
        <w:div w:id="150877181">
          <w:marLeft w:val="547"/>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uFAttmOcBN1bKNhfXnDJMQX8L+w==">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</go:docsCustomData>
</go:gDocsCustomXmlDataStorage>
</file>

<file path=customXml/itemProps1.xml><?xml version="1.0" encoding="utf-8"?>
<ds:datastoreItem xmlns:ds="http://schemas.openxmlformats.org/officeDocument/2006/customXml" ds:itemID="{74623C57-0B5E-4B0E-B0A6-283E31A9373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664</Words>
  <Characters>3786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Emanuele Padovani</dc:creator>
  <cp:lastModifiedBy>Trupti Sudge</cp:lastModifiedBy>
  <cp:revision>2</cp:revision>
  <cp:lastPrinted>2023-09-13T08:57:00Z</cp:lastPrinted>
  <dcterms:created xsi:type="dcterms:W3CDTF">2023-09-20T10:26:00Z</dcterms:created>
  <dcterms:modified xsi:type="dcterms:W3CDTF">2023-09-20T10:26:00Z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63c28bd0547bfc21cc4fb69a9eef3beb883c94b669eb5bc0875c9d620a08a455</vt:lpwstr>
  </property>
</Properties>
</file>