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7F31" w14:textId="77777777" w:rsidR="007C6EC1" w:rsidRPr="007C6EC1" w:rsidRDefault="007C6EC1" w:rsidP="007C6E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4175598"/>
      <w:r w:rsidRPr="007C6EC1">
        <w:rPr>
          <w:rFonts w:ascii="Times New Roman" w:hAnsi="Times New Roman" w:cs="Times New Roman"/>
          <w:b/>
          <w:bCs/>
          <w:sz w:val="24"/>
          <w:szCs w:val="24"/>
        </w:rPr>
        <w:t xml:space="preserve">Table Nº 5: Recommendations Matrix of clinical practice guidelines for the diagnosis and management of RVO (Guideline clinical recommendation meta-synthesis) </w:t>
      </w:r>
    </w:p>
    <w:tbl>
      <w:tblPr>
        <w:tblStyle w:val="Tablanormal2"/>
        <w:tblW w:w="16160" w:type="dxa"/>
        <w:tblInd w:w="-1134" w:type="dxa"/>
        <w:tblLayout w:type="fixed"/>
        <w:tblLook w:val="0600" w:firstRow="0" w:lastRow="0" w:firstColumn="0" w:lastColumn="0" w:noHBand="1" w:noVBand="1"/>
      </w:tblPr>
      <w:tblGrid>
        <w:gridCol w:w="1418"/>
        <w:gridCol w:w="3261"/>
        <w:gridCol w:w="2693"/>
        <w:gridCol w:w="2326"/>
        <w:gridCol w:w="3344"/>
        <w:gridCol w:w="3118"/>
      </w:tblGrid>
      <w:tr w:rsidR="007C6EC1" w:rsidRPr="00317AE1" w14:paraId="6E1DD0E7" w14:textId="77777777" w:rsidTr="007C6EC1">
        <w:tc>
          <w:tcPr>
            <w:tcW w:w="1418" w:type="dxa"/>
          </w:tcPr>
          <w:p w14:paraId="20DE4D4D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1716634"/>
          </w:p>
        </w:tc>
        <w:tc>
          <w:tcPr>
            <w:tcW w:w="3261" w:type="dxa"/>
          </w:tcPr>
          <w:p w14:paraId="0B4835ED" w14:textId="77777777" w:rsidR="007C6EC1" w:rsidRPr="00317AE1" w:rsidRDefault="007C6EC1" w:rsidP="005B7E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RCO</w:t>
            </w:r>
          </w:p>
        </w:tc>
        <w:tc>
          <w:tcPr>
            <w:tcW w:w="2693" w:type="dxa"/>
          </w:tcPr>
          <w:p w14:paraId="6C498C5A" w14:textId="77777777" w:rsidR="007C6EC1" w:rsidRPr="00317AE1" w:rsidRDefault="007C6EC1" w:rsidP="005B7E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EURETINA</w:t>
            </w:r>
          </w:p>
        </w:tc>
        <w:tc>
          <w:tcPr>
            <w:tcW w:w="2326" w:type="dxa"/>
          </w:tcPr>
          <w:p w14:paraId="5C9A4EEE" w14:textId="77777777" w:rsidR="007C6EC1" w:rsidRPr="00317AE1" w:rsidRDefault="007C6EC1" w:rsidP="005B7E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3344" w:type="dxa"/>
          </w:tcPr>
          <w:p w14:paraId="26D2F294" w14:textId="77777777" w:rsidR="007C6EC1" w:rsidRPr="00317AE1" w:rsidRDefault="007C6EC1" w:rsidP="005B7E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SERV</w:t>
            </w:r>
          </w:p>
        </w:tc>
        <w:tc>
          <w:tcPr>
            <w:tcW w:w="3118" w:type="dxa"/>
          </w:tcPr>
          <w:p w14:paraId="05B0E3BF" w14:textId="77777777" w:rsidR="007C6EC1" w:rsidRPr="00317AE1" w:rsidRDefault="007C6EC1" w:rsidP="005B7E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CEC</w:t>
            </w:r>
          </w:p>
        </w:tc>
      </w:tr>
      <w:tr w:rsidR="007C6EC1" w:rsidRPr="00317AE1" w14:paraId="33FE161E" w14:textId="77777777" w:rsidTr="007C6EC1">
        <w:tc>
          <w:tcPr>
            <w:tcW w:w="16160" w:type="dxa"/>
            <w:gridSpan w:val="6"/>
          </w:tcPr>
          <w:p w14:paraId="08E428CE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GENERAL FEATURES</w:t>
            </w:r>
          </w:p>
        </w:tc>
      </w:tr>
      <w:tr w:rsidR="007C6EC1" w:rsidRPr="00317AE1" w14:paraId="4BDF3DCA" w14:textId="77777777" w:rsidTr="007C6EC1">
        <w:tc>
          <w:tcPr>
            <w:tcW w:w="1418" w:type="dxa"/>
          </w:tcPr>
          <w:p w14:paraId="35A347FA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Risk factor for RVO</w:t>
            </w:r>
          </w:p>
        </w:tc>
        <w:tc>
          <w:tcPr>
            <w:tcW w:w="3261" w:type="dxa"/>
          </w:tcPr>
          <w:p w14:paraId="540D1BCF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Stroke: conflicting </w:t>
            </w:r>
          </w:p>
          <w:p w14:paraId="15F0B3D0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Peripheral venous disease</w:t>
            </w:r>
          </w:p>
        </w:tc>
        <w:tc>
          <w:tcPr>
            <w:tcW w:w="2693" w:type="dxa"/>
          </w:tcPr>
          <w:p w14:paraId="4E2EDD59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2326" w:type="dxa"/>
          </w:tcPr>
          <w:p w14:paraId="76EE6E4E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3344" w:type="dxa"/>
          </w:tcPr>
          <w:p w14:paraId="340A9169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Open angle glaucoma (level 1)</w:t>
            </w:r>
          </w:p>
          <w:p w14:paraId="1479325A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Hypertension (level 2)</w:t>
            </w:r>
          </w:p>
          <w:p w14:paraId="088D6BEF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Blood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hyperviscosity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(level 2), Hyperlipidemia (level 3), Thrombophilia (level 3-4). </w:t>
            </w:r>
          </w:p>
          <w:p w14:paraId="34725D02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66DD8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Hypertension (OR 3.5) </w:t>
            </w:r>
          </w:p>
          <w:p w14:paraId="5F4C9E8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Diabetes (OR 1.5)</w:t>
            </w:r>
          </w:p>
          <w:p w14:paraId="196A031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Hyperlipidemia (OR 2.5) </w:t>
            </w:r>
          </w:p>
          <w:p w14:paraId="1304B092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The previous need to be addressed</w:t>
            </w:r>
          </w:p>
          <w:p w14:paraId="35F67B26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and treated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(consensus/level III)</w:t>
            </w:r>
          </w:p>
        </w:tc>
      </w:tr>
      <w:tr w:rsidR="007C6EC1" w:rsidRPr="00317AE1" w14:paraId="6E727CE4" w14:textId="77777777" w:rsidTr="007C6EC1">
        <w:tc>
          <w:tcPr>
            <w:tcW w:w="1418" w:type="dxa"/>
          </w:tcPr>
          <w:p w14:paraId="4E52582E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Diabetes</w:t>
            </w:r>
          </w:p>
        </w:tc>
        <w:tc>
          <w:tcPr>
            <w:tcW w:w="3261" w:type="dxa"/>
          </w:tcPr>
          <w:p w14:paraId="480DC8D5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No: </w:t>
            </w:r>
          </w:p>
          <w:p w14:paraId="53DE715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No more common than the general population. </w:t>
            </w:r>
          </w:p>
          <w:p w14:paraId="17AEE7E8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Testing at diagnosis for detecting undiagnosed diabetes.</w:t>
            </w:r>
          </w:p>
        </w:tc>
        <w:tc>
          <w:tcPr>
            <w:tcW w:w="2693" w:type="dxa"/>
          </w:tcPr>
          <w:p w14:paraId="2C0365D5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9"/>
                <w:id w:val="462008299"/>
              </w:sdtPr>
              <w:sdtContent/>
            </w:sdt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No: </w:t>
            </w:r>
          </w:p>
          <w:p w14:paraId="196658D9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Diabetes is associated with RVO, but this may be because both diabetes and RVO are associated with cardiovascular</w:t>
            </w:r>
          </w:p>
          <w:p w14:paraId="066B46B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risk factors.</w:t>
            </w:r>
          </w:p>
        </w:tc>
        <w:tc>
          <w:tcPr>
            <w:tcW w:w="2326" w:type="dxa"/>
          </w:tcPr>
          <w:p w14:paraId="5C8491B4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0"/>
                <w:id w:val="-499041162"/>
              </w:sdtPr>
              <w:sdtContent/>
            </w:sdt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Yes.</w:t>
            </w:r>
          </w:p>
        </w:tc>
        <w:tc>
          <w:tcPr>
            <w:tcW w:w="3344" w:type="dxa"/>
          </w:tcPr>
          <w:p w14:paraId="64D67B35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No:</w:t>
            </w:r>
          </w:p>
          <w:p w14:paraId="134191C6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Probably not directly, but increase other risk factors.</w:t>
            </w:r>
          </w:p>
        </w:tc>
        <w:tc>
          <w:tcPr>
            <w:tcW w:w="3118" w:type="dxa"/>
          </w:tcPr>
          <w:p w14:paraId="55821386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Yes:</w:t>
            </w:r>
          </w:p>
          <w:p w14:paraId="7A33D72A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Diabetes (OR 1.5).</w:t>
            </w:r>
          </w:p>
          <w:p w14:paraId="31D25E25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EC1" w:rsidRPr="00317AE1" w14:paraId="335BA6E4" w14:textId="77777777" w:rsidTr="007C6EC1">
        <w:tc>
          <w:tcPr>
            <w:tcW w:w="1418" w:type="dxa"/>
          </w:tcPr>
          <w:p w14:paraId="392E33A9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Antiphospholipid syndrome</w:t>
            </w:r>
          </w:p>
        </w:tc>
        <w:tc>
          <w:tcPr>
            <w:tcW w:w="3261" w:type="dxa"/>
          </w:tcPr>
          <w:p w14:paraId="3C80A58C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 rutinary unless other recognized Anti-Phospholipid Syndrome (APS) clinical associations.</w:t>
            </w:r>
          </w:p>
        </w:tc>
        <w:tc>
          <w:tcPr>
            <w:tcW w:w="2693" w:type="dxa"/>
          </w:tcPr>
          <w:p w14:paraId="2E5BCCD1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 rutinary.</w:t>
            </w:r>
          </w:p>
        </w:tc>
        <w:tc>
          <w:tcPr>
            <w:tcW w:w="2326" w:type="dxa"/>
          </w:tcPr>
          <w:p w14:paraId="12CD496B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3344" w:type="dxa"/>
          </w:tcPr>
          <w:p w14:paraId="6886390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In the absence of risk factors, in patients under 50 years of age, or in bilateral cases.</w:t>
            </w:r>
          </w:p>
        </w:tc>
        <w:tc>
          <w:tcPr>
            <w:tcW w:w="3118" w:type="dxa"/>
          </w:tcPr>
          <w:p w14:paraId="0046B35D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All patients with RVO</w:t>
            </w:r>
          </w:p>
        </w:tc>
      </w:tr>
      <w:tr w:rsidR="007C6EC1" w:rsidRPr="00317AE1" w14:paraId="2536080A" w14:textId="77777777" w:rsidTr="007C6EC1">
        <w:tc>
          <w:tcPr>
            <w:tcW w:w="1418" w:type="dxa"/>
          </w:tcPr>
          <w:p w14:paraId="5E1E43D5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Thrombophilia tests</w:t>
            </w:r>
          </w:p>
        </w:tc>
        <w:tc>
          <w:tcPr>
            <w:tcW w:w="3261" w:type="dxa"/>
          </w:tcPr>
          <w:p w14:paraId="4A1D23C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No rutinary. </w:t>
            </w:r>
          </w:p>
          <w:p w14:paraId="5AF2B4F4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Thrombophilic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abnormality does not alter management</w:t>
            </w:r>
          </w:p>
          <w:p w14:paraId="2C14D3CD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options or predict prognosis.</w:t>
            </w:r>
          </w:p>
        </w:tc>
        <w:tc>
          <w:tcPr>
            <w:tcW w:w="2693" w:type="dxa"/>
          </w:tcPr>
          <w:p w14:paraId="360E2D2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 rutinary.</w:t>
            </w:r>
          </w:p>
          <w:p w14:paraId="58E7D8A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Screen in younger patients in whom no common risk factors have been identified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Women with estrogen-containing</w:t>
            </w:r>
          </w:p>
          <w:p w14:paraId="51709A66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hormone replacement: continue therapy, but no commence if absent.</w:t>
            </w:r>
          </w:p>
        </w:tc>
        <w:tc>
          <w:tcPr>
            <w:tcW w:w="2326" w:type="dxa"/>
          </w:tcPr>
          <w:p w14:paraId="67E01950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NR </w:t>
            </w:r>
          </w:p>
        </w:tc>
        <w:tc>
          <w:tcPr>
            <w:tcW w:w="3344" w:type="dxa"/>
          </w:tcPr>
          <w:p w14:paraId="1B37FF3C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Assess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Hiperhomocisteinemia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in all patients with RVO, in the absence of risk factors, in patients under 50 years of age, or in bilateral cases </w:t>
            </w:r>
          </w:p>
        </w:tc>
        <w:tc>
          <w:tcPr>
            <w:tcW w:w="3118" w:type="dxa"/>
          </w:tcPr>
          <w:p w14:paraId="4E476D39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All patients with RVO</w:t>
            </w:r>
          </w:p>
        </w:tc>
      </w:tr>
      <w:tr w:rsidR="007C6EC1" w:rsidRPr="00317AE1" w14:paraId="2BF6B8D2" w14:textId="77777777" w:rsidTr="007C6EC1">
        <w:tc>
          <w:tcPr>
            <w:tcW w:w="1418" w:type="dxa"/>
          </w:tcPr>
          <w:p w14:paraId="24DF236D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Anticoagulation or antiplatelet therapy</w:t>
            </w:r>
          </w:p>
        </w:tc>
        <w:tc>
          <w:tcPr>
            <w:tcW w:w="3261" w:type="dxa"/>
          </w:tcPr>
          <w:p w14:paraId="1F5EE47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 high quality evidence.</w:t>
            </w:r>
          </w:p>
        </w:tc>
        <w:tc>
          <w:tcPr>
            <w:tcW w:w="2693" w:type="dxa"/>
          </w:tcPr>
          <w:p w14:paraId="16706BB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2326" w:type="dxa"/>
          </w:tcPr>
          <w:p w14:paraId="71E169A7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3344" w:type="dxa"/>
          </w:tcPr>
          <w:p w14:paraId="6F9F168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Not enough effectiveness. </w:t>
            </w:r>
          </w:p>
          <w:p w14:paraId="452FA0B1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347EF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</w:tr>
      <w:tr w:rsidR="007C6EC1" w:rsidRPr="00317AE1" w14:paraId="44D65FA5" w14:textId="77777777" w:rsidTr="007C6EC1">
        <w:tc>
          <w:tcPr>
            <w:tcW w:w="1418" w:type="dxa"/>
          </w:tcPr>
          <w:p w14:paraId="331D1EE4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Ophthalmology role</w:t>
            </w:r>
          </w:p>
        </w:tc>
        <w:tc>
          <w:tcPr>
            <w:tcW w:w="3261" w:type="dxa"/>
          </w:tcPr>
          <w:p w14:paraId="7F36D90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Initial assessment by ophthalmologist and additional assessment by primary care physician.</w:t>
            </w:r>
          </w:p>
          <w:p w14:paraId="7631F22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524D7E7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7BA93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Initial assessment by ophthalmologist and additional assessment by primary care physician.</w:t>
            </w:r>
          </w:p>
          <w:p w14:paraId="2018476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8F84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9101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5F4BDFF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Refer patients to a primary care physician.</w:t>
            </w:r>
          </w:p>
        </w:tc>
        <w:tc>
          <w:tcPr>
            <w:tcW w:w="3344" w:type="dxa"/>
          </w:tcPr>
          <w:p w14:paraId="7CDC89E7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Initial assessment by ophthalmologist and additional assessment by primary care physician.</w:t>
            </w:r>
          </w:p>
          <w:p w14:paraId="33A36E6F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FD07A8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Standardized communication between family doctors,</w:t>
            </w:r>
          </w:p>
          <w:p w14:paraId="1BFA787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internists, and ophthalmologists.</w:t>
            </w:r>
          </w:p>
          <w:p w14:paraId="72EB859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15D2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RVO might be a hypertensive crisis, so patients</w:t>
            </w:r>
          </w:p>
          <w:p w14:paraId="280EA25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should be managed and referred for urgent follow-up</w:t>
            </w:r>
          </w:p>
          <w:p w14:paraId="5475C36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(consensus/level III).</w:t>
            </w:r>
          </w:p>
        </w:tc>
      </w:tr>
      <w:tr w:rsidR="007C6EC1" w:rsidRPr="00317AE1" w14:paraId="3FB48A32" w14:textId="77777777" w:rsidTr="007C6EC1">
        <w:tc>
          <w:tcPr>
            <w:tcW w:w="16160" w:type="dxa"/>
            <w:gridSpan w:val="6"/>
          </w:tcPr>
          <w:p w14:paraId="6F20283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MEDICAL TREATMENT</w:t>
            </w:r>
          </w:p>
        </w:tc>
      </w:tr>
      <w:tr w:rsidR="007C6EC1" w:rsidRPr="00317AE1" w14:paraId="7C30C3FF" w14:textId="77777777" w:rsidTr="007C6EC1">
        <w:tc>
          <w:tcPr>
            <w:tcW w:w="1418" w:type="dxa"/>
          </w:tcPr>
          <w:p w14:paraId="0C267882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Anti-VEGF therapy</w:t>
            </w:r>
          </w:p>
        </w:tc>
        <w:tc>
          <w:tcPr>
            <w:tcW w:w="3261" w:type="dxa"/>
          </w:tcPr>
          <w:p w14:paraId="3AE9CC9F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If no iris or angle NV and OCT evidence of MO: If visual acuity is 6/96 or better, commence intravitreal anti-VEGF.</w:t>
            </w:r>
          </w:p>
          <w:p w14:paraId="365BCED9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B2190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Bevacizumab: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MO due to CRVO and BRVO</w:t>
            </w:r>
          </w:p>
          <w:p w14:paraId="5AE37D22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469E0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Ranibizumab: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MO due to CRVO and BRVO</w:t>
            </w:r>
          </w:p>
          <w:p w14:paraId="2F9E9F20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B65EA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Aflibercept: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MO due to CRVO and BRVO</w:t>
            </w:r>
          </w:p>
          <w:p w14:paraId="2E91B34D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85D07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Comparison:</w:t>
            </w:r>
          </w:p>
          <w:p w14:paraId="3E359708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The proportion of patients achieving &gt;15 letter gains were similar (47%, 52% and 45% for</w:t>
            </w:r>
          </w:p>
          <w:p w14:paraId="28EFDE4E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ranibizumab, aflibercept and bevacizumab respectively)</w:t>
            </w:r>
          </w:p>
          <w:p w14:paraId="15302C5B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2669D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Bevacizumab was not non-inferior to ranibizumab. </w:t>
            </w:r>
          </w:p>
          <w:p w14:paraId="66C780C8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45A4B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8965C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Aflibercept non-inferior but not superior to ranibizumab</w:t>
            </w:r>
          </w:p>
          <w:p w14:paraId="7A1D1A37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Aflibercept had a superior drying effect of the</w:t>
            </w:r>
          </w:p>
          <w:p w14:paraId="4983A52B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macula compared to the other 2 agents.</w:t>
            </w:r>
          </w:p>
          <w:p w14:paraId="5A643FC1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EC6D9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Switch:</w:t>
            </w:r>
          </w:p>
          <w:p w14:paraId="2D4F56B7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No evidence that switching to another anti-VEGF agent may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 effective.</w:t>
            </w:r>
          </w:p>
        </w:tc>
        <w:tc>
          <w:tcPr>
            <w:tcW w:w="2693" w:type="dxa"/>
          </w:tcPr>
          <w:p w14:paraId="57BE62D3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Bevacizumab:</w:t>
            </w:r>
          </w:p>
          <w:p w14:paraId="3DE22945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Macular edema due to</w:t>
            </w:r>
          </w:p>
          <w:p w14:paraId="28561622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CRVO (monthly and PRN regimens).</w:t>
            </w:r>
          </w:p>
          <w:p w14:paraId="099BD692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345B4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Ranibizumab:</w:t>
            </w:r>
          </w:p>
          <w:p w14:paraId="5915D9BD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Macular edema secondary to BRVO and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CRVO</w:t>
            </w:r>
          </w:p>
          <w:p w14:paraId="364F0F36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6582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Aflibercept:</w:t>
            </w:r>
          </w:p>
          <w:p w14:paraId="40CDEC5E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Macular edema secondary to BRVO and CRVO</w:t>
            </w:r>
          </w:p>
        </w:tc>
        <w:tc>
          <w:tcPr>
            <w:tcW w:w="2326" w:type="dxa"/>
          </w:tcPr>
          <w:p w14:paraId="36F19835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Macular edema</w:t>
            </w:r>
          </w:p>
          <w:p w14:paraId="6D68FCB9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secondary to BRVO and CRVO</w:t>
            </w:r>
          </w:p>
          <w:p w14:paraId="6FB42C61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with minimal side effects.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(I++, Good quality, Strong</w:t>
            </w:r>
          </w:p>
          <w:p w14:paraId="6E178A15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recommendation)</w:t>
            </w:r>
          </w:p>
          <w:p w14:paraId="181949C8" w14:textId="77777777" w:rsidR="007C6EC1" w:rsidRPr="00317AE1" w:rsidRDefault="007C6EC1" w:rsidP="005B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14:paraId="1D3044C4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Bevacizumab</w:t>
            </w:r>
          </w:p>
          <w:p w14:paraId="5FCAD52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Useful in initial phase of CRVO but no recommendation can be done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of evidence 4/Grade of recommendation D)</w:t>
            </w:r>
          </w:p>
          <w:p w14:paraId="035F99ED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 recommendation can currently be made in BRVO.</w:t>
            </w:r>
          </w:p>
          <w:p w14:paraId="05A0D665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(Level of evidence 4/Grade of recommendation D)</w:t>
            </w:r>
          </w:p>
          <w:p w14:paraId="064D842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2E2F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Ranibizumab</w:t>
            </w:r>
          </w:p>
          <w:p w14:paraId="435A1D09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Macular edema secondary to CRVO and BRVO. (Level of evidence 1/Grade of recommendation A). </w:t>
            </w:r>
          </w:p>
          <w:p w14:paraId="7318AD0C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389D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Aflibercept:</w:t>
            </w:r>
          </w:p>
          <w:p w14:paraId="46BBC6E9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Patients with macular edema secondary to CRVO and BRVO.</w:t>
            </w:r>
          </w:p>
          <w:p w14:paraId="2CCAAF4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(Level of evidence 1/Grade of recommendation A). </w:t>
            </w:r>
          </w:p>
          <w:p w14:paraId="76B2764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072F0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Comparison</w:t>
            </w:r>
          </w:p>
          <w:p w14:paraId="6FF61F7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Bevacizumab and Ranibizumab offer similar results in BRVO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of evidence 4/Grade of recommendation D).</w:t>
            </w:r>
          </w:p>
          <w:p w14:paraId="50217CCE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Ranibizumab the safer in patients with a cardiovascular event adverse less than 3 months ago</w:t>
            </w:r>
          </w:p>
          <w:p w14:paraId="2FBDD8C2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of evidence 3/Grade of recommendation C)</w:t>
            </w:r>
          </w:p>
          <w:p w14:paraId="21314FDD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18C66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43152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E4F1D5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E201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C1F688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Bevacizumab: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First-line therapy.</w:t>
            </w:r>
          </w:p>
          <w:p w14:paraId="741BB9FC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Macular edema secondary to</w:t>
            </w:r>
          </w:p>
          <w:p w14:paraId="66BAFF0B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CRVO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IIb)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and BRVO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IIb).</w:t>
            </w:r>
          </w:p>
          <w:p w14:paraId="2ED724A3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53A50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Ranibizumab: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gram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-line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therapy.</w:t>
            </w:r>
          </w:p>
          <w:p w14:paraId="73BAD245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Macular edema</w:t>
            </w:r>
          </w:p>
          <w:p w14:paraId="61219EA5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secondary to CRVO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I)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and BRVO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I).</w:t>
            </w:r>
          </w:p>
          <w:p w14:paraId="61D00A43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6A2E1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Aflibercept: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First-line therapy. Macular edema</w:t>
            </w:r>
          </w:p>
          <w:p w14:paraId="364352DA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secondary to CRVO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I)</w:t>
            </w:r>
          </w:p>
          <w:p w14:paraId="4FCE491D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7C829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Also considered in cases of vitreous hemorrhages, associated with anterior or</w:t>
            </w:r>
          </w:p>
          <w:p w14:paraId="6C269293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posterior segment neovascularization, following detailed</w:t>
            </w:r>
          </w:p>
          <w:p w14:paraId="1ED20EC2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B-scan imaging to rule out tractional changes</w:t>
            </w:r>
          </w:p>
          <w:p w14:paraId="7B8CFDF7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(consensus/level III).</w:t>
            </w:r>
          </w:p>
          <w:p w14:paraId="6AF7F699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C2DD0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6637F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3DE4C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3D74F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7D967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C06E2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EC1" w:rsidRPr="00317AE1" w14:paraId="1D7694AF" w14:textId="77777777" w:rsidTr="007C6EC1">
        <w:tc>
          <w:tcPr>
            <w:tcW w:w="1418" w:type="dxa"/>
          </w:tcPr>
          <w:p w14:paraId="75DBFACE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Intravitreal steroids</w:t>
            </w:r>
          </w:p>
        </w:tc>
        <w:tc>
          <w:tcPr>
            <w:tcW w:w="3261" w:type="dxa"/>
          </w:tcPr>
          <w:p w14:paraId="1331A3B4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Dexamethasone:</w:t>
            </w:r>
          </w:p>
          <w:p w14:paraId="7261F566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MO secondary to CRVO and BRVO.</w:t>
            </w:r>
          </w:p>
        </w:tc>
        <w:tc>
          <w:tcPr>
            <w:tcW w:w="2693" w:type="dxa"/>
          </w:tcPr>
          <w:p w14:paraId="33102F0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Dexamethasone:</w:t>
            </w:r>
          </w:p>
          <w:p w14:paraId="0EEA269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First-line for</w:t>
            </w:r>
          </w:p>
          <w:p w14:paraId="47D76E62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patients with recent history of a major cardiovascular</w:t>
            </w:r>
          </w:p>
          <w:p w14:paraId="2EB2854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event or who are</w:t>
            </w:r>
          </w:p>
          <w:p w14:paraId="11B019A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unwilling to come for monthly injections (and/or monitoring)</w:t>
            </w:r>
          </w:p>
          <w:p w14:paraId="2BD44D12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in the first 6 months of therapy. </w:t>
            </w:r>
          </w:p>
          <w:p w14:paraId="0A9D70A0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66FB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IOP needs to be monitored every 2 to 8</w:t>
            </w:r>
          </w:p>
          <w:p w14:paraId="0D294F5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weeks following injection (first cycle after implantation</w:t>
            </w:r>
          </w:p>
          <w:p w14:paraId="04D4D655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need close monitoring after every 2 weeks to</w:t>
            </w:r>
          </w:p>
          <w:p w14:paraId="742F30A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see the patients IOP response).</w:t>
            </w:r>
          </w:p>
          <w:p w14:paraId="516B46B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4F40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Reasonable in anti-VEGF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nonresponders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26" w:type="dxa"/>
          </w:tcPr>
          <w:p w14:paraId="5691D18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Insufficient evidence to determine if steroids are beneficial or not.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(I+, Good quality,</w:t>
            </w:r>
          </w:p>
          <w:p w14:paraId="33204252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Strong recommendation)</w:t>
            </w:r>
          </w:p>
          <w:p w14:paraId="779D1D8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9B4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 difference in macular edema secondary to CRVO with bevacizumab, ranibizumab, aflibercept and</w:t>
            </w:r>
          </w:p>
          <w:p w14:paraId="10E9437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triamcinolone. </w:t>
            </w:r>
          </w:p>
          <w:p w14:paraId="5FCE276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Steroid and IOP risks make anti-VEGF</w:t>
            </w:r>
          </w:p>
          <w:p w14:paraId="02CAD8A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more favorable as initial therapy.</w:t>
            </w:r>
          </w:p>
          <w:p w14:paraId="3AE6AC5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(I+, Good quality, Strong recommendation)</w:t>
            </w:r>
          </w:p>
        </w:tc>
        <w:tc>
          <w:tcPr>
            <w:tcW w:w="3344" w:type="dxa"/>
          </w:tcPr>
          <w:p w14:paraId="3E6ED42F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Dexamethasone:</w:t>
            </w:r>
          </w:p>
          <w:p w14:paraId="3CCEF79A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First choice macular edema secondary to CRVO, with good perfusion.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1/Grade of recommendation A)</w:t>
            </w:r>
          </w:p>
          <w:p w14:paraId="6AFD9154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In BRVO for macular edema in anti-VEGF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nonresponders</w:t>
            </w:r>
            <w:proofErr w:type="spellEnd"/>
          </w:p>
          <w:p w14:paraId="1CBD412C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4/Grade of recommendation D).</w:t>
            </w:r>
          </w:p>
          <w:p w14:paraId="2379FFFD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E5FEF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Combined with bevacizumab or ranibizumab is superior monotherapy.</w:t>
            </w:r>
          </w:p>
          <w:p w14:paraId="31931131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4/grade of recommendation D)</w:t>
            </w:r>
          </w:p>
          <w:p w14:paraId="72075592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ABAE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0E2F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Triamcinolone:</w:t>
            </w:r>
          </w:p>
          <w:p w14:paraId="745F2C2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No proven protective effect on anterior neovascularization.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4/Grade of recommendation D)</w:t>
            </w:r>
          </w:p>
        </w:tc>
        <w:tc>
          <w:tcPr>
            <w:tcW w:w="3118" w:type="dxa"/>
          </w:tcPr>
          <w:p w14:paraId="022D2CD6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Steroids in CRVO but not BRVO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(consensus/level III)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1DB36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96AD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IOP should be monitored every 4–6 weeks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(consensus/level</w:t>
            </w:r>
          </w:p>
          <w:p w14:paraId="4D0394F7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III).</w:t>
            </w:r>
          </w:p>
        </w:tc>
      </w:tr>
      <w:tr w:rsidR="007C6EC1" w:rsidRPr="00317AE1" w14:paraId="5D98D986" w14:textId="77777777" w:rsidTr="007C6EC1">
        <w:tc>
          <w:tcPr>
            <w:tcW w:w="16160" w:type="dxa"/>
            <w:gridSpan w:val="6"/>
          </w:tcPr>
          <w:p w14:paraId="6932D16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LASER PHOTOCOAGULATION</w:t>
            </w:r>
          </w:p>
        </w:tc>
      </w:tr>
      <w:tr w:rsidR="007C6EC1" w:rsidRPr="00317AE1" w14:paraId="1721251F" w14:textId="77777777" w:rsidTr="007C6EC1">
        <w:tc>
          <w:tcPr>
            <w:tcW w:w="1418" w:type="dxa"/>
          </w:tcPr>
          <w:p w14:paraId="4BDDD9D9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Pan Retinal Photocoagulation (PRP)</w:t>
            </w:r>
          </w:p>
        </w:tc>
        <w:tc>
          <w:tcPr>
            <w:tcW w:w="3261" w:type="dxa"/>
          </w:tcPr>
          <w:p w14:paraId="18FB3074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Iris new vessels (NVI) or angle</w:t>
            </w:r>
          </w:p>
          <w:p w14:paraId="777E84B7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new vessels (NVA) are visible.</w:t>
            </w:r>
          </w:p>
          <w:p w14:paraId="4BB6519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62564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PRP may be useful in preventing vitreous hemorrhage.</w:t>
            </w:r>
          </w:p>
          <w:p w14:paraId="65B544F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4B20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CF2DCE" w14:textId="77777777" w:rsidR="007C6EC1" w:rsidRPr="00317AE1" w:rsidRDefault="007C6EC1" w:rsidP="005B7E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Neovascular complications (retinal and disc neovascularization secondary to BRVO or CRVO as well as iris neovascularization)</w:t>
            </w:r>
          </w:p>
          <w:p w14:paraId="3F1D218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D502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3D19B766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CRVO:</w:t>
            </w:r>
          </w:p>
          <w:p w14:paraId="1E9D90D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Peripheral PRP in iris o angle neovascularization.</w:t>
            </w:r>
          </w:p>
        </w:tc>
        <w:tc>
          <w:tcPr>
            <w:tcW w:w="3344" w:type="dxa"/>
          </w:tcPr>
          <w:p w14:paraId="1DCB025E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Ischemic OVCR</w:t>
            </w:r>
          </w:p>
          <w:p w14:paraId="10269DB4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When the first sign of NVI or NVA appears.</w:t>
            </w:r>
          </w:p>
          <w:p w14:paraId="347CB5CB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1/Grade of recommendation A)</w:t>
            </w:r>
          </w:p>
          <w:p w14:paraId="2F56F77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FD44A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Prophylactic when controls cannot be carried out</w:t>
            </w:r>
          </w:p>
          <w:p w14:paraId="155FE8BC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3/Grade of recommendation C)</w:t>
            </w:r>
          </w:p>
          <w:p w14:paraId="1B70439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D189F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Neovascular glaucoma</w:t>
            </w:r>
          </w:p>
          <w:p w14:paraId="09066AC6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3/Grade of recommendation C).</w:t>
            </w:r>
          </w:p>
        </w:tc>
        <w:tc>
          <w:tcPr>
            <w:tcW w:w="3118" w:type="dxa"/>
          </w:tcPr>
          <w:p w14:paraId="563AEDB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Scatter or PRP, choice in  </w:t>
            </w:r>
          </w:p>
          <w:p w14:paraId="2DBD8F3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neovascularization secondary to RVO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III).</w:t>
            </w:r>
          </w:p>
          <w:p w14:paraId="5C2D259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843E2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EC1" w:rsidRPr="00317AE1" w14:paraId="1FDA0B19" w14:textId="77777777" w:rsidTr="007C6EC1">
        <w:tc>
          <w:tcPr>
            <w:tcW w:w="1418" w:type="dxa"/>
          </w:tcPr>
          <w:p w14:paraId="6D99DEF1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Sectorial</w:t>
            </w:r>
          </w:p>
          <w:p w14:paraId="430AA4BC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laser</w:t>
            </w:r>
          </w:p>
        </w:tc>
        <w:tc>
          <w:tcPr>
            <w:tcW w:w="3261" w:type="dxa"/>
          </w:tcPr>
          <w:p w14:paraId="0A5E8A6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BRVO: Disc or retinal neovascularization</w:t>
            </w:r>
          </w:p>
          <w:p w14:paraId="67F05D8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18C52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B0CBB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55838EC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BRVO:</w:t>
            </w:r>
          </w:p>
          <w:p w14:paraId="3309792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Sectoral PRP for neovascularization in vitreous hemorrhage or iris neovascularization. </w:t>
            </w:r>
          </w:p>
        </w:tc>
        <w:tc>
          <w:tcPr>
            <w:tcW w:w="3344" w:type="dxa"/>
          </w:tcPr>
          <w:p w14:paraId="0D78C51A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Retinal and papillary neovascularization (in the area of ischemic retina).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1/Grade of recommendation A).</w:t>
            </w:r>
          </w:p>
        </w:tc>
        <w:tc>
          <w:tcPr>
            <w:tcW w:w="3118" w:type="dxa"/>
          </w:tcPr>
          <w:p w14:paraId="6D2E2F50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EC1" w:rsidRPr="00317AE1" w14:paraId="0D648D0F" w14:textId="77777777" w:rsidTr="007C6EC1">
        <w:tc>
          <w:tcPr>
            <w:tcW w:w="1418" w:type="dxa"/>
          </w:tcPr>
          <w:p w14:paraId="0AE87B74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Grid laser </w:t>
            </w:r>
          </w:p>
        </w:tc>
        <w:tc>
          <w:tcPr>
            <w:tcW w:w="3261" w:type="dxa"/>
          </w:tcPr>
          <w:p w14:paraId="13D4BB8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No evidence of benefit from macular grid laser + intravitreal anti-VEGF or steroids for macular edema secondary to CRVO.</w:t>
            </w:r>
          </w:p>
          <w:p w14:paraId="632BE2B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5862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189A26" w14:textId="77777777" w:rsidR="007C6EC1" w:rsidRPr="00317AE1" w:rsidRDefault="007C6EC1" w:rsidP="005B7E54">
            <w:pPr>
              <w:widowControl w:val="0"/>
              <w:spacing w:before="240" w:after="24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Focal laser photocoagulation as a second-line in ME secondary to BRVO</w:t>
            </w:r>
          </w:p>
        </w:tc>
        <w:tc>
          <w:tcPr>
            <w:tcW w:w="2326" w:type="dxa"/>
          </w:tcPr>
          <w:p w14:paraId="7CDE9A0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BRVO, macular perfusion, and</w:t>
            </w:r>
          </w:p>
          <w:p w14:paraId="02C8639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macular edema with a visual acuity of 20/40 or worse.</w:t>
            </w:r>
          </w:p>
          <w:p w14:paraId="5CA1C90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B348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If anti-VEGF failure or inadequate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response.</w:t>
            </w:r>
          </w:p>
        </w:tc>
        <w:tc>
          <w:tcPr>
            <w:tcW w:w="3344" w:type="dxa"/>
          </w:tcPr>
          <w:p w14:paraId="540B9F26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 benefit and is not recommended in ME secondary to CRVO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of evidence 1/Grade of recommendation A)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but could be used in ME secondary to BRVO.</w:t>
            </w:r>
          </w:p>
          <w:p w14:paraId="5CE548C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6ABB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BRVO:</w:t>
            </w:r>
          </w:p>
          <w:p w14:paraId="5D95D9F4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 the area of capillary diffusion, after a period of 3 to 6 months from the onset of the disease and when most of the hemorrhagic component has already been reabsorbed.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1/Grade of recommendation A)</w:t>
            </w:r>
          </w:p>
        </w:tc>
        <w:tc>
          <w:tcPr>
            <w:tcW w:w="3118" w:type="dxa"/>
          </w:tcPr>
          <w:p w14:paraId="58D73D01" w14:textId="77777777" w:rsidR="007C6EC1" w:rsidRPr="00317AE1" w:rsidRDefault="007C6EC1" w:rsidP="005B7E54">
            <w:pPr>
              <w:widowControl w:val="0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Second-line over intravitreal steroids for BRVO patients with suboptimal response to anti-VEGF (consensus/ level III) and/or persistent edema and vision &lt;20/40 after 3–4 monthly injections of anti-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VEGF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I)</w:t>
            </w:r>
          </w:p>
          <w:p w14:paraId="544C479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EC1" w:rsidRPr="00317AE1" w14:paraId="1CBDDBF1" w14:textId="77777777" w:rsidTr="007C6EC1">
        <w:tc>
          <w:tcPr>
            <w:tcW w:w="16160" w:type="dxa"/>
            <w:gridSpan w:val="6"/>
          </w:tcPr>
          <w:p w14:paraId="65843A4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COMPLICATIONS</w:t>
            </w:r>
          </w:p>
        </w:tc>
      </w:tr>
      <w:tr w:rsidR="007C6EC1" w:rsidRPr="00317AE1" w14:paraId="711E84D9" w14:textId="77777777" w:rsidTr="007C6EC1">
        <w:tc>
          <w:tcPr>
            <w:tcW w:w="1418" w:type="dxa"/>
          </w:tcPr>
          <w:p w14:paraId="3AAB6DF7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Neovascularization</w:t>
            </w:r>
          </w:p>
        </w:tc>
        <w:tc>
          <w:tcPr>
            <w:tcW w:w="3261" w:type="dxa"/>
          </w:tcPr>
          <w:p w14:paraId="5DA6662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Iris/angle neovascularization (NV):</w:t>
            </w:r>
          </w:p>
          <w:p w14:paraId="53AA0D0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Open anterior chamber angle: urgent anti-VEGF with PRP within the same day (prior to anti-VEGF treatment) or</w:t>
            </w:r>
          </w:p>
          <w:p w14:paraId="3DC2D974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within 2 weeks initially. </w:t>
            </w:r>
          </w:p>
          <w:p w14:paraId="771D000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PRP plus intravitreal bevacizumab (off license) can be repeated if NVI / NVA persist.</w:t>
            </w:r>
          </w:p>
          <w:p w14:paraId="2E979C16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BB5A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Closed angle and raised intraocular pressure: Urgent PRP with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cyclodiode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laser therapy / tube shunt surgery.</w:t>
            </w:r>
          </w:p>
        </w:tc>
        <w:tc>
          <w:tcPr>
            <w:tcW w:w="2693" w:type="dxa"/>
          </w:tcPr>
          <w:p w14:paraId="3884DAA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PRP only after iris neovascularization was visible, with weekly or biweekly follow-up of patients with extensive capillary non-perfusion. </w:t>
            </w:r>
          </w:p>
          <w:p w14:paraId="5BC6073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FF085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PRP for neovascular</w:t>
            </w:r>
          </w:p>
          <w:p w14:paraId="198AFDD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complications (retinal and disc neovascularization secondary to</w:t>
            </w:r>
          </w:p>
          <w:p w14:paraId="04395E6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BRVO or CRVO as well as iris neovascularization)</w:t>
            </w:r>
          </w:p>
        </w:tc>
        <w:tc>
          <w:tcPr>
            <w:tcW w:w="2326" w:type="dxa"/>
          </w:tcPr>
          <w:p w14:paraId="27E65BF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Iris or angle neovascularization: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Complete peripheral PRP</w:t>
            </w:r>
          </w:p>
        </w:tc>
        <w:tc>
          <w:tcPr>
            <w:tcW w:w="3344" w:type="dxa"/>
          </w:tcPr>
          <w:p w14:paraId="4B6323CB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Ischemic CVRO: </w:t>
            </w:r>
          </w:p>
          <w:p w14:paraId="3560EF66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PRP when the first sign of NVI or NVA appears.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1/Grade of recommendation A)</w:t>
            </w:r>
          </w:p>
          <w:p w14:paraId="62CCEEEC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6CFE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PFC for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Papilar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NV or Retinal NV without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Iridian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/angle NV to prevent anterior segment neovascularization.</w:t>
            </w:r>
          </w:p>
          <w:p w14:paraId="199236D8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4ECE38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The protective effect of intravitreal triamcinolone acetonide (TAIV) on anterior neovascularization is not proven.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4/Grade of recommendation D).</w:t>
            </w:r>
          </w:p>
          <w:p w14:paraId="7F49F456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77B5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BRVO:</w:t>
            </w:r>
          </w:p>
          <w:p w14:paraId="5F104D51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Photocoagulation Retinal and papillary neovascularization (in the area of ischemic retina).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of evidence 1/Grade of recommendation A).</w:t>
            </w:r>
          </w:p>
        </w:tc>
        <w:tc>
          <w:tcPr>
            <w:tcW w:w="3118" w:type="dxa"/>
          </w:tcPr>
          <w:p w14:paraId="0F731237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Anti-VEGF agents should be considered</w:t>
            </w:r>
          </w:p>
          <w:p w14:paraId="4C8E902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in cases when anterior segment neovascularization</w:t>
            </w:r>
          </w:p>
          <w:p w14:paraId="143C657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is present or before the initiation of laser treatment</w:t>
            </w:r>
          </w:p>
          <w:p w14:paraId="6C0E068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(consensus/level III).</w:t>
            </w:r>
          </w:p>
        </w:tc>
      </w:tr>
      <w:tr w:rsidR="007C6EC1" w:rsidRPr="00317AE1" w14:paraId="1D39276E" w14:textId="77777777" w:rsidTr="007C6EC1">
        <w:tc>
          <w:tcPr>
            <w:tcW w:w="1418" w:type="dxa"/>
          </w:tcPr>
          <w:p w14:paraId="3ADB5E10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Follow-up / Stop /Stability</w:t>
            </w:r>
          </w:p>
        </w:tc>
        <w:tc>
          <w:tcPr>
            <w:tcW w:w="3261" w:type="dxa"/>
          </w:tcPr>
          <w:p w14:paraId="0CB44E94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Cessation: </w:t>
            </w:r>
          </w:p>
          <w:p w14:paraId="7C37312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Maybe: No VA improvement after first 3 injections</w:t>
            </w:r>
          </w:p>
          <w:p w14:paraId="6C6641A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Recommended: after 6 injections.</w:t>
            </w:r>
          </w:p>
          <w:p w14:paraId="29F2317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13F55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Ranibizumab/aflibercept if after 3 consecutive monthly treatments,</w:t>
            </w:r>
          </w:p>
          <w:p w14:paraId="6CC77F2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visual acuity has not improved and CMT has not reduced from baseline</w:t>
            </w:r>
          </w:p>
          <w:p w14:paraId="3C673013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C286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If visual acuity stability:</w:t>
            </w:r>
          </w:p>
          <w:p w14:paraId="30981AD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Treat and extend regimen or PRN regimen.</w:t>
            </w:r>
          </w:p>
          <w:p w14:paraId="564B89B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028B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PRN regimen:</w:t>
            </w:r>
          </w:p>
          <w:p w14:paraId="5A570DD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Monitored at monthly (or bi-monthly) intervals.</w:t>
            </w:r>
          </w:p>
          <w:p w14:paraId="58BB83CB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BD88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Ozurdex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is the first line of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treatment, re-treatment may be required at 4-6 monthly intervals until visual</w:t>
            </w:r>
          </w:p>
          <w:p w14:paraId="3D6EFF26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stability is obtained.</w:t>
            </w:r>
          </w:p>
          <w:p w14:paraId="663F268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6CF95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Non-</w:t>
            </w:r>
            <w:proofErr w:type="spellStart"/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ischaemic</w:t>
            </w:r>
            <w:proofErr w:type="spellEnd"/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CRVO: 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Follow-up every 3 months is recommended in the first 6 months in eyes not requiring treatment</w:t>
            </w:r>
          </w:p>
          <w:p w14:paraId="4346513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736E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ischaemic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CRVO or eyes with &gt;10DA of posterior pole nonperfusion: Monthly monitoring for 6 months and subsequently every 3 months for a year if anti-</w:t>
            </w:r>
          </w:p>
          <w:p w14:paraId="58F2EA8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VEGF therapy is not commenced.</w:t>
            </w:r>
          </w:p>
        </w:tc>
        <w:tc>
          <w:tcPr>
            <w:tcW w:w="2693" w:type="dxa"/>
          </w:tcPr>
          <w:p w14:paraId="7A1D15E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Monthly follow-up</w:t>
            </w:r>
          </w:p>
          <w:p w14:paraId="48DF758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period for at least 1 year.</w:t>
            </w:r>
          </w:p>
          <w:p w14:paraId="3FAD624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79A06FF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Iris examination for early</w:t>
            </w:r>
          </w:p>
          <w:p w14:paraId="1AF47B0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iris or angle NV:  monthly for 6 months in eyes with CRVO and in eyes</w:t>
            </w:r>
          </w:p>
          <w:p w14:paraId="3021623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with ischemic CRVO after discontinuing anti-VEGF to detect neovascularization.</w:t>
            </w:r>
          </w:p>
        </w:tc>
        <w:tc>
          <w:tcPr>
            <w:tcW w:w="3344" w:type="dxa"/>
          </w:tcPr>
          <w:p w14:paraId="0BC280B3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Ischemic CRVO:</w:t>
            </w:r>
          </w:p>
          <w:p w14:paraId="3FD011E4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Monthly controls to rule out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iridian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neovascularization (INV) or neovascularization of the angle (NVA).</w:t>
            </w:r>
          </w:p>
          <w:p w14:paraId="2C4B40E1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Could be every 2-3 months, unless there are particular risk factors. </w:t>
            </w: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(Level of evidence 1/Grade of recommendation A)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04C48A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4C2F0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Non-ischemic CRVO: </w:t>
            </w:r>
          </w:p>
          <w:p w14:paraId="03E7651B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Periodic controls for 3 years.</w:t>
            </w:r>
          </w:p>
        </w:tc>
        <w:tc>
          <w:tcPr>
            <w:tcW w:w="3118" w:type="dxa"/>
          </w:tcPr>
          <w:p w14:paraId="5F1E7048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Successful treatment: </w:t>
            </w:r>
          </w:p>
          <w:p w14:paraId="2DC6723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After 3–4 monthly injections, vision is stable or is progressively</w:t>
            </w:r>
          </w:p>
          <w:p w14:paraId="31179B3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improving and OCT shows reduction in retinal fluid.</w:t>
            </w:r>
          </w:p>
          <w:p w14:paraId="71A97506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B594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Consider PRN treatment</w:t>
            </w:r>
          </w:p>
          <w:p w14:paraId="219D84AA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with frequent (ideally monthly) monitoring, or</w:t>
            </w:r>
          </w:p>
          <w:p w14:paraId="32F72F3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a treat-and-extend approach. Patients should be followed</w:t>
            </w:r>
          </w:p>
          <w:p w14:paraId="4FDC544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for at least 3 years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(consensus/level III).</w:t>
            </w:r>
          </w:p>
          <w:p w14:paraId="529A4A8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57B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CRVO patients should be followed and monitored</w:t>
            </w:r>
          </w:p>
          <w:p w14:paraId="6772E6A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more frequently than BRVO patients. </w:t>
            </w:r>
          </w:p>
          <w:p w14:paraId="3E08A90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Monthly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followup</w:t>
            </w:r>
            <w:proofErr w:type="spellEnd"/>
          </w:p>
          <w:p w14:paraId="6D4A63FC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is recommended until they present with relatively</w:t>
            </w:r>
          </w:p>
          <w:p w14:paraId="59EABBF2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stable vision and reduced fluid on OCT </w:t>
            </w:r>
            <w:r w:rsidRPr="00317AE1">
              <w:rPr>
                <w:rFonts w:ascii="Times New Roman" w:hAnsi="Times New Roman" w:cs="Times New Roman"/>
                <w:b/>
                <w:sz w:val="24"/>
                <w:szCs w:val="24"/>
              </w:rPr>
              <w:t>(level I)</w:t>
            </w: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6EC1" w:rsidRPr="00317AE1" w14:paraId="4C300331" w14:textId="77777777" w:rsidTr="007C6EC1">
        <w:tc>
          <w:tcPr>
            <w:tcW w:w="1418" w:type="dxa"/>
          </w:tcPr>
          <w:p w14:paraId="34AA6BBF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Economic recommendation</w:t>
            </w:r>
          </w:p>
        </w:tc>
        <w:tc>
          <w:tcPr>
            <w:tcW w:w="3261" w:type="dxa"/>
          </w:tcPr>
          <w:p w14:paraId="08F44E7D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2693" w:type="dxa"/>
          </w:tcPr>
          <w:p w14:paraId="1F73CB8F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2326" w:type="dxa"/>
          </w:tcPr>
          <w:p w14:paraId="3854DEA1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When looking at the dollars per QALY, this was $824 for bevacizumab versus</w:t>
            </w:r>
          </w:p>
          <w:p w14:paraId="2AED8A60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$1,572 for grid laser, $5,536 for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Ozurdex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, and $25,566 for ranibizumab. The dollars per line-year</w:t>
            </w:r>
          </w:p>
          <w:p w14:paraId="75E24E14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saved followed along similar lines, with bevacizumab at $25, grid laser $68, </w:t>
            </w:r>
            <w:proofErr w:type="spellStart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Ozurdex</w:t>
            </w:r>
            <w:proofErr w:type="spellEnd"/>
            <w:r w:rsidRPr="00317AE1">
              <w:rPr>
                <w:rFonts w:ascii="Times New Roman" w:hAnsi="Times New Roman" w:cs="Times New Roman"/>
                <w:sz w:val="24"/>
                <w:szCs w:val="24"/>
              </w:rPr>
              <w:t xml:space="preserve"> $162, and</w:t>
            </w:r>
          </w:p>
          <w:p w14:paraId="05DA40DE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ranibizumab $754.</w:t>
            </w:r>
          </w:p>
        </w:tc>
        <w:tc>
          <w:tcPr>
            <w:tcW w:w="3344" w:type="dxa"/>
          </w:tcPr>
          <w:p w14:paraId="20F731D5" w14:textId="77777777" w:rsidR="007C6EC1" w:rsidRPr="00317AE1" w:rsidRDefault="007C6EC1" w:rsidP="005B7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</w:t>
            </w:r>
          </w:p>
        </w:tc>
        <w:tc>
          <w:tcPr>
            <w:tcW w:w="3118" w:type="dxa"/>
          </w:tcPr>
          <w:p w14:paraId="463F8029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Data regarding treatment patterns and the economic</w:t>
            </w:r>
          </w:p>
          <w:p w14:paraId="0D247F30" w14:textId="77777777" w:rsidR="007C6EC1" w:rsidRPr="00317AE1" w:rsidRDefault="007C6EC1" w:rsidP="005B7E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E1">
              <w:rPr>
                <w:rFonts w:ascii="Times New Roman" w:hAnsi="Times New Roman" w:cs="Times New Roman"/>
                <w:sz w:val="24"/>
                <w:szCs w:val="24"/>
              </w:rPr>
              <w:t>burden associated with RVO are sparse.</w:t>
            </w:r>
          </w:p>
        </w:tc>
      </w:tr>
    </w:tbl>
    <w:bookmarkEnd w:id="0"/>
    <w:bookmarkEnd w:id="1"/>
    <w:p w14:paraId="68F755D3" w14:textId="77777777" w:rsidR="007C6EC1" w:rsidRDefault="007C6EC1" w:rsidP="007C6E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RCO: </w:t>
      </w:r>
      <w:r w:rsidRPr="00520F8A">
        <w:rPr>
          <w:rFonts w:ascii="Times New Roman" w:hAnsi="Times New Roman" w:cs="Times New Roman"/>
          <w:color w:val="000000"/>
          <w:sz w:val="24"/>
          <w:szCs w:val="24"/>
        </w:rPr>
        <w:t>Royal College of Ophthalmologists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A4767C" w14:textId="77777777" w:rsidR="007C6EC1" w:rsidRDefault="007C6EC1" w:rsidP="007C6E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EURETINA:  </w:t>
      </w:r>
      <w:r w:rsidRPr="00520F8A">
        <w:rPr>
          <w:rFonts w:ascii="Times New Roman" w:hAnsi="Times New Roman" w:cs="Times New Roman"/>
          <w:color w:val="000000"/>
          <w:sz w:val="24"/>
          <w:szCs w:val="24"/>
        </w:rPr>
        <w:t>European Society of Retina Specialists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627666" w14:textId="77777777" w:rsidR="007C6EC1" w:rsidRDefault="007C6EC1" w:rsidP="007C6E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419"/>
        </w:rPr>
      </w:pPr>
      <w:r w:rsidRPr="00520F8A">
        <w:rPr>
          <w:rFonts w:ascii="Times New Roman" w:hAnsi="Times New Roman" w:cs="Times New Roman"/>
          <w:color w:val="000000"/>
          <w:sz w:val="24"/>
          <w:szCs w:val="24"/>
          <w:lang w:val="es-419"/>
        </w:rPr>
        <w:t>PPP</w:t>
      </w:r>
      <w:r>
        <w:rPr>
          <w:rFonts w:ascii="Times New Roman" w:hAnsi="Times New Roman" w:cs="Times New Roman"/>
          <w:color w:val="000000"/>
          <w:sz w:val="24"/>
          <w:szCs w:val="24"/>
          <w:lang w:val="es-419"/>
        </w:rPr>
        <w:t xml:space="preserve">: </w:t>
      </w:r>
      <w:proofErr w:type="spellStart"/>
      <w:r w:rsidRPr="00520F8A">
        <w:rPr>
          <w:rFonts w:ascii="Times New Roman" w:hAnsi="Times New Roman" w:cs="Times New Roman"/>
          <w:color w:val="000000"/>
          <w:sz w:val="24"/>
          <w:szCs w:val="24"/>
          <w:lang w:val="es-419"/>
        </w:rPr>
        <w:t>Preferred</w:t>
      </w:r>
      <w:proofErr w:type="spellEnd"/>
      <w:r w:rsidRPr="00520F8A">
        <w:rPr>
          <w:rFonts w:ascii="Times New Roman" w:hAnsi="Times New Roman" w:cs="Times New Roman"/>
          <w:color w:val="000000"/>
          <w:sz w:val="24"/>
          <w:szCs w:val="24"/>
          <w:lang w:val="es-419"/>
        </w:rPr>
        <w:t xml:space="preserve"> </w:t>
      </w:r>
      <w:proofErr w:type="spellStart"/>
      <w:r w:rsidRPr="00520F8A">
        <w:rPr>
          <w:rFonts w:ascii="Times New Roman" w:hAnsi="Times New Roman" w:cs="Times New Roman"/>
          <w:color w:val="000000"/>
          <w:sz w:val="24"/>
          <w:szCs w:val="24"/>
          <w:lang w:val="es-419"/>
        </w:rPr>
        <w:t>Practice</w:t>
      </w:r>
      <w:proofErr w:type="spellEnd"/>
      <w:r w:rsidRPr="00520F8A">
        <w:rPr>
          <w:rFonts w:ascii="Times New Roman" w:hAnsi="Times New Roman" w:cs="Times New Roman"/>
          <w:color w:val="000000"/>
          <w:sz w:val="24"/>
          <w:szCs w:val="24"/>
          <w:lang w:val="es-419"/>
        </w:rPr>
        <w:t xml:space="preserve"> </w:t>
      </w:r>
      <w:proofErr w:type="spellStart"/>
      <w:r w:rsidRPr="00520F8A">
        <w:rPr>
          <w:rFonts w:ascii="Times New Roman" w:hAnsi="Times New Roman" w:cs="Times New Roman"/>
          <w:color w:val="000000"/>
          <w:sz w:val="24"/>
          <w:szCs w:val="24"/>
          <w:lang w:val="es-419"/>
        </w:rPr>
        <w:t>Pattern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s-419"/>
        </w:rPr>
        <w:t>.</w:t>
      </w:r>
    </w:p>
    <w:p w14:paraId="6764EA90" w14:textId="77777777" w:rsidR="007C6EC1" w:rsidRDefault="007C6EC1" w:rsidP="007C6E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419"/>
        </w:rPr>
        <w:t xml:space="preserve">SERV: </w:t>
      </w:r>
      <w:r w:rsidRPr="00520F8A">
        <w:rPr>
          <w:rFonts w:ascii="Times New Roman" w:hAnsi="Times New Roman" w:cs="Times New Roman"/>
          <w:color w:val="000000"/>
          <w:sz w:val="24"/>
          <w:szCs w:val="24"/>
          <w:lang w:val="es-419"/>
        </w:rPr>
        <w:t>Sociedad Española de Retina y Vítreo</w:t>
      </w:r>
      <w:r>
        <w:rPr>
          <w:rFonts w:ascii="Times New Roman" w:hAnsi="Times New Roman" w:cs="Times New Roman"/>
          <w:color w:val="000000"/>
          <w:sz w:val="24"/>
          <w:szCs w:val="24"/>
          <w:lang w:val="es-419"/>
        </w:rPr>
        <w:t>.</w:t>
      </w:r>
    </w:p>
    <w:p w14:paraId="25878967" w14:textId="77777777" w:rsidR="007C6EC1" w:rsidRPr="00317AE1" w:rsidRDefault="007C6EC1" w:rsidP="007C6EC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C6EC1" w:rsidRPr="00317AE1" w:rsidSect="00802757">
          <w:pgSz w:w="16834" w:h="11909" w:orient="landscape"/>
          <w:pgMar w:top="1440" w:right="1440" w:bottom="1440" w:left="1440" w:header="720" w:footer="720" w:gutter="0"/>
          <w:cols w:space="72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es-419"/>
        </w:rPr>
        <w:t xml:space="preserve">CEC: </w:t>
      </w:r>
      <w:r w:rsidRPr="00520F8A">
        <w:rPr>
          <w:rFonts w:ascii="Times New Roman" w:hAnsi="Times New Roman" w:cs="Times New Roman"/>
          <w:color w:val="000000"/>
          <w:sz w:val="24"/>
          <w:szCs w:val="24"/>
        </w:rPr>
        <w:t>Canadian Expert Consensus (CEC)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CE975E" w14:textId="77777777" w:rsidR="004802CD" w:rsidRDefault="004802CD"/>
    <w:sectPr w:rsidR="004802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C1"/>
    <w:rsid w:val="004802CD"/>
    <w:rsid w:val="007C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3669"/>
  <w15:chartTrackingRefBased/>
  <w15:docId w15:val="{8591B33A-5847-4B04-AA43-E8EC7958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EC1"/>
    <w:pPr>
      <w:spacing w:after="0" w:line="276" w:lineRule="auto"/>
    </w:pPr>
    <w:rPr>
      <w:rFonts w:ascii="Arial" w:eastAsia="Arial" w:hAnsi="Arial" w:cs="Arial"/>
      <w:lang w:val="en-US" w:eastAsia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11">
    <w:name w:val="11"/>
    <w:basedOn w:val="Tablanormal"/>
    <w:rsid w:val="007C6EC1"/>
    <w:pPr>
      <w:spacing w:after="0" w:line="240" w:lineRule="auto"/>
    </w:pPr>
    <w:rPr>
      <w:rFonts w:ascii="Cambria" w:eastAsia="Cambria" w:hAnsi="Cambria" w:cs="Cambria"/>
      <w:lang w:val="en-US" w:eastAsia="es-419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anormal2">
    <w:name w:val="Plain Table 2"/>
    <w:basedOn w:val="Tablanormal"/>
    <w:uiPriority w:val="42"/>
    <w:rsid w:val="007C6E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1799</Words>
  <Characters>9897</Characters>
  <Application>Microsoft Office Word</Application>
  <DocSecurity>0</DocSecurity>
  <Lines>82</Lines>
  <Paragraphs>23</Paragraphs>
  <ScaleCrop>false</ScaleCrop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Galvez</dc:creator>
  <cp:keywords/>
  <dc:description/>
  <cp:lastModifiedBy>Jose Galvez</cp:lastModifiedBy>
  <cp:revision>1</cp:revision>
  <dcterms:created xsi:type="dcterms:W3CDTF">2023-09-11T04:49:00Z</dcterms:created>
  <dcterms:modified xsi:type="dcterms:W3CDTF">2023-09-11T04:51:00Z</dcterms:modified>
</cp:coreProperties>
</file>