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rPr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The predictive value of total bilirubin for acute appendicitis in retrospect</w:t>
      </w:r>
      <w:r w:rsidDel="00000000" w:rsidR="00000000" w:rsidRPr="00000000">
        <w:rPr>
          <w:sz w:val="21"/>
          <w:szCs w:val="21"/>
          <w:rtl w:val="0"/>
        </w:rPr>
        <w:t xml:space="preserve">"</w:t>
      </w:r>
    </w:p>
    <w:p w:rsidR="00000000" w:rsidDel="00000000" w:rsidP="00000000" w:rsidRDefault="00000000" w:rsidRPr="00000000" w14:paraId="00000002">
      <w:pPr>
        <w:spacing w:line="276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240" w:before="161"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Table S1</w:t>
      </w:r>
    </w:p>
    <w:p w:rsidR="00000000" w:rsidDel="00000000" w:rsidP="00000000" w:rsidRDefault="00000000" w:rsidRPr="00000000" w14:paraId="00000007">
      <w:pPr>
        <w:pStyle w:val="Heading1"/>
        <w:spacing w:after="240" w:before="161" w:line="276" w:lineRule="auto"/>
        <w:rPr>
          <w:rFonts w:ascii="Times New Roman" w:cs="Times New Roman" w:eastAsia="Times New Roman" w:hAnsi="Times New Roman"/>
          <w:sz w:val="18"/>
          <w:szCs w:val="18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displays whether the investigation's subjects were disperse, according to the median appendix size peri-appendix collecting, and the detection of fecolith on ultrasound of all patients (n = 636)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after="240" w:before="161" w:line="276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914.0" w:type="dxa"/>
        <w:jc w:val="left"/>
        <w:tblBorders>
          <w:top w:color="d5d5d5" w:space="0" w:sz="12" w:val="single"/>
          <w:left w:color="d5d5d5" w:space="0" w:sz="12" w:val="single"/>
          <w:bottom w:color="d5d5d5" w:space="0" w:sz="12" w:val="single"/>
          <w:right w:color="d5d5d5" w:space="0" w:sz="12" w:val="single"/>
        </w:tblBorders>
        <w:tblLayout w:type="fixed"/>
        <w:tblLook w:val="0400"/>
      </w:tblPr>
      <w:tblGrid>
        <w:gridCol w:w="1421"/>
        <w:gridCol w:w="1145"/>
        <w:gridCol w:w="1112"/>
        <w:gridCol w:w="686"/>
        <w:gridCol w:w="308"/>
        <w:gridCol w:w="371"/>
        <w:gridCol w:w="340"/>
        <w:gridCol w:w="196"/>
        <w:gridCol w:w="272"/>
        <w:gridCol w:w="618"/>
        <w:gridCol w:w="445"/>
        <w:tblGridChange w:id="0">
          <w:tblGrid>
            <w:gridCol w:w="1421"/>
            <w:gridCol w:w="1145"/>
            <w:gridCol w:w="1112"/>
            <w:gridCol w:w="686"/>
            <w:gridCol w:w="308"/>
            <w:gridCol w:w="371"/>
            <w:gridCol w:w="340"/>
            <w:gridCol w:w="196"/>
            <w:gridCol w:w="272"/>
            <w:gridCol w:w="618"/>
            <w:gridCol w:w="445"/>
          </w:tblGrid>
        </w:tblGridChange>
      </w:tblGrid>
      <w:tr>
        <w:trPr>
          <w:cantSplit w:val="0"/>
          <w:tblHeader w:val="1"/>
        </w:trPr>
        <w:tc>
          <w:tcPr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Acute appendicitis</w:t>
            </w:r>
          </w:p>
        </w:tc>
        <w:tc>
          <w:tcPr>
            <w:gridSpan w:val="10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Mean appendix outer diameter on USG in two groups</w:t>
            </w:r>
          </w:p>
        </w:tc>
      </w:tr>
      <w:tr>
        <w:trPr>
          <w:cantSplit w:val="0"/>
          <w:tblHeader w:val="1"/>
        </w:trPr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n (%)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Mean diameter (mm)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SD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df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 value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Uncomplicated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433(68)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6.64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0.69</w:t>
            </w:r>
          </w:p>
        </w:tc>
        <w:tc>
          <w:tcPr>
            <w:gridSpan w:val="2"/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21.66</w:t>
            </w:r>
          </w:p>
        </w:tc>
        <w:tc>
          <w:tcPr>
            <w:gridSpan w:val="2"/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gridSpan w:val="2"/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 0.05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Complicated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203(31.9)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9.71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1.27</w:t>
            </w:r>
          </w:p>
        </w:tc>
        <w:tc>
          <w:tcPr>
            <w:gridSpan w:val="2"/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9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Distribution according to appendix diameter n(%)</w:t>
            </w:r>
          </w:p>
        </w:tc>
      </w:tr>
      <w:tr>
        <w:trPr>
          <w:cantSplit w:val="0"/>
          <w:tblHeader w:val="1"/>
        </w:trPr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&lt; 7.6 mm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&gt; 7.6 mm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df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 value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Absent complicated 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191(94.29)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208(48)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399</w:t>
            </w:r>
          </w:p>
        </w:tc>
        <w:tc>
          <w:tcPr>
            <w:gridSpan w:val="2"/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21.66</w:t>
            </w:r>
          </w:p>
        </w:tc>
        <w:tc>
          <w:tcPr>
            <w:gridSpan w:val="2"/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gridSpan w:val="2"/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 0.05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Present complicated 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12(5.91)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225(52)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237</w:t>
            </w:r>
          </w:p>
        </w:tc>
        <w:tc>
          <w:tcPr>
            <w:gridSpan w:val="2"/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203(31.9)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433(68.2)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636</w:t>
            </w:r>
          </w:p>
        </w:tc>
        <w:tc>
          <w:tcPr>
            <w:gridSpan w:val="2"/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widowControl w:val="0"/>
        <w:spacing w:line="276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6226.0" w:type="dxa"/>
        <w:jc w:val="left"/>
        <w:tblBorders>
          <w:top w:color="d5d5d5" w:space="0" w:sz="12" w:val="single"/>
          <w:left w:color="d5d5d5" w:space="0" w:sz="12" w:val="single"/>
          <w:bottom w:color="d5d5d5" w:space="0" w:sz="12" w:val="single"/>
          <w:right w:color="d5d5d5" w:space="0" w:sz="12" w:val="single"/>
        </w:tblBorders>
        <w:tblLayout w:type="fixed"/>
        <w:tblLook w:val="0400"/>
      </w:tblPr>
      <w:tblGrid>
        <w:gridCol w:w="870"/>
        <w:gridCol w:w="1032"/>
        <w:gridCol w:w="536"/>
        <w:gridCol w:w="736"/>
        <w:gridCol w:w="409"/>
        <w:gridCol w:w="343"/>
        <w:gridCol w:w="340"/>
        <w:gridCol w:w="679"/>
        <w:gridCol w:w="391"/>
        <w:gridCol w:w="890"/>
        <w:tblGridChange w:id="0">
          <w:tblGrid>
            <w:gridCol w:w="870"/>
            <w:gridCol w:w="1032"/>
            <w:gridCol w:w="536"/>
            <w:gridCol w:w="736"/>
            <w:gridCol w:w="409"/>
            <w:gridCol w:w="343"/>
            <w:gridCol w:w="340"/>
            <w:gridCol w:w="679"/>
            <w:gridCol w:w="391"/>
            <w:gridCol w:w="890"/>
          </w:tblGrid>
        </w:tblGridChange>
      </w:tblGrid>
      <w:tr>
        <w:trPr>
          <w:cantSplit w:val="0"/>
          <w:tblHeader w:val="1"/>
        </w:trPr>
        <w:tc>
          <w:tcPr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68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9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Peri-appendix collection</w:t>
            </w:r>
          </w:p>
        </w:tc>
      </w:tr>
      <w:tr>
        <w:trPr>
          <w:cantSplit w:val="0"/>
          <w:tblHeader w:val="1"/>
        </w:trPr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Present n(%)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Absent n(%)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df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 value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Absent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0(0)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433(100)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433</w:t>
            </w:r>
          </w:p>
        </w:tc>
        <w:tc>
          <w:tcPr>
            <w:gridSpan w:val="2"/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76.67</w:t>
            </w:r>
          </w:p>
        </w:tc>
        <w:tc>
          <w:tcPr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 0.05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Present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156(77)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47(23)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203</w:t>
            </w:r>
          </w:p>
        </w:tc>
        <w:tc>
          <w:tcPr>
            <w:gridSpan w:val="2"/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156(24.5)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480(75.5)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636</w:t>
            </w:r>
          </w:p>
        </w:tc>
        <w:tc>
          <w:tcPr>
            <w:gridSpan w:val="2"/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9A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gridSpan w:val="9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Appendix lumen obstruction by fecolith n(%)</w:t>
            </w:r>
          </w:p>
        </w:tc>
      </w:tr>
      <w:tr>
        <w:trPr>
          <w:cantSplit w:val="0"/>
          <w:tblHeader w:val="1"/>
        </w:trPr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Present n(%)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Absent n(%)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df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 value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Absent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30(6.9)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403(93)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433</w:t>
            </w:r>
          </w:p>
        </w:tc>
        <w:tc>
          <w:tcPr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70.05</w:t>
            </w:r>
          </w:p>
        </w:tc>
        <w:tc>
          <w:tcPr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B6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B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&lt; 0.05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Present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B9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180(88.6)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23(11.3)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203</w:t>
            </w:r>
          </w:p>
        </w:tc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C0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C1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205(32.23)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431(67.77)</w:t>
            </w:r>
          </w:p>
        </w:tc>
        <w:tc>
          <w:tcPr>
            <w:gridSpan w:val="2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C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636</w:t>
            </w:r>
          </w:p>
        </w:tc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pStyle w:val="Heading1"/>
        <w:spacing w:after="240" w:before="161" w:line="259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1"/>
        <w:spacing w:after="240" w:before="161" w:line="259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Style w:val="Heading1"/>
        <w:spacing w:after="240" w:before="161" w:line="259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Table S2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Style w:val="Heading1"/>
        <w:spacing w:after="240" w:before="161" w:line="259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patients demographics according to Alvarado score</w:t>
      </w:r>
    </w:p>
    <w:tbl>
      <w:tblPr>
        <w:tblStyle w:val="Table3"/>
        <w:tblW w:w="5617.0" w:type="dxa"/>
        <w:jc w:val="left"/>
        <w:tblBorders>
          <w:top w:color="d5d5d5" w:space="0" w:sz="12" w:val="single"/>
          <w:left w:color="d5d5d5" w:space="0" w:sz="12" w:val="single"/>
          <w:bottom w:color="d5d5d5" w:space="0" w:sz="12" w:val="single"/>
          <w:right w:color="d5d5d5" w:space="0" w:sz="12" w:val="single"/>
        </w:tblBorders>
        <w:tblLayout w:type="fixed"/>
        <w:tblLook w:val="0400"/>
      </w:tblPr>
      <w:tblGrid>
        <w:gridCol w:w="1421"/>
        <w:gridCol w:w="919"/>
        <w:gridCol w:w="735"/>
        <w:gridCol w:w="566"/>
        <w:gridCol w:w="566"/>
        <w:gridCol w:w="520"/>
        <w:gridCol w:w="890"/>
        <w:tblGridChange w:id="0">
          <w:tblGrid>
            <w:gridCol w:w="1421"/>
            <w:gridCol w:w="919"/>
            <w:gridCol w:w="735"/>
            <w:gridCol w:w="566"/>
            <w:gridCol w:w="566"/>
            <w:gridCol w:w="520"/>
            <w:gridCol w:w="890"/>
          </w:tblGrid>
        </w:tblGridChange>
      </w:tblGrid>
      <w:tr>
        <w:trPr>
          <w:cantSplit w:val="0"/>
          <w:tblHeader w:val="1"/>
        </w:trPr>
        <w:tc>
          <w:tcPr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D0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rtl w:val="0"/>
              </w:rPr>
              <w:t xml:space="preserve">Complicated appendicitis</w:t>
            </w:r>
          </w:p>
        </w:tc>
        <w:tc>
          <w:tcPr>
            <w:gridSpan w:val="6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D1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rtl w:val="0"/>
              </w:rPr>
              <w:t xml:space="preserve">Alvarado score</w:t>
            </w:r>
          </w:p>
        </w:tc>
      </w:tr>
      <w:tr>
        <w:trPr>
          <w:cantSplit w:val="0"/>
          <w:tblHeader w:val="1"/>
        </w:trPr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D8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rtl w:val="0"/>
              </w:rPr>
              <w:t xml:space="preserve">n (%)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D9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rtl w:val="0"/>
              </w:rPr>
              <w:t xml:space="preserve">Mean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DA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rtl w:val="0"/>
              </w:rPr>
              <w:t xml:space="preserve">SD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DB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rtl w:val="0"/>
              </w:rPr>
              <w:t xml:space="preserve">t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DC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rtl w:val="0"/>
              </w:rPr>
              <w:t xml:space="preserve">df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DD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4"/>
                <w:szCs w:val="1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rtl w:val="0"/>
              </w:rPr>
              <w:t xml:space="preserve"> value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DE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Present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DF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203(31.8)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E0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8.5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E1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0.77</w:t>
            </w:r>
          </w:p>
        </w:tc>
        <w:tc>
          <w:tcPr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E2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8.85</w:t>
            </w:r>
          </w:p>
        </w:tc>
        <w:tc>
          <w:tcPr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E3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108</w:t>
            </w:r>
          </w:p>
        </w:tc>
        <w:tc>
          <w:tcPr>
            <w:vMerge w:val="restart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E4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&lt; 0.05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E5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Absent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E6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433(68.2)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E7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7.25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E8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0.71</w:t>
            </w:r>
          </w:p>
        </w:tc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EC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Lowest value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ED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EE">
            <w:pPr>
              <w:bidi w:val="1"/>
              <w:spacing w:after="160" w:line="259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EF">
            <w:pPr>
              <w:bidi w:val="1"/>
              <w:spacing w:after="160" w:line="259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F0">
            <w:pPr>
              <w:bidi w:val="1"/>
              <w:spacing w:after="160" w:line="259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F1">
            <w:pPr>
              <w:bidi w:val="1"/>
              <w:spacing w:after="160" w:line="259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F2">
            <w:pPr>
              <w:bidi w:val="1"/>
              <w:spacing w:after="160" w:line="259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6.0000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F3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Highest value</w:t>
            </w:r>
          </w:p>
        </w:tc>
        <w:tc>
          <w:tcPr>
            <w:gridSpan w:val="6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F4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10.0000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FA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Arithmetic mean</w:t>
            </w:r>
          </w:p>
        </w:tc>
        <w:tc>
          <w:tcPr>
            <w:gridSpan w:val="6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0FB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7.6636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01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Standard deviation</w:t>
            </w:r>
          </w:p>
        </w:tc>
        <w:tc>
          <w:tcPr>
            <w:gridSpan w:val="6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02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0.9605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08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Median</w:t>
            </w:r>
          </w:p>
        </w:tc>
        <w:tc>
          <w:tcPr>
            <w:gridSpan w:val="6"/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09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7.5000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0F">
            <w:pPr>
              <w:bidi w:val="1"/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rtl w:val="0"/>
              </w:rPr>
              <w:t xml:space="preserve"> 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10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rtl w:val="0"/>
              </w:rPr>
              <w:t xml:space="preserve">Complicated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shd w:fill="e6e6e6" w:val="clear"/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11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rtl w:val="0"/>
              </w:rPr>
              <w:t xml:space="preserve">Uncomplicated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12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Alvarado score &gt; mean (7.66)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13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284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14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131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15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Alvarado score &lt; mean (7.66)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16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18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17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302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18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Total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19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203</w:t>
            </w:r>
          </w:p>
        </w:tc>
        <w:tc>
          <w:tcPr>
            <w:tcBorders>
              <w:top w:color="a6a6a6" w:space="0" w:sz="6" w:val="single"/>
              <w:left w:color="a6a6a6" w:space="0" w:sz="6" w:val="single"/>
              <w:bottom w:color="a6a6a6" w:space="0" w:sz="6" w:val="single"/>
              <w:right w:color="d5d5d5" w:space="0" w:sz="6" w:val="single"/>
            </w:tcBorders>
            <w:tcMar>
              <w:top w:w="90.0" w:type="dxa"/>
              <w:left w:w="90.0" w:type="dxa"/>
              <w:bottom w:w="90.0" w:type="dxa"/>
              <w:right w:w="90.0" w:type="dxa"/>
            </w:tcMar>
          </w:tcPr>
          <w:p w:rsidR="00000000" w:rsidDel="00000000" w:rsidP="00000000" w:rsidRDefault="00000000" w:rsidRPr="00000000" w14:paraId="0000011A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433</w:t>
            </w:r>
          </w:p>
        </w:tc>
      </w:tr>
    </w:tbl>
    <w:p w:rsidR="00000000" w:rsidDel="00000000" w:rsidP="00000000" w:rsidRDefault="00000000" w:rsidRPr="00000000" w14:paraId="0000011B">
      <w:pPr>
        <w:pStyle w:val="Heading1"/>
        <w:bidi w:val="1"/>
        <w:spacing w:after="240" w:before="161" w:line="259" w:lineRule="auto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43182</wp:posOffset>
            </wp:positionH>
            <wp:positionV relativeFrom="paragraph">
              <wp:posOffset>3425825</wp:posOffset>
            </wp:positionV>
            <wp:extent cx="5943600" cy="4793615"/>
            <wp:effectExtent b="0" l="0" r="0" t="0"/>
            <wp:wrapTopAndBottom distB="0" dist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36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0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Fig. S 1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8">
      <w:pPr>
        <w:spacing w:line="276" w:lineRule="auto"/>
        <w:rPr/>
      </w:pPr>
      <w:r w:rsidDel="00000000" w:rsidR="00000000" w:rsidRPr="00000000">
        <w:rPr>
          <w:rtl w:val="0"/>
        </w:rPr>
        <w:t xml:space="preserve">scattered plot diagram showing relationship between increase </w:t>
      </w:r>
    </w:p>
    <w:p w:rsidR="00000000" w:rsidDel="00000000" w:rsidP="00000000" w:rsidRDefault="00000000" w:rsidRPr="00000000" w14:paraId="00000129">
      <w:pPr>
        <w:spacing w:line="276" w:lineRule="auto"/>
        <w:rPr/>
      </w:pPr>
      <w:r w:rsidDel="00000000" w:rsidR="00000000" w:rsidRPr="00000000">
        <w:rPr>
          <w:rtl w:val="0"/>
        </w:rPr>
        <w:t xml:space="preserve">in appendix diameter with increase in serum total bilirubin level</w:t>
      </w:r>
    </w:p>
    <w:p w:rsidR="00000000" w:rsidDel="00000000" w:rsidP="00000000" w:rsidRDefault="00000000" w:rsidRPr="00000000" w14:paraId="0000012A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pStyle w:val="Heading1"/>
        <w:bidi w:val="1"/>
        <w:spacing w:after="240" w:before="161" w:line="259" w:lineRule="auto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_EG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