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D84F23E" w14:textId="77777777" w:rsidR="00E70C30" w:rsidRDefault="00E70C30">
      <w:pPr>
        <w:spacing w:line="360" w:lineRule="auto"/>
        <w:rPr>
          <w:rFonts w:ascii="Times New Roman" w:hAnsi="Times New Roman" w:cs="Times New Roman"/>
          <w:sz w:val="24"/>
          <w:szCs w:val="32"/>
        </w:rPr>
      </w:pPr>
    </w:p>
    <w:p w14:paraId="704E2CB5" w14:textId="77777777" w:rsidR="00E70C30" w:rsidRDefault="00327B75">
      <w:pPr>
        <w:spacing w:line="360" w:lineRule="auto"/>
        <w:rPr>
          <w:rFonts w:ascii="Times New Roman" w:hAnsi="Times New Roman" w:cs="Times New Roman"/>
          <w:b/>
          <w:bCs/>
          <w:sz w:val="28"/>
          <w:szCs w:val="36"/>
          <w:lang w:val="en-US"/>
        </w:rPr>
      </w:pPr>
      <w:r>
        <w:rPr>
          <w:rFonts w:ascii="Times New Roman" w:hAnsi="Times New Roman" w:cs="Times New Roman" w:hint="eastAsia"/>
          <w:b/>
          <w:bCs/>
          <w:sz w:val="28"/>
          <w:szCs w:val="36"/>
          <w:lang w:val="en-US"/>
        </w:rPr>
        <w:t>Supplementary figures</w:t>
      </w:r>
    </w:p>
    <w:p w14:paraId="02160316" w14:textId="77777777" w:rsidR="00E70C30" w:rsidRDefault="00327B75">
      <w:pPr>
        <w:spacing w:line="360" w:lineRule="auto"/>
        <w:rPr>
          <w:rFonts w:ascii="Times New Roman" w:hAnsi="Times New Roman" w:cs="Times New Roman"/>
          <w:b/>
          <w:bCs/>
          <w:sz w:val="24"/>
          <w:szCs w:val="32"/>
          <w:lang w:val="en-US"/>
        </w:rPr>
      </w:pPr>
      <w:r>
        <w:rPr>
          <w:rFonts w:ascii="Times New Roman" w:hAnsi="Times New Roman" w:cs="Times New Roman"/>
          <w:b/>
          <w:bCs/>
          <w:noProof/>
          <w:sz w:val="24"/>
          <w:szCs w:val="32"/>
          <w:lang w:val="en-US"/>
        </w:rPr>
        <w:drawing>
          <wp:inline distT="0" distB="0" distL="114300" distR="114300" wp14:anchorId="38A3ABF2" wp14:editId="7A084571">
            <wp:extent cx="5266055" cy="5584825"/>
            <wp:effectExtent l="0" t="0" r="6985" b="8255"/>
            <wp:docPr id="8" name="图片 8" descr="Supplementary Fig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Supplementary Figure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6055" cy="5584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8102B0" w14:textId="77777777" w:rsidR="00E70C30" w:rsidRDefault="00327B75">
      <w:pPr>
        <w:spacing w:line="360" w:lineRule="auto"/>
        <w:rPr>
          <w:rFonts w:ascii="Times New Roman" w:hAnsi="Times New Roman" w:cs="Times New Roman"/>
          <w:sz w:val="24"/>
          <w:szCs w:val="32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32"/>
          <w:lang w:val="en-US"/>
        </w:rPr>
        <w:t>Supplementary Figure 1</w:t>
      </w:r>
      <w:r>
        <w:rPr>
          <w:rFonts w:ascii="Times New Roman" w:hAnsi="Times New Roman" w:cs="Times New Roman"/>
          <w:sz w:val="24"/>
          <w:szCs w:val="32"/>
          <w:lang w:val="en-US"/>
        </w:rPr>
        <w:t xml:space="preserve"> :</w:t>
      </w:r>
      <w:r>
        <w:rPr>
          <w:rFonts w:ascii="Times New Roman" w:hAnsi="Times New Roman" w:cs="Times New Roman"/>
          <w:b/>
          <w:bCs/>
          <w:sz w:val="24"/>
          <w:szCs w:val="32"/>
          <w:lang w:val="en-US"/>
        </w:rPr>
        <w:t xml:space="preserve"> Nur77 knockout significantly enhanced the migration and invasion abilities of HepG2 and HuH6 cells, and decreased the percentage of apoptosis</w:t>
      </w:r>
      <w:r>
        <w:rPr>
          <w:rFonts w:ascii="Times New Roman" w:hAnsi="Times New Roman" w:cs="Times New Roman"/>
          <w:sz w:val="24"/>
          <w:szCs w:val="32"/>
          <w:lang w:val="en-US"/>
        </w:rPr>
        <w:t xml:space="preserve">. </w:t>
      </w:r>
      <w:r>
        <w:rPr>
          <w:rFonts w:ascii="Times New Roman" w:hAnsi="Times New Roman" w:cs="Times New Roman"/>
          <w:b/>
          <w:bCs/>
          <w:sz w:val="24"/>
          <w:szCs w:val="32"/>
          <w:lang w:val="en-US"/>
        </w:rPr>
        <w:t>(A)</w:t>
      </w:r>
      <w:r>
        <w:rPr>
          <w:rFonts w:ascii="Times New Roman" w:hAnsi="Times New Roman" w:cs="Times New Roman"/>
          <w:sz w:val="24"/>
          <w:szCs w:val="32"/>
          <w:lang w:val="en-US"/>
        </w:rPr>
        <w:t xml:space="preserve"> Transwell migration and invasion assays were used to detect the effect of Nur77 knockout on the migration an</w:t>
      </w:r>
      <w:r>
        <w:rPr>
          <w:rFonts w:ascii="Times New Roman" w:hAnsi="Times New Roman" w:cs="Times New Roman"/>
          <w:sz w:val="24"/>
          <w:szCs w:val="32"/>
          <w:lang w:val="en-US"/>
        </w:rPr>
        <w:t xml:space="preserve">d invasion abilities of HepG2 and HuH6 cells, Scale bar represents 100 μm. </w:t>
      </w:r>
      <w:r>
        <w:rPr>
          <w:rFonts w:ascii="Times New Roman" w:hAnsi="Times New Roman" w:cs="Times New Roman"/>
          <w:b/>
          <w:bCs/>
          <w:sz w:val="24"/>
          <w:szCs w:val="32"/>
          <w:lang w:val="en-US"/>
        </w:rPr>
        <w:t xml:space="preserve">(B) </w:t>
      </w:r>
      <w:r>
        <w:rPr>
          <w:rFonts w:ascii="Times New Roman" w:hAnsi="Times New Roman" w:cs="Times New Roman"/>
          <w:sz w:val="24"/>
          <w:szCs w:val="32"/>
          <w:lang w:val="en-US"/>
        </w:rPr>
        <w:t>Apoptosis assay was used to verify the proportion of apoptosis in HepG2 and HuH6 cells after Nur77 knockout. Values are mean ± standard error and represent three independent exp</w:t>
      </w:r>
      <w:r>
        <w:rPr>
          <w:rFonts w:ascii="Times New Roman" w:hAnsi="Times New Roman" w:cs="Times New Roman"/>
          <w:sz w:val="24"/>
          <w:szCs w:val="32"/>
          <w:lang w:val="en-US"/>
        </w:rPr>
        <w:t>eriments. P values were generated using unpaired t-test analysis, ***p &lt; 0.001, ****p &lt; 0.0001.</w:t>
      </w:r>
    </w:p>
    <w:p w14:paraId="6D50ED68" w14:textId="77777777" w:rsidR="00E70C30" w:rsidRDefault="00327B75">
      <w:pPr>
        <w:spacing w:line="360" w:lineRule="auto"/>
        <w:rPr>
          <w:rFonts w:ascii="Times New Roman" w:hAnsi="Times New Roman" w:cs="Times New Roman"/>
          <w:sz w:val="24"/>
          <w:szCs w:val="32"/>
          <w:lang w:val="en-US"/>
        </w:rPr>
      </w:pPr>
      <w:r>
        <w:rPr>
          <w:rFonts w:ascii="Times New Roman" w:hAnsi="Times New Roman" w:cs="Times New Roman"/>
          <w:noProof/>
          <w:sz w:val="24"/>
          <w:szCs w:val="32"/>
          <w:lang w:val="en-US"/>
        </w:rPr>
        <w:lastRenderedPageBreak/>
        <w:drawing>
          <wp:inline distT="0" distB="0" distL="114300" distR="114300" wp14:anchorId="2A5CFAC9" wp14:editId="4C0DB8E0">
            <wp:extent cx="5253990" cy="7258685"/>
            <wp:effectExtent l="0" t="0" r="3810" b="10795"/>
            <wp:docPr id="9" name="图片 9" descr="Supplementary Fig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Supplementary Figure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53990" cy="7258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B0ACF6" w14:textId="77777777" w:rsidR="00E70C30" w:rsidRDefault="00327B75">
      <w:pPr>
        <w:spacing w:line="360" w:lineRule="auto"/>
        <w:rPr>
          <w:rFonts w:ascii="Times New Roman" w:hAnsi="Times New Roman" w:cs="Times New Roman"/>
          <w:sz w:val="24"/>
          <w:szCs w:val="32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32"/>
          <w:lang w:val="en-US"/>
        </w:rPr>
        <w:t>Supplementary Figure 2</w:t>
      </w:r>
      <w:r>
        <w:rPr>
          <w:rFonts w:ascii="Times New Roman" w:hAnsi="Times New Roman" w:cs="Times New Roman"/>
          <w:sz w:val="24"/>
          <w:szCs w:val="32"/>
          <w:lang w:val="en-US"/>
        </w:rPr>
        <w:t xml:space="preserve">: </w:t>
      </w:r>
      <w:r>
        <w:rPr>
          <w:rFonts w:ascii="Times New Roman" w:hAnsi="Times New Roman" w:cs="Times New Roman"/>
          <w:b/>
          <w:bCs/>
          <w:sz w:val="24"/>
          <w:szCs w:val="32"/>
          <w:lang w:val="en-US"/>
        </w:rPr>
        <w:t>Overexpression of Nur77 significantly inhibited the migration and invasion of HepG2 and HuH6 cells, and increased the percentage of ap</w:t>
      </w:r>
      <w:r>
        <w:rPr>
          <w:rFonts w:ascii="Times New Roman" w:hAnsi="Times New Roman" w:cs="Times New Roman"/>
          <w:b/>
          <w:bCs/>
          <w:sz w:val="24"/>
          <w:szCs w:val="32"/>
          <w:lang w:val="en-US"/>
        </w:rPr>
        <w:t>optosis</w:t>
      </w:r>
      <w:r>
        <w:rPr>
          <w:rFonts w:ascii="Times New Roman" w:hAnsi="Times New Roman" w:cs="Times New Roman"/>
          <w:sz w:val="24"/>
          <w:szCs w:val="32"/>
          <w:lang w:val="en-US"/>
        </w:rPr>
        <w:t xml:space="preserve">. </w:t>
      </w:r>
      <w:r>
        <w:rPr>
          <w:rFonts w:ascii="Times New Roman" w:hAnsi="Times New Roman" w:cs="Times New Roman"/>
          <w:b/>
          <w:bCs/>
          <w:sz w:val="24"/>
          <w:szCs w:val="32"/>
          <w:lang w:val="en-US"/>
        </w:rPr>
        <w:t>(A)</w:t>
      </w:r>
      <w:r>
        <w:rPr>
          <w:rFonts w:ascii="Times New Roman" w:hAnsi="Times New Roman" w:cs="Times New Roman"/>
          <w:sz w:val="24"/>
          <w:szCs w:val="32"/>
          <w:lang w:val="en-US"/>
        </w:rPr>
        <w:t xml:space="preserve"> Overexpression efficiency of Nu77 was detected by RT-qPCR HepG2 and HuH6 cells. </w:t>
      </w:r>
      <w:r>
        <w:rPr>
          <w:rFonts w:ascii="Times New Roman" w:hAnsi="Times New Roman" w:cs="Times New Roman"/>
          <w:b/>
          <w:bCs/>
          <w:sz w:val="24"/>
          <w:szCs w:val="32"/>
          <w:lang w:val="en-US"/>
        </w:rPr>
        <w:t>(B)</w:t>
      </w:r>
      <w:r>
        <w:rPr>
          <w:rFonts w:ascii="Times New Roman" w:hAnsi="Times New Roman" w:cs="Times New Roman"/>
          <w:sz w:val="24"/>
          <w:szCs w:val="32"/>
          <w:lang w:val="en-US"/>
        </w:rPr>
        <w:t xml:space="preserve"> Transwell migration and invasion assays were used to detect the effect of Nur77 overexpression on migration and invasion of HepG2 and </w:t>
      </w:r>
      <w:r>
        <w:rPr>
          <w:rFonts w:ascii="Times New Roman" w:hAnsi="Times New Roman" w:cs="Times New Roman"/>
          <w:sz w:val="24"/>
          <w:szCs w:val="32"/>
          <w:lang w:val="en-US"/>
        </w:rPr>
        <w:lastRenderedPageBreak/>
        <w:t>HuH6 cells. Scale bar rep</w:t>
      </w:r>
      <w:r>
        <w:rPr>
          <w:rFonts w:ascii="Times New Roman" w:hAnsi="Times New Roman" w:cs="Times New Roman"/>
          <w:sz w:val="24"/>
          <w:szCs w:val="32"/>
          <w:lang w:val="en-US"/>
        </w:rPr>
        <w:t xml:space="preserve">resents 100 μm. </w:t>
      </w:r>
      <w:r>
        <w:rPr>
          <w:rFonts w:ascii="Times New Roman" w:hAnsi="Times New Roman" w:cs="Times New Roman"/>
          <w:b/>
          <w:bCs/>
          <w:sz w:val="24"/>
          <w:szCs w:val="32"/>
          <w:lang w:val="en-US"/>
        </w:rPr>
        <w:t>(C)</w:t>
      </w:r>
      <w:r>
        <w:rPr>
          <w:rFonts w:ascii="Times New Roman" w:hAnsi="Times New Roman" w:cs="Times New Roman"/>
          <w:sz w:val="24"/>
          <w:szCs w:val="32"/>
          <w:lang w:val="en-US"/>
        </w:rPr>
        <w:t xml:space="preserve"> Apoptosis analysis was used to verify the apoptosis ratio of HepG2 and HuH6 cells after Nur77 overexpression. Values are mean ± standard error and represent three independent experiments. P values were generated using unpaired t-test an</w:t>
      </w:r>
      <w:r>
        <w:rPr>
          <w:rFonts w:ascii="Times New Roman" w:hAnsi="Times New Roman" w:cs="Times New Roman"/>
          <w:sz w:val="24"/>
          <w:szCs w:val="32"/>
          <w:lang w:val="en-US"/>
        </w:rPr>
        <w:t>alysis, ***p &lt; 0.001, ****p &lt; 0.0001.</w:t>
      </w:r>
    </w:p>
    <w:p w14:paraId="18E82EB7" w14:textId="77777777" w:rsidR="00E70C30" w:rsidRDefault="00327B75">
      <w:pPr>
        <w:spacing w:line="360" w:lineRule="auto"/>
        <w:rPr>
          <w:rFonts w:ascii="Times New Roman" w:hAnsi="Times New Roman" w:cs="Times New Roman"/>
          <w:sz w:val="24"/>
          <w:szCs w:val="32"/>
          <w:lang w:val="en-US"/>
        </w:rPr>
      </w:pPr>
      <w:r>
        <w:rPr>
          <w:rFonts w:ascii="Times New Roman" w:hAnsi="Times New Roman" w:cs="Times New Roman"/>
          <w:noProof/>
          <w:sz w:val="24"/>
          <w:szCs w:val="32"/>
          <w:lang w:val="en-US"/>
        </w:rPr>
        <w:drawing>
          <wp:inline distT="0" distB="0" distL="114300" distR="114300" wp14:anchorId="457A4AA2" wp14:editId="7F8DF9D8">
            <wp:extent cx="5249545" cy="4295775"/>
            <wp:effectExtent l="0" t="0" r="8255" b="1905"/>
            <wp:docPr id="10" name="图片 10" descr="Supplementary Fig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Supplementary Figure 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49545" cy="4295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54D1B0" w14:textId="77777777" w:rsidR="00E70C30" w:rsidRDefault="00327B75">
      <w:pPr>
        <w:spacing w:line="360" w:lineRule="auto"/>
        <w:rPr>
          <w:rFonts w:ascii="Times New Roman" w:hAnsi="Times New Roman" w:cs="Times New Roman"/>
          <w:sz w:val="24"/>
          <w:szCs w:val="32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32"/>
          <w:lang w:val="en-US"/>
        </w:rPr>
        <w:t>Supplementary Figure 3</w:t>
      </w:r>
      <w:r>
        <w:rPr>
          <w:rFonts w:ascii="Times New Roman" w:hAnsi="Times New Roman" w:cs="Times New Roman"/>
          <w:sz w:val="24"/>
          <w:szCs w:val="32"/>
          <w:lang w:val="en-US"/>
        </w:rPr>
        <w:t xml:space="preserve">: Mutated Nur77 have no obvious effect on proliferation of HepG2 cells. </w:t>
      </w:r>
      <w:r>
        <w:rPr>
          <w:rFonts w:ascii="Times New Roman" w:hAnsi="Times New Roman" w:cs="Times New Roman"/>
          <w:b/>
          <w:bCs/>
          <w:sz w:val="24"/>
          <w:szCs w:val="32"/>
          <w:lang w:val="en-US"/>
        </w:rPr>
        <w:t>(A-C)</w:t>
      </w:r>
      <w:r>
        <w:rPr>
          <w:rFonts w:ascii="Times New Roman" w:hAnsi="Times New Roman" w:cs="Times New Roman"/>
          <w:sz w:val="24"/>
          <w:szCs w:val="32"/>
          <w:lang w:val="en-US"/>
        </w:rPr>
        <w:t xml:space="preserve"> Colony formation assay </w:t>
      </w:r>
      <w:r>
        <w:rPr>
          <w:rFonts w:ascii="Times New Roman" w:hAnsi="Times New Roman" w:cs="Times New Roman"/>
          <w:b/>
          <w:bCs/>
          <w:sz w:val="24"/>
          <w:szCs w:val="32"/>
          <w:lang w:val="en-US"/>
        </w:rPr>
        <w:t>(A)</w:t>
      </w:r>
      <w:r>
        <w:rPr>
          <w:rFonts w:ascii="Times New Roman" w:hAnsi="Times New Roman" w:cs="Times New Roman"/>
          <w:sz w:val="24"/>
          <w:szCs w:val="32"/>
          <w:lang w:val="en-US"/>
        </w:rPr>
        <w:t xml:space="preserve">, EdU incorporation assay </w:t>
      </w:r>
      <w:r>
        <w:rPr>
          <w:rFonts w:ascii="Times New Roman" w:hAnsi="Times New Roman" w:cs="Times New Roman"/>
          <w:b/>
          <w:bCs/>
          <w:sz w:val="24"/>
          <w:szCs w:val="32"/>
          <w:lang w:val="en-US"/>
        </w:rPr>
        <w:t>(B)</w:t>
      </w:r>
      <w:r>
        <w:rPr>
          <w:rFonts w:ascii="Times New Roman" w:hAnsi="Times New Roman" w:cs="Times New Roman"/>
          <w:sz w:val="24"/>
          <w:szCs w:val="32"/>
          <w:lang w:val="en-US"/>
        </w:rPr>
        <w:t xml:space="preserve"> and CCK-8 assay </w:t>
      </w:r>
      <w:r>
        <w:rPr>
          <w:rFonts w:ascii="Times New Roman" w:hAnsi="Times New Roman" w:cs="Times New Roman"/>
          <w:b/>
          <w:bCs/>
          <w:sz w:val="24"/>
          <w:szCs w:val="32"/>
          <w:lang w:val="en-US"/>
        </w:rPr>
        <w:t>(C)</w:t>
      </w:r>
      <w:r>
        <w:rPr>
          <w:rFonts w:ascii="Times New Roman" w:hAnsi="Times New Roman" w:cs="Times New Roman"/>
          <w:sz w:val="24"/>
          <w:szCs w:val="32"/>
          <w:lang w:val="en-US"/>
        </w:rPr>
        <w:t xml:space="preserve"> were used to detect the effects of NUR77 OE and NUR77 Mut OE on the proliferation of HepG2 cells. Scale bar represents 100 μm. Values are mean ± standard error and represent three independent experiments. P values were generated using oneway ANOVA followe</w:t>
      </w:r>
      <w:r>
        <w:rPr>
          <w:rFonts w:ascii="Times New Roman" w:hAnsi="Times New Roman" w:cs="Times New Roman"/>
          <w:sz w:val="24"/>
          <w:szCs w:val="32"/>
          <w:lang w:val="en-US"/>
        </w:rPr>
        <w:t>d by Tukey's post hoc test analysis, ns, no significant difference, *** p &lt; 0.001, **** p &lt; 0.0001.</w:t>
      </w:r>
    </w:p>
    <w:p w14:paraId="36FD110C" w14:textId="77777777" w:rsidR="00E70C30" w:rsidRDefault="00E70C30">
      <w:pPr>
        <w:spacing w:line="360" w:lineRule="auto"/>
        <w:rPr>
          <w:rFonts w:ascii="Times New Roman" w:hAnsi="Times New Roman" w:cs="Times New Roman"/>
          <w:b/>
          <w:bCs/>
          <w:sz w:val="24"/>
          <w:szCs w:val="32"/>
          <w:lang w:val="en-US"/>
        </w:rPr>
      </w:pPr>
    </w:p>
    <w:sectPr w:rsidR="00E70C30">
      <w:pgSz w:w="11906" w:h="16838"/>
      <w:pgMar w:top="1440" w:right="1800" w:bottom="1440" w:left="1800" w:header="851" w:footer="992" w:gutter="0"/>
      <w:lnNumType w:countBy="1" w:restart="continuous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bordersDoNotSurroundHeader/>
  <w:bordersDoNotSurroundFooter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ZjAyODFkMTkyZjQyYmY0MmQzNDI3ODcxODA2ZDJmMTIifQ=="/>
    <w:docVar w:name="EN.Layout" w:val="&lt;ENLayout&gt;&lt;Style&gt;International Journal Of Oncology&lt;/Style&gt;&lt;LeftDelim&gt;{&lt;/LeftDelim&gt;&lt;RightDelim&gt;}&lt;/RightDelim&gt;&lt;FontName&gt;Calibri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tsvf2wwweextfzexspbpezpfavtaspzfr9za&quot;&gt;reference Copy&lt;record-ids&gt;&lt;item&gt;319&lt;/item&gt;&lt;item&gt;320&lt;/item&gt;&lt;item&gt;321&lt;/item&gt;&lt;item&gt;322&lt;/item&gt;&lt;item&gt;323&lt;/item&gt;&lt;item&gt;324&lt;/item&gt;&lt;item&gt;325&lt;/item&gt;&lt;item&gt;326&lt;/item&gt;&lt;item&gt;327&lt;/item&gt;&lt;item&gt;328&lt;/item&gt;&lt;item&gt;329&lt;/item&gt;&lt;item&gt;330&lt;/item&gt;&lt;item&gt;331&lt;/item&gt;&lt;item&gt;332&lt;/item&gt;&lt;item&gt;333&lt;/item&gt;&lt;item&gt;334&lt;/item&gt;&lt;item&gt;335&lt;/item&gt;&lt;item&gt;336&lt;/item&gt;&lt;item&gt;337&lt;/item&gt;&lt;item&gt;338&lt;/item&gt;&lt;item&gt;339&lt;/item&gt;&lt;item&gt;340&lt;/item&gt;&lt;item&gt;341&lt;/item&gt;&lt;item&gt;342&lt;/item&gt;&lt;item&gt;343&lt;/item&gt;&lt;item&gt;344&lt;/item&gt;&lt;item&gt;345&lt;/item&gt;&lt;item&gt;346&lt;/item&gt;&lt;item&gt;347&lt;/item&gt;&lt;item&gt;348&lt;/item&gt;&lt;item&gt;349&lt;/item&gt;&lt;item&gt;350&lt;/item&gt;&lt;item&gt;351&lt;/item&gt;&lt;item&gt;352&lt;/item&gt;&lt;item&gt;353&lt;/item&gt;&lt;item&gt;354&lt;/item&gt;&lt;item&gt;355&lt;/item&gt;&lt;item&gt;356&lt;/item&gt;&lt;/record-ids&gt;&lt;/item&gt;&lt;/Libraries&gt;"/>
  </w:docVars>
  <w:rsids>
    <w:rsidRoot w:val="00E27D84"/>
    <w:rsid w:val="CD7AE38F"/>
    <w:rsid w:val="CDBB2893"/>
    <w:rsid w:val="CEB42F46"/>
    <w:rsid w:val="CF5F8199"/>
    <w:rsid w:val="CFD7D226"/>
    <w:rsid w:val="CFE3F827"/>
    <w:rsid w:val="CFE71470"/>
    <w:rsid w:val="CFF682CA"/>
    <w:rsid w:val="CFF725B2"/>
    <w:rsid w:val="CFFE4C6E"/>
    <w:rsid w:val="D3E92679"/>
    <w:rsid w:val="D5F9A967"/>
    <w:rsid w:val="D5FF273C"/>
    <w:rsid w:val="D67DF5D1"/>
    <w:rsid w:val="D6FE739B"/>
    <w:rsid w:val="D756AA06"/>
    <w:rsid w:val="DB7D7FC3"/>
    <w:rsid w:val="DCAFA777"/>
    <w:rsid w:val="DD7C12D6"/>
    <w:rsid w:val="DDCD0BFE"/>
    <w:rsid w:val="DDE76787"/>
    <w:rsid w:val="DDEEADF5"/>
    <w:rsid w:val="DDEF1FE3"/>
    <w:rsid w:val="DDFD3B7E"/>
    <w:rsid w:val="DEF8B509"/>
    <w:rsid w:val="DEF95A70"/>
    <w:rsid w:val="DEF9A526"/>
    <w:rsid w:val="DF93AC96"/>
    <w:rsid w:val="DFB3D105"/>
    <w:rsid w:val="DFBF787F"/>
    <w:rsid w:val="DFBF892C"/>
    <w:rsid w:val="DFD3C9F3"/>
    <w:rsid w:val="DFD53619"/>
    <w:rsid w:val="DFD56657"/>
    <w:rsid w:val="DFF56976"/>
    <w:rsid w:val="DFFB8269"/>
    <w:rsid w:val="DFFF3A04"/>
    <w:rsid w:val="E39EDE87"/>
    <w:rsid w:val="E3EB37FC"/>
    <w:rsid w:val="E3F7DED5"/>
    <w:rsid w:val="E47D88F5"/>
    <w:rsid w:val="E4F6E7D5"/>
    <w:rsid w:val="E71DA264"/>
    <w:rsid w:val="E7374877"/>
    <w:rsid w:val="E7AEFF6D"/>
    <w:rsid w:val="E7FFB790"/>
    <w:rsid w:val="E9FFFF71"/>
    <w:rsid w:val="EBEB23C7"/>
    <w:rsid w:val="EBEEC534"/>
    <w:rsid w:val="EBFF45C8"/>
    <w:rsid w:val="EBFFD5E4"/>
    <w:rsid w:val="EC57B923"/>
    <w:rsid w:val="EC7C297F"/>
    <w:rsid w:val="ECFE61BC"/>
    <w:rsid w:val="ED3F7C8B"/>
    <w:rsid w:val="EDDF991B"/>
    <w:rsid w:val="EDFB0349"/>
    <w:rsid w:val="EDFFA953"/>
    <w:rsid w:val="EE27D61F"/>
    <w:rsid w:val="EE7E5D1A"/>
    <w:rsid w:val="EEDC2A89"/>
    <w:rsid w:val="EEFBBE78"/>
    <w:rsid w:val="EEFD10D0"/>
    <w:rsid w:val="EF2DEF39"/>
    <w:rsid w:val="EF7D1A7F"/>
    <w:rsid w:val="EFDDC63B"/>
    <w:rsid w:val="EFEE7152"/>
    <w:rsid w:val="EFF34C9D"/>
    <w:rsid w:val="EFFDCD20"/>
    <w:rsid w:val="EFFED19A"/>
    <w:rsid w:val="F084D826"/>
    <w:rsid w:val="F171A7F1"/>
    <w:rsid w:val="F19BDD51"/>
    <w:rsid w:val="F1EF1EA8"/>
    <w:rsid w:val="F1FFC50D"/>
    <w:rsid w:val="F26FA5C4"/>
    <w:rsid w:val="F2BFEC67"/>
    <w:rsid w:val="F2EF25E7"/>
    <w:rsid w:val="F37B2E60"/>
    <w:rsid w:val="F37F53E5"/>
    <w:rsid w:val="F3AEA621"/>
    <w:rsid w:val="F3DF23BF"/>
    <w:rsid w:val="F3FE27A5"/>
    <w:rsid w:val="F4F980BB"/>
    <w:rsid w:val="F4FFB636"/>
    <w:rsid w:val="F5FCB94B"/>
    <w:rsid w:val="F61F1889"/>
    <w:rsid w:val="F77E1740"/>
    <w:rsid w:val="F79DC033"/>
    <w:rsid w:val="F7EFC5B0"/>
    <w:rsid w:val="F7F2AC06"/>
    <w:rsid w:val="F7F550CF"/>
    <w:rsid w:val="F7F6AF2E"/>
    <w:rsid w:val="F7FEBF3F"/>
    <w:rsid w:val="F9DEBB2D"/>
    <w:rsid w:val="F9E60289"/>
    <w:rsid w:val="F9F6D807"/>
    <w:rsid w:val="FA6DD5A3"/>
    <w:rsid w:val="FA986523"/>
    <w:rsid w:val="FABEBDCC"/>
    <w:rsid w:val="FABFBB42"/>
    <w:rsid w:val="FAF3ECC6"/>
    <w:rsid w:val="FAFD96D3"/>
    <w:rsid w:val="FB5960CB"/>
    <w:rsid w:val="FB70173D"/>
    <w:rsid w:val="FB9F9539"/>
    <w:rsid w:val="FBBF413B"/>
    <w:rsid w:val="FBDB1343"/>
    <w:rsid w:val="FBEF4CE6"/>
    <w:rsid w:val="FBF6AD8B"/>
    <w:rsid w:val="FBFC7FCE"/>
    <w:rsid w:val="FBFD4051"/>
    <w:rsid w:val="FCFF7FEE"/>
    <w:rsid w:val="FD4F1214"/>
    <w:rsid w:val="FD5B11E5"/>
    <w:rsid w:val="FD73406D"/>
    <w:rsid w:val="FD78BEDD"/>
    <w:rsid w:val="FDA58367"/>
    <w:rsid w:val="FDABFCAC"/>
    <w:rsid w:val="FDBFFF19"/>
    <w:rsid w:val="FDDFF06E"/>
    <w:rsid w:val="FDDFF6BC"/>
    <w:rsid w:val="FDE3980D"/>
    <w:rsid w:val="FDE718A4"/>
    <w:rsid w:val="FDEF43A3"/>
    <w:rsid w:val="FDEFFC7D"/>
    <w:rsid w:val="FDF52322"/>
    <w:rsid w:val="FDFF199D"/>
    <w:rsid w:val="FE676FDC"/>
    <w:rsid w:val="FEF7B775"/>
    <w:rsid w:val="FF2FDCA8"/>
    <w:rsid w:val="FF3E1284"/>
    <w:rsid w:val="FF4E56AD"/>
    <w:rsid w:val="FF674041"/>
    <w:rsid w:val="FF6C4BE1"/>
    <w:rsid w:val="FF6CB1C0"/>
    <w:rsid w:val="FF7279FB"/>
    <w:rsid w:val="FF796E79"/>
    <w:rsid w:val="FF7F40BB"/>
    <w:rsid w:val="FF8F6C04"/>
    <w:rsid w:val="FF9F7CED"/>
    <w:rsid w:val="FFB120F2"/>
    <w:rsid w:val="FFB4FA55"/>
    <w:rsid w:val="FFB96F2C"/>
    <w:rsid w:val="FFCA0DA9"/>
    <w:rsid w:val="FFDA2E8B"/>
    <w:rsid w:val="FFEBBA6D"/>
    <w:rsid w:val="FFF309EE"/>
    <w:rsid w:val="FFF42D67"/>
    <w:rsid w:val="FFF559DD"/>
    <w:rsid w:val="FFF65E89"/>
    <w:rsid w:val="FFF8EAB0"/>
    <w:rsid w:val="FFF91797"/>
    <w:rsid w:val="FFFC9F4D"/>
    <w:rsid w:val="FFFD9549"/>
    <w:rsid w:val="FFFEE5D3"/>
    <w:rsid w:val="00002C68"/>
    <w:rsid w:val="0001435E"/>
    <w:rsid w:val="000278B9"/>
    <w:rsid w:val="000317A4"/>
    <w:rsid w:val="000549D7"/>
    <w:rsid w:val="0006059A"/>
    <w:rsid w:val="0006392F"/>
    <w:rsid w:val="000755F7"/>
    <w:rsid w:val="000A22C5"/>
    <w:rsid w:val="001306BE"/>
    <w:rsid w:val="00146E84"/>
    <w:rsid w:val="0015658B"/>
    <w:rsid w:val="00164E99"/>
    <w:rsid w:val="00165277"/>
    <w:rsid w:val="001873DA"/>
    <w:rsid w:val="00194902"/>
    <w:rsid w:val="001A31D4"/>
    <w:rsid w:val="001D02F5"/>
    <w:rsid w:val="001F6BB8"/>
    <w:rsid w:val="0021644B"/>
    <w:rsid w:val="00226BF1"/>
    <w:rsid w:val="0026387E"/>
    <w:rsid w:val="002731B5"/>
    <w:rsid w:val="00286713"/>
    <w:rsid w:val="00300D55"/>
    <w:rsid w:val="00310FC8"/>
    <w:rsid w:val="00320318"/>
    <w:rsid w:val="00327B75"/>
    <w:rsid w:val="00396049"/>
    <w:rsid w:val="003E6374"/>
    <w:rsid w:val="003F60C3"/>
    <w:rsid w:val="00450E4B"/>
    <w:rsid w:val="004861B7"/>
    <w:rsid w:val="00495A95"/>
    <w:rsid w:val="004C4649"/>
    <w:rsid w:val="004D3350"/>
    <w:rsid w:val="00503856"/>
    <w:rsid w:val="00584DCC"/>
    <w:rsid w:val="00596068"/>
    <w:rsid w:val="00597051"/>
    <w:rsid w:val="005B549D"/>
    <w:rsid w:val="005D3EEC"/>
    <w:rsid w:val="00600468"/>
    <w:rsid w:val="0060624F"/>
    <w:rsid w:val="006069D4"/>
    <w:rsid w:val="00610108"/>
    <w:rsid w:val="00614C16"/>
    <w:rsid w:val="00614F3D"/>
    <w:rsid w:val="00625EF3"/>
    <w:rsid w:val="00630975"/>
    <w:rsid w:val="006361B9"/>
    <w:rsid w:val="00651426"/>
    <w:rsid w:val="006826B4"/>
    <w:rsid w:val="006B54A9"/>
    <w:rsid w:val="006D71AB"/>
    <w:rsid w:val="00720746"/>
    <w:rsid w:val="00731639"/>
    <w:rsid w:val="007319CD"/>
    <w:rsid w:val="007375E3"/>
    <w:rsid w:val="00746F58"/>
    <w:rsid w:val="00747EB1"/>
    <w:rsid w:val="007510C7"/>
    <w:rsid w:val="00751948"/>
    <w:rsid w:val="007A447E"/>
    <w:rsid w:val="007C5751"/>
    <w:rsid w:val="007D14A9"/>
    <w:rsid w:val="007E77F1"/>
    <w:rsid w:val="00800B84"/>
    <w:rsid w:val="00857A14"/>
    <w:rsid w:val="00895BCA"/>
    <w:rsid w:val="0089725E"/>
    <w:rsid w:val="008A0211"/>
    <w:rsid w:val="008B3F62"/>
    <w:rsid w:val="008F65F5"/>
    <w:rsid w:val="0090727F"/>
    <w:rsid w:val="009365D5"/>
    <w:rsid w:val="009854D6"/>
    <w:rsid w:val="009B170D"/>
    <w:rsid w:val="009B38A6"/>
    <w:rsid w:val="009D0655"/>
    <w:rsid w:val="009F6393"/>
    <w:rsid w:val="00A00403"/>
    <w:rsid w:val="00A0479D"/>
    <w:rsid w:val="00A266F9"/>
    <w:rsid w:val="00A26A4B"/>
    <w:rsid w:val="00A313A5"/>
    <w:rsid w:val="00A40326"/>
    <w:rsid w:val="00A57F11"/>
    <w:rsid w:val="00A616C0"/>
    <w:rsid w:val="00A94134"/>
    <w:rsid w:val="00AE2ED9"/>
    <w:rsid w:val="00AF4E8E"/>
    <w:rsid w:val="00B2311D"/>
    <w:rsid w:val="00B43E54"/>
    <w:rsid w:val="00B564CA"/>
    <w:rsid w:val="00B60126"/>
    <w:rsid w:val="00BB046A"/>
    <w:rsid w:val="00BB67C0"/>
    <w:rsid w:val="00BC66F2"/>
    <w:rsid w:val="00BD56E5"/>
    <w:rsid w:val="00C17903"/>
    <w:rsid w:val="00C44BD2"/>
    <w:rsid w:val="00C61725"/>
    <w:rsid w:val="00C91A9C"/>
    <w:rsid w:val="00CA0D7A"/>
    <w:rsid w:val="00CB17FE"/>
    <w:rsid w:val="00CD0C90"/>
    <w:rsid w:val="00D153B5"/>
    <w:rsid w:val="00D56F3D"/>
    <w:rsid w:val="00D61380"/>
    <w:rsid w:val="00DA7D0D"/>
    <w:rsid w:val="00DB0AF0"/>
    <w:rsid w:val="00DB79F4"/>
    <w:rsid w:val="00E27D84"/>
    <w:rsid w:val="00E34C66"/>
    <w:rsid w:val="00E53BEB"/>
    <w:rsid w:val="00E70C30"/>
    <w:rsid w:val="00E7119E"/>
    <w:rsid w:val="00EB165C"/>
    <w:rsid w:val="00EF1AEF"/>
    <w:rsid w:val="00EF428B"/>
    <w:rsid w:val="00F01C7B"/>
    <w:rsid w:val="00F10D8C"/>
    <w:rsid w:val="00F25482"/>
    <w:rsid w:val="00F46BB2"/>
    <w:rsid w:val="00F46F10"/>
    <w:rsid w:val="00F60309"/>
    <w:rsid w:val="00F66D5A"/>
    <w:rsid w:val="00FB1536"/>
    <w:rsid w:val="00FE149F"/>
    <w:rsid w:val="01177B19"/>
    <w:rsid w:val="026E0D49"/>
    <w:rsid w:val="02741121"/>
    <w:rsid w:val="0575419C"/>
    <w:rsid w:val="067659F7"/>
    <w:rsid w:val="06E5A978"/>
    <w:rsid w:val="081E1D33"/>
    <w:rsid w:val="0A0D1003"/>
    <w:rsid w:val="0A510527"/>
    <w:rsid w:val="0ABDDE20"/>
    <w:rsid w:val="0B1D330C"/>
    <w:rsid w:val="0C3D1A96"/>
    <w:rsid w:val="0F957915"/>
    <w:rsid w:val="0FF664C6"/>
    <w:rsid w:val="10D25335"/>
    <w:rsid w:val="12606788"/>
    <w:rsid w:val="12CC4F4C"/>
    <w:rsid w:val="12DC763E"/>
    <w:rsid w:val="130D3C66"/>
    <w:rsid w:val="13396B63"/>
    <w:rsid w:val="13837C04"/>
    <w:rsid w:val="145C5EA4"/>
    <w:rsid w:val="14BE41C8"/>
    <w:rsid w:val="14EDAC61"/>
    <w:rsid w:val="151D5443"/>
    <w:rsid w:val="15F75506"/>
    <w:rsid w:val="15FCFE7A"/>
    <w:rsid w:val="16777D36"/>
    <w:rsid w:val="18666D7C"/>
    <w:rsid w:val="18826DF4"/>
    <w:rsid w:val="19D0298D"/>
    <w:rsid w:val="1AEF902F"/>
    <w:rsid w:val="1BBA690A"/>
    <w:rsid w:val="1BBFB823"/>
    <w:rsid w:val="1E143045"/>
    <w:rsid w:val="1E5DB938"/>
    <w:rsid w:val="1F5DF14D"/>
    <w:rsid w:val="1FBF5BD5"/>
    <w:rsid w:val="203771D2"/>
    <w:rsid w:val="20E76EFF"/>
    <w:rsid w:val="228C3A6F"/>
    <w:rsid w:val="24141505"/>
    <w:rsid w:val="251F0149"/>
    <w:rsid w:val="273D46C2"/>
    <w:rsid w:val="27571359"/>
    <w:rsid w:val="27AF672A"/>
    <w:rsid w:val="2BF32546"/>
    <w:rsid w:val="2C9EF6F4"/>
    <w:rsid w:val="2DFF0D6F"/>
    <w:rsid w:val="2DFFB638"/>
    <w:rsid w:val="2E563082"/>
    <w:rsid w:val="2F6FE2EC"/>
    <w:rsid w:val="2FDB1A75"/>
    <w:rsid w:val="313410F0"/>
    <w:rsid w:val="315A1FCD"/>
    <w:rsid w:val="31A75D50"/>
    <w:rsid w:val="32FB77F7"/>
    <w:rsid w:val="337E0440"/>
    <w:rsid w:val="33CB54EF"/>
    <w:rsid w:val="33EF4340"/>
    <w:rsid w:val="33FDFD42"/>
    <w:rsid w:val="34AA60FF"/>
    <w:rsid w:val="34B00BC9"/>
    <w:rsid w:val="356D265F"/>
    <w:rsid w:val="35942331"/>
    <w:rsid w:val="36DD5F23"/>
    <w:rsid w:val="36E30645"/>
    <w:rsid w:val="36FA60FB"/>
    <w:rsid w:val="373D6169"/>
    <w:rsid w:val="37794B2B"/>
    <w:rsid w:val="377B006E"/>
    <w:rsid w:val="37B79131"/>
    <w:rsid w:val="37DEBAA6"/>
    <w:rsid w:val="380015A1"/>
    <w:rsid w:val="39112475"/>
    <w:rsid w:val="3A32094D"/>
    <w:rsid w:val="3B9BC3ED"/>
    <w:rsid w:val="3BFAD650"/>
    <w:rsid w:val="3BFF478B"/>
    <w:rsid w:val="3C3B38A4"/>
    <w:rsid w:val="3C9C4675"/>
    <w:rsid w:val="3D5FF117"/>
    <w:rsid w:val="3DDB1B86"/>
    <w:rsid w:val="3DDB4A03"/>
    <w:rsid w:val="3DFD24D9"/>
    <w:rsid w:val="3E0B0556"/>
    <w:rsid w:val="3E474E44"/>
    <w:rsid w:val="3EAF0259"/>
    <w:rsid w:val="3EBF70EF"/>
    <w:rsid w:val="3EDBD6F4"/>
    <w:rsid w:val="3EE78ABF"/>
    <w:rsid w:val="3EF78987"/>
    <w:rsid w:val="3F3DBDA7"/>
    <w:rsid w:val="3F5D56A0"/>
    <w:rsid w:val="3FBB3206"/>
    <w:rsid w:val="3FBB966A"/>
    <w:rsid w:val="3FD55AAD"/>
    <w:rsid w:val="3FDF07FC"/>
    <w:rsid w:val="3FDF4A03"/>
    <w:rsid w:val="3FFF77AD"/>
    <w:rsid w:val="40653DEE"/>
    <w:rsid w:val="407F2AC7"/>
    <w:rsid w:val="4155542D"/>
    <w:rsid w:val="43A12821"/>
    <w:rsid w:val="45B27C45"/>
    <w:rsid w:val="45C30031"/>
    <w:rsid w:val="467A43B8"/>
    <w:rsid w:val="4723522B"/>
    <w:rsid w:val="47344B18"/>
    <w:rsid w:val="486A5733"/>
    <w:rsid w:val="48D278A7"/>
    <w:rsid w:val="4B673874"/>
    <w:rsid w:val="4BFB2C7B"/>
    <w:rsid w:val="4ED40516"/>
    <w:rsid w:val="4F6A4197"/>
    <w:rsid w:val="4FBCAA46"/>
    <w:rsid w:val="4FDBB377"/>
    <w:rsid w:val="500F665C"/>
    <w:rsid w:val="512F0957"/>
    <w:rsid w:val="5344279D"/>
    <w:rsid w:val="534B4E1D"/>
    <w:rsid w:val="537B09F2"/>
    <w:rsid w:val="53BCA18D"/>
    <w:rsid w:val="53DE30F2"/>
    <w:rsid w:val="53F49AAB"/>
    <w:rsid w:val="5472EE0E"/>
    <w:rsid w:val="56B6005B"/>
    <w:rsid w:val="56FDCC66"/>
    <w:rsid w:val="573F9260"/>
    <w:rsid w:val="57C67A96"/>
    <w:rsid w:val="57DEAE63"/>
    <w:rsid w:val="57E7BCA5"/>
    <w:rsid w:val="57FBE483"/>
    <w:rsid w:val="57FD4A83"/>
    <w:rsid w:val="586B6A32"/>
    <w:rsid w:val="5AB3570D"/>
    <w:rsid w:val="5AEC05A3"/>
    <w:rsid w:val="5B6D49E3"/>
    <w:rsid w:val="5BEF44D6"/>
    <w:rsid w:val="5BFB983F"/>
    <w:rsid w:val="5BFD5522"/>
    <w:rsid w:val="5BFF4AF5"/>
    <w:rsid w:val="5CDF4A23"/>
    <w:rsid w:val="5CFDB343"/>
    <w:rsid w:val="5D1E3698"/>
    <w:rsid w:val="5DFA021F"/>
    <w:rsid w:val="5E9E41B5"/>
    <w:rsid w:val="5EBBF626"/>
    <w:rsid w:val="5EEC5D02"/>
    <w:rsid w:val="5EF7E389"/>
    <w:rsid w:val="5EFB2F66"/>
    <w:rsid w:val="5EFE5BC5"/>
    <w:rsid w:val="5EFF2019"/>
    <w:rsid w:val="5F6F1D42"/>
    <w:rsid w:val="5FDBFE4C"/>
    <w:rsid w:val="5FDDBFA2"/>
    <w:rsid w:val="5FE7FCC9"/>
    <w:rsid w:val="5FFF06D4"/>
    <w:rsid w:val="61CD7165"/>
    <w:rsid w:val="61F71336"/>
    <w:rsid w:val="61FF8E5F"/>
    <w:rsid w:val="62774225"/>
    <w:rsid w:val="634560D1"/>
    <w:rsid w:val="63DA7154"/>
    <w:rsid w:val="64FC70D7"/>
    <w:rsid w:val="66213E54"/>
    <w:rsid w:val="66EB7292"/>
    <w:rsid w:val="66FE2E15"/>
    <w:rsid w:val="677F810F"/>
    <w:rsid w:val="67B65CB7"/>
    <w:rsid w:val="67BF3E31"/>
    <w:rsid w:val="67EFADD0"/>
    <w:rsid w:val="687EDD74"/>
    <w:rsid w:val="68F71BF8"/>
    <w:rsid w:val="69B0138B"/>
    <w:rsid w:val="6AF72CB0"/>
    <w:rsid w:val="6AFFE6C3"/>
    <w:rsid w:val="6B9759E7"/>
    <w:rsid w:val="6BBE9801"/>
    <w:rsid w:val="6BEFEFF3"/>
    <w:rsid w:val="6BF9D358"/>
    <w:rsid w:val="6C670808"/>
    <w:rsid w:val="6CEB5601"/>
    <w:rsid w:val="6D4B79C8"/>
    <w:rsid w:val="6D9B2BF9"/>
    <w:rsid w:val="6DBA474A"/>
    <w:rsid w:val="6DF535B6"/>
    <w:rsid w:val="6E0A4E85"/>
    <w:rsid w:val="6E724D2F"/>
    <w:rsid w:val="6EC5CDD5"/>
    <w:rsid w:val="6ECF063B"/>
    <w:rsid w:val="6EE7FE3B"/>
    <w:rsid w:val="6EF762D3"/>
    <w:rsid w:val="6EF7EB8C"/>
    <w:rsid w:val="6F1745E3"/>
    <w:rsid w:val="6F183435"/>
    <w:rsid w:val="6F561A4B"/>
    <w:rsid w:val="6F5C48EB"/>
    <w:rsid w:val="6F6F810C"/>
    <w:rsid w:val="6F7D29C0"/>
    <w:rsid w:val="6F9E5DF5"/>
    <w:rsid w:val="6F9F4043"/>
    <w:rsid w:val="6FBE14F3"/>
    <w:rsid w:val="6FC763CE"/>
    <w:rsid w:val="6FC92C25"/>
    <w:rsid w:val="6FCD80F0"/>
    <w:rsid w:val="6FD7FCD1"/>
    <w:rsid w:val="6FE3F4A0"/>
    <w:rsid w:val="6FEBA6CA"/>
    <w:rsid w:val="6FF718E9"/>
    <w:rsid w:val="6FFBB4B5"/>
    <w:rsid w:val="6FFC1D85"/>
    <w:rsid w:val="6FFD7865"/>
    <w:rsid w:val="706A7308"/>
    <w:rsid w:val="70EB5437"/>
    <w:rsid w:val="71AC92B0"/>
    <w:rsid w:val="71FFF90A"/>
    <w:rsid w:val="7255E9A9"/>
    <w:rsid w:val="73126897"/>
    <w:rsid w:val="73750B73"/>
    <w:rsid w:val="737F7F5F"/>
    <w:rsid w:val="739FCD24"/>
    <w:rsid w:val="73EC08C7"/>
    <w:rsid w:val="73EC1235"/>
    <w:rsid w:val="73F0F79B"/>
    <w:rsid w:val="747F9BA9"/>
    <w:rsid w:val="74E50A57"/>
    <w:rsid w:val="75D75DAE"/>
    <w:rsid w:val="75FF4B56"/>
    <w:rsid w:val="761738FD"/>
    <w:rsid w:val="76ED43EC"/>
    <w:rsid w:val="76F5A4D4"/>
    <w:rsid w:val="76FF3D14"/>
    <w:rsid w:val="777D8FA6"/>
    <w:rsid w:val="77AFC87E"/>
    <w:rsid w:val="77BE0872"/>
    <w:rsid w:val="77EB354C"/>
    <w:rsid w:val="77ED0459"/>
    <w:rsid w:val="77EF81D6"/>
    <w:rsid w:val="77F7CA9A"/>
    <w:rsid w:val="78926F86"/>
    <w:rsid w:val="78C21AFB"/>
    <w:rsid w:val="78E7BB6E"/>
    <w:rsid w:val="78F66B35"/>
    <w:rsid w:val="78FC3F75"/>
    <w:rsid w:val="795D7E56"/>
    <w:rsid w:val="79AE705E"/>
    <w:rsid w:val="79B7A522"/>
    <w:rsid w:val="79BD39D3"/>
    <w:rsid w:val="79F7C452"/>
    <w:rsid w:val="79FFE7AE"/>
    <w:rsid w:val="7A73D13D"/>
    <w:rsid w:val="7A7E51EC"/>
    <w:rsid w:val="7A7F8169"/>
    <w:rsid w:val="7A8FE57D"/>
    <w:rsid w:val="7AF346A2"/>
    <w:rsid w:val="7BBF4F6C"/>
    <w:rsid w:val="7BCF8BBA"/>
    <w:rsid w:val="7BDDBEA9"/>
    <w:rsid w:val="7BFB3D0D"/>
    <w:rsid w:val="7BFF6487"/>
    <w:rsid w:val="7BFF75B2"/>
    <w:rsid w:val="7BFF9FAA"/>
    <w:rsid w:val="7BFFA864"/>
    <w:rsid w:val="7C5F9852"/>
    <w:rsid w:val="7C635BB6"/>
    <w:rsid w:val="7CBE0F0C"/>
    <w:rsid w:val="7D4F0C5F"/>
    <w:rsid w:val="7D9F898B"/>
    <w:rsid w:val="7DBDEF1C"/>
    <w:rsid w:val="7DBE6EA5"/>
    <w:rsid w:val="7DDF1906"/>
    <w:rsid w:val="7DDF553A"/>
    <w:rsid w:val="7DF5698B"/>
    <w:rsid w:val="7E0E7008"/>
    <w:rsid w:val="7E3E77BA"/>
    <w:rsid w:val="7E4E381F"/>
    <w:rsid w:val="7E5E7986"/>
    <w:rsid w:val="7E7D19DE"/>
    <w:rsid w:val="7E97150D"/>
    <w:rsid w:val="7EBC1118"/>
    <w:rsid w:val="7EBD7E2F"/>
    <w:rsid w:val="7EBECF23"/>
    <w:rsid w:val="7ECFD091"/>
    <w:rsid w:val="7EDF92FE"/>
    <w:rsid w:val="7EF6FBFB"/>
    <w:rsid w:val="7EF74AB4"/>
    <w:rsid w:val="7EFBA006"/>
    <w:rsid w:val="7EFED714"/>
    <w:rsid w:val="7EFFC541"/>
    <w:rsid w:val="7F6B0044"/>
    <w:rsid w:val="7F6F88E8"/>
    <w:rsid w:val="7F77B20B"/>
    <w:rsid w:val="7F7BD8EC"/>
    <w:rsid w:val="7F996F6F"/>
    <w:rsid w:val="7F9DEF52"/>
    <w:rsid w:val="7FB7D493"/>
    <w:rsid w:val="7FC79317"/>
    <w:rsid w:val="7FDA175E"/>
    <w:rsid w:val="7FDBDE86"/>
    <w:rsid w:val="7FDDBF1C"/>
    <w:rsid w:val="7FE5DADF"/>
    <w:rsid w:val="7FE72D29"/>
    <w:rsid w:val="7FE7DE47"/>
    <w:rsid w:val="7FEF4A39"/>
    <w:rsid w:val="7FEFFA30"/>
    <w:rsid w:val="7FF52DF0"/>
    <w:rsid w:val="7FF56DE7"/>
    <w:rsid w:val="7FF9D00E"/>
    <w:rsid w:val="7FFC1B87"/>
    <w:rsid w:val="7FFEDADA"/>
    <w:rsid w:val="7FFEE8BB"/>
    <w:rsid w:val="7FFF0CE7"/>
    <w:rsid w:val="7FFF3927"/>
    <w:rsid w:val="7FFFC612"/>
    <w:rsid w:val="82FEE015"/>
    <w:rsid w:val="836F790A"/>
    <w:rsid w:val="84CCCE89"/>
    <w:rsid w:val="8B3FEA3A"/>
    <w:rsid w:val="8FF7F157"/>
    <w:rsid w:val="96FFA29F"/>
    <w:rsid w:val="9FFB3E62"/>
    <w:rsid w:val="A5BA7A36"/>
    <w:rsid w:val="A68F33FB"/>
    <w:rsid w:val="A7DFF46F"/>
    <w:rsid w:val="A7E7E4DA"/>
    <w:rsid w:val="AF7BB5BD"/>
    <w:rsid w:val="AFE75611"/>
    <w:rsid w:val="AFFF3B43"/>
    <w:rsid w:val="B2FF91DA"/>
    <w:rsid w:val="B75DBC88"/>
    <w:rsid w:val="B777039E"/>
    <w:rsid w:val="B7EDA226"/>
    <w:rsid w:val="BA7B7054"/>
    <w:rsid w:val="BAFF8BDA"/>
    <w:rsid w:val="BBB697BF"/>
    <w:rsid w:val="BED635F5"/>
    <w:rsid w:val="BEF37650"/>
    <w:rsid w:val="BF6F1B1F"/>
    <w:rsid w:val="BF739ADB"/>
    <w:rsid w:val="BF972263"/>
    <w:rsid w:val="BFB34078"/>
    <w:rsid w:val="BFB76EAB"/>
    <w:rsid w:val="BFBB1AB2"/>
    <w:rsid w:val="BFED1AC9"/>
    <w:rsid w:val="C52F7F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6EB87BF"/>
  <w15:docId w15:val="{79228FC1-FB95-4C40-BEF2-2A0670288F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qFormat="1"/>
    <w:lsdException w:name="header" w:qFormat="1"/>
    <w:lsdException w:name="footer" w:qFormat="1"/>
    <w:lsdException w:name="caption" w:semiHidden="1" w:unhideWhenUsed="1" w:qFormat="1"/>
    <w:lsdException w:name="annotation reference" w:qFormat="1"/>
    <w:lsdException w:name="line number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HTML Preformatted" w:semiHidden="1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qFormat/>
    <w:pPr>
      <w:jc w:val="left"/>
    </w:pPr>
  </w:style>
  <w:style w:type="paragraph" w:styleId="BalloonText">
    <w:name w:val="Balloon Text"/>
    <w:basedOn w:val="Normal"/>
    <w:link w:val="BalloonTextChar"/>
    <w:qFormat/>
    <w:rPr>
      <w:sz w:val="18"/>
      <w:szCs w:val="18"/>
    </w:rPr>
  </w:style>
  <w:style w:type="paragraph" w:styleId="Footer">
    <w:name w:val="footer"/>
    <w:basedOn w:val="Normal"/>
    <w:link w:val="FooterChar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Header">
    <w:name w:val="header"/>
    <w:basedOn w:val="Normal"/>
    <w:link w:val="HeaderChar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NormalWeb">
    <w:name w:val="Normal (Web)"/>
    <w:basedOn w:val="Normal"/>
    <w:qFormat/>
    <w:pPr>
      <w:spacing w:beforeAutospacing="1" w:afterAutospacing="1"/>
      <w:jc w:val="left"/>
    </w:pPr>
    <w:rPr>
      <w:rFonts w:cs="Times New Roman"/>
      <w:kern w:val="0"/>
      <w:sz w:val="24"/>
      <w:lang w:val="en-US"/>
    </w:rPr>
  </w:style>
  <w:style w:type="character" w:styleId="Emphasis">
    <w:name w:val="Emphasis"/>
    <w:basedOn w:val="DefaultParagraphFont"/>
    <w:qFormat/>
    <w:rPr>
      <w:i/>
    </w:rPr>
  </w:style>
  <w:style w:type="character" w:styleId="LineNumber">
    <w:name w:val="line number"/>
    <w:basedOn w:val="DefaultParagraphFont"/>
    <w:qFormat/>
  </w:style>
  <w:style w:type="character" w:styleId="CommentReference">
    <w:name w:val="annotation reference"/>
    <w:basedOn w:val="DefaultParagraphFont"/>
    <w:qFormat/>
    <w:rPr>
      <w:sz w:val="21"/>
      <w:szCs w:val="21"/>
    </w:rPr>
  </w:style>
  <w:style w:type="paragraph" w:customStyle="1" w:styleId="EndNoteBibliographyTitle">
    <w:name w:val="EndNote Bibliography Title"/>
    <w:basedOn w:val="Normal"/>
    <w:link w:val="EndNoteBibliographyTitle0"/>
    <w:qFormat/>
    <w:pPr>
      <w:jc w:val="center"/>
    </w:pPr>
    <w:rPr>
      <w:rFonts w:ascii="Calibri" w:hAnsi="Calibri" w:cs="Calibri"/>
      <w:sz w:val="20"/>
    </w:rPr>
  </w:style>
  <w:style w:type="character" w:customStyle="1" w:styleId="EndNoteBibliographyTitle0">
    <w:name w:val="EndNote Bibliography Title 字符"/>
    <w:basedOn w:val="DefaultParagraphFont"/>
    <w:link w:val="EndNoteBibliographyTitle"/>
    <w:qFormat/>
    <w:rPr>
      <w:rFonts w:ascii="Calibri" w:eastAsiaTheme="minorEastAsia" w:hAnsi="Calibri" w:cs="Calibri"/>
      <w:kern w:val="2"/>
      <w:szCs w:val="24"/>
    </w:rPr>
  </w:style>
  <w:style w:type="paragraph" w:customStyle="1" w:styleId="EndNoteBibliography">
    <w:name w:val="EndNote Bibliography"/>
    <w:basedOn w:val="Normal"/>
    <w:link w:val="EndNoteBibliography0"/>
    <w:qFormat/>
    <w:rPr>
      <w:rFonts w:ascii="Calibri" w:hAnsi="Calibri" w:cs="Calibri"/>
      <w:sz w:val="20"/>
    </w:rPr>
  </w:style>
  <w:style w:type="character" w:customStyle="1" w:styleId="EndNoteBibliography0">
    <w:name w:val="EndNote Bibliography 字符"/>
    <w:basedOn w:val="DefaultParagraphFont"/>
    <w:link w:val="EndNoteBibliography"/>
    <w:qFormat/>
    <w:rPr>
      <w:rFonts w:ascii="Calibri" w:eastAsiaTheme="minorEastAsia" w:hAnsi="Calibri" w:cs="Calibri"/>
      <w:kern w:val="2"/>
      <w:szCs w:val="24"/>
    </w:rPr>
  </w:style>
  <w:style w:type="character" w:customStyle="1" w:styleId="HeaderChar">
    <w:name w:val="Header Char"/>
    <w:basedOn w:val="DefaultParagraphFont"/>
    <w:link w:val="Header"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FooterChar">
    <w:name w:val="Footer Char"/>
    <w:basedOn w:val="DefaultParagraphFont"/>
    <w:link w:val="Footer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Pr>
      <w:rFonts w:asciiTheme="minorHAnsi" w:eastAsiaTheme="minorEastAsia" w:hAnsiTheme="minorHAnsi" w:cstheme="minorBidi"/>
      <w:kern w:val="2"/>
      <w:sz w:val="18"/>
      <w:szCs w:val="18"/>
      <w:lang w:val="e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tiff"/><Relationship Id="rId5" Type="http://schemas.openxmlformats.org/officeDocument/2006/relationships/image" Target="media/image2.tiff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283</Words>
  <Characters>1618</Characters>
  <Application>Microsoft Office Word</Application>
  <DocSecurity>0</DocSecurity>
  <Lines>13</Lines>
  <Paragraphs>3</Paragraphs>
  <ScaleCrop>false</ScaleCrop>
  <Company>china</Company>
  <LinksUpToDate>false</LinksUpToDate>
  <CharactersWithSpaces>1898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腔棘鱼</dc:creator>
  <cp:lastModifiedBy>Trupti Sudge</cp:lastModifiedBy>
  <cp:revision>2</cp:revision>
  <dcterms:created xsi:type="dcterms:W3CDTF">2023-09-25T21:42:00Z</dcterms:created>
  <dcterms:modified xsi:type="dcterms:W3CDTF">2023-09-25T21:42:00Z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9B9FB69C415A4516AAB5B4CCA8FDE45E_12</vt:lpwstr>
  </property>
</Properties>
</file>