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98DBC2" w14:textId="77777777" w:rsidR="000B2C45" w:rsidRPr="007C6DA3" w:rsidRDefault="000B2C45" w:rsidP="007C6DA3">
      <w:pPr>
        <w:jc w:val="center"/>
        <w:rPr>
          <w:rFonts w:ascii="Arial" w:hAnsi="Arial" w:cs="Arial"/>
          <w:b/>
          <w:bCs/>
          <w:iCs/>
          <w:lang w:val="en-US"/>
        </w:rPr>
      </w:pPr>
      <w:r w:rsidRPr="00BF6318">
        <w:rPr>
          <w:rFonts w:ascii="Arial" w:hAnsi="Arial" w:cs="Arial"/>
          <w:b/>
          <w:bCs/>
          <w:iCs/>
          <w:lang w:val="en-US"/>
        </w:rPr>
        <w:t>Addition</w:t>
      </w:r>
      <w:r>
        <w:rPr>
          <w:rFonts w:ascii="Arial" w:hAnsi="Arial" w:cs="Arial"/>
          <w:b/>
          <w:bCs/>
          <w:iCs/>
          <w:lang w:val="en-US"/>
        </w:rPr>
        <w:t>al file 1:</w:t>
      </w:r>
    </w:p>
    <w:p w14:paraId="17335E3F" w14:textId="77777777" w:rsidR="000B2C45" w:rsidRDefault="000B2C45">
      <w:pPr>
        <w:rPr>
          <w:lang w:val="en-US"/>
        </w:rPr>
      </w:pPr>
    </w:p>
    <w:p w14:paraId="28B35647" w14:textId="77777777" w:rsidR="00631CDF" w:rsidRPr="00631CDF" w:rsidRDefault="00631CDF">
      <w:pPr>
        <w:rPr>
          <w:lang w:val="en-US"/>
        </w:rPr>
      </w:pPr>
    </w:p>
    <w:bookmarkStart w:id="0" w:name="OLE_LINK2"/>
    <w:bookmarkStart w:id="1" w:name="OLE_LINK3"/>
    <w:p w14:paraId="0301AEE6" w14:textId="77777777" w:rsidR="00631CDF" w:rsidRPr="00563B60" w:rsidRDefault="00631CDF" w:rsidP="00631CDF">
      <w:pPr>
        <w:rPr>
          <w:rFonts w:ascii="Arial" w:hAnsi="Arial" w:cs="Arial"/>
          <w:color w:val="FF0000"/>
          <w:lang w:val="en-US"/>
        </w:rPr>
      </w:pPr>
      <w:r w:rsidRPr="000425A8">
        <w:rPr>
          <w:rFonts w:ascii="Arial" w:hAnsi="Arial" w:cs="Arial"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B617F4" wp14:editId="52C1C960">
                <wp:simplePos x="0" y="0"/>
                <wp:positionH relativeFrom="column">
                  <wp:posOffset>-44450</wp:posOffset>
                </wp:positionH>
                <wp:positionV relativeFrom="paragraph">
                  <wp:posOffset>1566087</wp:posOffset>
                </wp:positionV>
                <wp:extent cx="466901" cy="345440"/>
                <wp:effectExtent l="0" t="0" r="0" b="0"/>
                <wp:wrapNone/>
                <wp:docPr id="22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901" cy="3454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F6C33E5" w14:textId="77777777" w:rsidR="00631CDF" w:rsidRPr="00631CDF" w:rsidRDefault="00631CDF" w:rsidP="00631CD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</w:rPr>
                            </w:pPr>
                            <w:r w:rsidRPr="00631CDF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40"/>
                                <w:lang w:val="es-ES_tradnl"/>
                              </w:rPr>
                              <w:t>b)</w:t>
                            </w:r>
                          </w:p>
                        </w:txbxContent>
                      </wps:txbx>
                      <wps:bodyPr wrap="square" rtlCol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type w14:anchorId="52287FF9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3.5pt;margin-top:123.3pt;width:36.75pt;height:27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" filled="f" stroked="f">
                <v:textbox>
                  <w:txbxContent>
                    <w:p w:rsidR="00631CDF" w:rsidRPr="00631CDF" w:rsidRDefault="00631CDF" w:rsidP="00631CD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0"/>
                        </w:rPr>
                      </w:pPr>
                      <w:r w:rsidRPr="00631CDF">
                        <w:rPr>
                          <w:rFonts w:ascii="Arial" w:hAnsi="Arial" w:cs="Arial"/>
                          <w:b/>
                          <w:bCs/>
                          <w:sz w:val="28"/>
                          <w:szCs w:val="40"/>
                          <w:lang w:val="es-ES_tradnl"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w:drawing>
          <wp:inline distT="0" distB="0" distL="0" distR="0" wp14:anchorId="6F574AA1" wp14:editId="02D6EBC4">
            <wp:extent cx="5603875" cy="1791078"/>
            <wp:effectExtent l="0" t="0" r="0" b="0"/>
            <wp:docPr id="18" name="Gráfico 18">
              <a:extLst xmlns:a="http://schemas.openxmlformats.org/drawingml/2006/main">
                <a:ext uri="{FF2B5EF4-FFF2-40B4-BE49-F238E27FC236}">
                  <a16:creationId xmlns:a16="http://schemas.microsoft.com/office/drawing/2014/main" id="{F82379E8-0C1B-B543-8B98-F5F2BDD53D9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729F5D82" w14:textId="77777777" w:rsidR="00631CDF" w:rsidRPr="00563B60" w:rsidRDefault="00631CDF" w:rsidP="00631CDF">
      <w:pPr>
        <w:rPr>
          <w:rFonts w:ascii="Arial" w:hAnsi="Arial" w:cs="Arial"/>
          <w:color w:val="FF0000"/>
          <w:lang w:val="en-US"/>
        </w:rPr>
      </w:pPr>
      <w:bookmarkStart w:id="2" w:name="_GoBack"/>
      <w:r>
        <w:rPr>
          <w:noProof/>
          <w:lang w:val="en-US"/>
        </w:rPr>
        <w:drawing>
          <wp:inline distT="0" distB="0" distL="0" distR="0" wp14:anchorId="0A1F79A0" wp14:editId="7489A42C">
            <wp:extent cx="5612130" cy="3965575"/>
            <wp:effectExtent l="0" t="0" r="1270" b="0"/>
            <wp:docPr id="20" name="Gráfico 20">
              <a:extLst xmlns:a="http://schemas.openxmlformats.org/drawingml/2006/main">
                <a:ext uri="{FF2B5EF4-FFF2-40B4-BE49-F238E27FC236}">
                  <a16:creationId xmlns:a16="http://schemas.microsoft.com/office/drawing/2014/main" id="{D8DD471A-B0F1-8F4B-861A-C5AF1FEC804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End w:id="2"/>
    </w:p>
    <w:p w14:paraId="66D327A8" w14:textId="1F5C9C54" w:rsidR="000B2C45" w:rsidRPr="00631CDF" w:rsidRDefault="00631CDF" w:rsidP="00631CDF">
      <w:pPr>
        <w:jc w:val="both"/>
        <w:rPr>
          <w:rFonts w:ascii="Arial" w:hAnsi="Arial" w:cs="Arial"/>
          <w:color w:val="000000" w:themeColor="text1"/>
          <w:lang w:val="en-US"/>
        </w:rPr>
      </w:pPr>
      <w:r w:rsidRPr="00000A81">
        <w:rPr>
          <w:rFonts w:ascii="Arial" w:hAnsi="Arial" w:cs="Arial"/>
          <w:b/>
          <w:color w:val="000000" w:themeColor="text1"/>
          <w:lang w:val="en-US"/>
        </w:rPr>
        <w:t xml:space="preserve">Fig. </w:t>
      </w:r>
      <w:r>
        <w:rPr>
          <w:rFonts w:ascii="Arial" w:hAnsi="Arial" w:cs="Arial"/>
          <w:b/>
          <w:color w:val="000000" w:themeColor="text1"/>
          <w:lang w:val="en-US"/>
        </w:rPr>
        <w:t xml:space="preserve">S1 </w:t>
      </w:r>
      <w:r w:rsidRPr="00F536CD">
        <w:rPr>
          <w:rFonts w:ascii="Arial" w:hAnsi="Arial" w:cs="Arial"/>
          <w:color w:val="000000" w:themeColor="text1"/>
          <w:lang w:val="en-US"/>
        </w:rPr>
        <w:t>Species distribution of the top hits of assembled transcripts</w:t>
      </w:r>
      <w:r w:rsidR="00BD4C97">
        <w:rPr>
          <w:rFonts w:ascii="Arial" w:hAnsi="Arial" w:cs="Arial"/>
          <w:color w:val="000000" w:themeColor="text1"/>
          <w:lang w:val="en-US"/>
        </w:rPr>
        <w:t>. The number in the X-axis indicates the</w:t>
      </w:r>
      <w:r w:rsidRPr="00F536CD">
        <w:rPr>
          <w:rFonts w:ascii="Arial" w:hAnsi="Arial" w:cs="Arial"/>
          <w:color w:val="000000" w:themeColor="text1"/>
          <w:lang w:val="en-US"/>
        </w:rPr>
        <w:t xml:space="preserve"> </w:t>
      </w:r>
      <w:r w:rsidR="00BD4C97">
        <w:rPr>
          <w:rFonts w:ascii="Arial" w:hAnsi="Arial" w:cs="Arial"/>
          <w:color w:val="000000" w:themeColor="text1"/>
          <w:lang w:val="en-US"/>
        </w:rPr>
        <w:t xml:space="preserve">transcripts </w:t>
      </w:r>
      <w:r>
        <w:rPr>
          <w:rFonts w:ascii="Arial" w:hAnsi="Arial" w:cs="Arial"/>
          <w:color w:val="000000" w:themeColor="text1"/>
          <w:lang w:val="en-US"/>
        </w:rPr>
        <w:t xml:space="preserve">homologous to proteins </w:t>
      </w:r>
      <w:r w:rsidRPr="00F536CD">
        <w:rPr>
          <w:rFonts w:ascii="Arial" w:hAnsi="Arial" w:cs="Arial"/>
          <w:color w:val="000000" w:themeColor="text1"/>
          <w:lang w:val="en-US"/>
        </w:rPr>
        <w:t>in</w:t>
      </w:r>
      <w:r>
        <w:rPr>
          <w:rFonts w:ascii="Arial" w:hAnsi="Arial" w:cs="Arial"/>
          <w:color w:val="000000" w:themeColor="text1"/>
          <w:lang w:val="en-US"/>
        </w:rPr>
        <w:t xml:space="preserve"> the</w:t>
      </w:r>
      <w:r w:rsidRPr="00F536CD">
        <w:rPr>
          <w:rFonts w:ascii="Arial" w:hAnsi="Arial" w:cs="Arial"/>
          <w:color w:val="000000" w:themeColor="text1"/>
          <w:lang w:val="en-US"/>
        </w:rPr>
        <w:t xml:space="preserve"> Swiss</w:t>
      </w:r>
      <w:r w:rsidR="002C4B22">
        <w:rPr>
          <w:rFonts w:ascii="Arial" w:hAnsi="Arial" w:cs="Arial"/>
          <w:color w:val="000000" w:themeColor="text1"/>
          <w:lang w:val="en-US"/>
        </w:rPr>
        <w:t>-</w:t>
      </w:r>
      <w:proofErr w:type="spellStart"/>
      <w:r w:rsidRPr="00F536CD">
        <w:rPr>
          <w:rFonts w:ascii="Arial" w:hAnsi="Arial" w:cs="Arial"/>
          <w:color w:val="000000" w:themeColor="text1"/>
          <w:lang w:val="en-US"/>
        </w:rPr>
        <w:t>Prot</w:t>
      </w:r>
      <w:proofErr w:type="spellEnd"/>
      <w:r w:rsidRPr="00F536CD">
        <w:rPr>
          <w:rFonts w:ascii="Arial" w:hAnsi="Arial" w:cs="Arial"/>
          <w:color w:val="000000" w:themeColor="text1"/>
          <w:lang w:val="en-US"/>
        </w:rPr>
        <w:t xml:space="preserve"> </w:t>
      </w:r>
      <w:r w:rsidRPr="00610DB8">
        <w:rPr>
          <w:rFonts w:ascii="Arial" w:hAnsi="Arial" w:cs="Arial"/>
          <w:b/>
          <w:color w:val="000000" w:themeColor="text1"/>
          <w:lang w:val="en-US"/>
        </w:rPr>
        <w:t>(a)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F536CD">
        <w:rPr>
          <w:rFonts w:ascii="Arial" w:hAnsi="Arial" w:cs="Arial"/>
          <w:color w:val="000000" w:themeColor="text1"/>
          <w:lang w:val="en-US"/>
        </w:rPr>
        <w:t xml:space="preserve">and </w:t>
      </w:r>
      <w:r>
        <w:rPr>
          <w:rFonts w:ascii="Arial" w:hAnsi="Arial" w:cs="Arial"/>
          <w:color w:val="000000" w:themeColor="text1"/>
          <w:lang w:val="en-US"/>
        </w:rPr>
        <w:t xml:space="preserve">the </w:t>
      </w:r>
      <w:proofErr w:type="spellStart"/>
      <w:r w:rsidRPr="00F536CD">
        <w:rPr>
          <w:rFonts w:ascii="Arial" w:hAnsi="Arial" w:cs="Arial"/>
          <w:color w:val="000000" w:themeColor="text1"/>
          <w:lang w:val="en-US"/>
        </w:rPr>
        <w:t>RefSeq</w:t>
      </w:r>
      <w:proofErr w:type="spellEnd"/>
      <w:r w:rsidRPr="00F536CD">
        <w:rPr>
          <w:rFonts w:ascii="Arial" w:hAnsi="Arial" w:cs="Arial"/>
          <w:color w:val="000000" w:themeColor="text1"/>
          <w:lang w:val="en-US"/>
        </w:rPr>
        <w:t xml:space="preserve"> </w:t>
      </w:r>
      <w:r w:rsidRPr="00610DB8">
        <w:rPr>
          <w:rFonts w:ascii="Arial" w:hAnsi="Arial" w:cs="Arial"/>
          <w:b/>
          <w:color w:val="000000" w:themeColor="text1"/>
          <w:lang w:val="en-US"/>
        </w:rPr>
        <w:t>(b)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F536CD">
        <w:rPr>
          <w:rFonts w:ascii="Arial" w:hAnsi="Arial" w:cs="Arial"/>
          <w:color w:val="000000" w:themeColor="text1"/>
          <w:lang w:val="en-US"/>
        </w:rPr>
        <w:t>databases.</w:t>
      </w:r>
      <w:r>
        <w:rPr>
          <w:rFonts w:ascii="Arial" w:hAnsi="Arial" w:cs="Arial"/>
          <w:b/>
          <w:color w:val="000000" w:themeColor="text1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Alignment by </w:t>
      </w:r>
      <w:proofErr w:type="spellStart"/>
      <w:r w:rsidRPr="007F50C1">
        <w:rPr>
          <w:rFonts w:ascii="Arial" w:hAnsi="Arial" w:cs="Arial"/>
          <w:color w:val="000000" w:themeColor="text1"/>
          <w:lang w:val="en-US"/>
        </w:rPr>
        <w:t>BLASTx</w:t>
      </w:r>
      <w:proofErr w:type="spellEnd"/>
      <w:r w:rsidRPr="007F50C1">
        <w:rPr>
          <w:rFonts w:ascii="Arial" w:hAnsi="Arial" w:cs="Arial"/>
          <w:bCs/>
          <w:color w:val="000000" w:themeColor="text1"/>
          <w:lang w:val="en-US"/>
        </w:rPr>
        <w:t xml:space="preserve"> </w:t>
      </w:r>
      <w:r w:rsidR="00974499">
        <w:rPr>
          <w:rFonts w:ascii="Arial" w:hAnsi="Arial" w:cs="Arial"/>
          <w:bCs/>
          <w:color w:val="000000" w:themeColor="text1"/>
          <w:lang w:val="en-US"/>
        </w:rPr>
        <w:t xml:space="preserve">was carried out </w:t>
      </w:r>
      <w:r w:rsidRPr="007F50C1">
        <w:rPr>
          <w:rFonts w:ascii="Arial" w:hAnsi="Arial" w:cs="Arial"/>
          <w:color w:val="000000" w:themeColor="text1"/>
          <w:lang w:val="en-US"/>
        </w:rPr>
        <w:t>with an E value threshold of 1x10</w:t>
      </w:r>
      <w:r w:rsidRPr="007F50C1">
        <w:rPr>
          <w:rFonts w:ascii="Arial" w:hAnsi="Arial" w:cs="Arial"/>
          <w:color w:val="000000" w:themeColor="text1"/>
          <w:vertAlign w:val="superscript"/>
          <w:lang w:val="en-US"/>
        </w:rPr>
        <w:t>-5</w:t>
      </w:r>
      <w:r w:rsidRPr="007F50C1">
        <w:rPr>
          <w:rFonts w:ascii="Arial" w:hAnsi="Arial" w:cs="Arial"/>
          <w:color w:val="000000" w:themeColor="text1"/>
          <w:lang w:val="en-US"/>
        </w:rPr>
        <w:t>.</w:t>
      </w:r>
      <w:bookmarkEnd w:id="0"/>
      <w:bookmarkEnd w:id="1"/>
    </w:p>
    <w:p w14:paraId="4DA54A4C" w14:textId="77777777" w:rsidR="000B2C45" w:rsidRPr="007C6DA3" w:rsidRDefault="000B2C45">
      <w:pPr>
        <w:rPr>
          <w:lang w:val="en-US"/>
        </w:rPr>
      </w:pPr>
    </w:p>
    <w:p w14:paraId="59201F86" w14:textId="77777777" w:rsidR="000B2C45" w:rsidRPr="007C6DA3" w:rsidRDefault="000B2C45">
      <w:pPr>
        <w:rPr>
          <w:lang w:val="en-US"/>
        </w:rPr>
      </w:pPr>
    </w:p>
    <w:p w14:paraId="40663052" w14:textId="77777777" w:rsidR="000B2C45" w:rsidRPr="007C6DA3" w:rsidRDefault="000B2C45">
      <w:pPr>
        <w:rPr>
          <w:lang w:val="en-US"/>
        </w:rPr>
      </w:pPr>
    </w:p>
    <w:p w14:paraId="2B588F0F" w14:textId="77777777" w:rsidR="000B2C45" w:rsidRPr="007C6DA3" w:rsidRDefault="000B2C45">
      <w:pPr>
        <w:rPr>
          <w:lang w:val="en-US"/>
        </w:rPr>
      </w:pPr>
    </w:p>
    <w:p w14:paraId="7F75010C" w14:textId="77777777" w:rsidR="000B2C45" w:rsidRPr="007C6DA3" w:rsidRDefault="000B2C45">
      <w:pPr>
        <w:rPr>
          <w:lang w:val="en-US"/>
        </w:rPr>
      </w:pPr>
    </w:p>
    <w:sectPr w:rsidR="000B2C45" w:rsidRPr="007C6DA3" w:rsidSect="00C35C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C45"/>
    <w:rsid w:val="000B2C45"/>
    <w:rsid w:val="001B47B8"/>
    <w:rsid w:val="0024290E"/>
    <w:rsid w:val="002C4B22"/>
    <w:rsid w:val="002E12A9"/>
    <w:rsid w:val="00362396"/>
    <w:rsid w:val="00511EBB"/>
    <w:rsid w:val="00631CDF"/>
    <w:rsid w:val="006E3C40"/>
    <w:rsid w:val="006E5FBA"/>
    <w:rsid w:val="007B400D"/>
    <w:rsid w:val="007C6DA3"/>
    <w:rsid w:val="008B505F"/>
    <w:rsid w:val="008E64FB"/>
    <w:rsid w:val="00974499"/>
    <w:rsid w:val="00BA1497"/>
    <w:rsid w:val="00BD4C97"/>
    <w:rsid w:val="00C35C2D"/>
    <w:rsid w:val="00C96F24"/>
    <w:rsid w:val="00D92A7B"/>
    <w:rsid w:val="00DC313B"/>
    <w:rsid w:val="00E4434C"/>
    <w:rsid w:val="00FB3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73D8B"/>
  <w15:chartTrackingRefBased/>
  <w15:docId w15:val="{0F3D78F3-DF64-0D4B-9225-C9D71DA4A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2C45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es-ES_tradnl"/>
    </w:rPr>
  </w:style>
  <w:style w:type="paragraph" w:styleId="Revisin">
    <w:name w:val="Revision"/>
    <w:hidden/>
    <w:uiPriority w:val="99"/>
    <w:semiHidden/>
    <w:rsid w:val="009744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CIAD/Desktop/Proyecto_Sthurberi_HeribertoGCo_2020/PARA_WORD_species_blastx_EnsamblajeFinal_clean.xls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CIAD/Desktop/Proyecto_Sthurberi_HeribertoGCo_2020/species_blastx_refseq_ensamblaje1_final_all_clean_PARA_WORD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species_blastx_EnsamblajeFinal_!$L$2:$L$10</c:f>
              <c:strCache>
                <c:ptCount val="9"/>
                <c:pt idx="0">
                  <c:v>Arabidopsis sp.</c:v>
                </c:pt>
                <c:pt idx="1">
                  <c:v>Others</c:v>
                </c:pt>
                <c:pt idx="2">
                  <c:v>Oryza sp.</c:v>
                </c:pt>
                <c:pt idx="3">
                  <c:v>Nicotiana alata</c:v>
                </c:pt>
                <c:pt idx="4">
                  <c:v>Solanum sp.</c:v>
                </c:pt>
                <c:pt idx="5">
                  <c:v>Spinacia oleracea</c:v>
                </c:pt>
                <c:pt idx="6">
                  <c:v>Zea mays</c:v>
                </c:pt>
                <c:pt idx="7">
                  <c:v>Pisum sativum</c:v>
                </c:pt>
                <c:pt idx="8">
                  <c:v>Vitis sp.</c:v>
                </c:pt>
              </c:strCache>
            </c:strRef>
          </c:cat>
          <c:val>
            <c:numRef>
              <c:f>species_blastx_EnsamblajeFinal_!$K$2:$K$10</c:f>
              <c:numCache>
                <c:formatCode>General</c:formatCode>
                <c:ptCount val="9"/>
                <c:pt idx="0">
                  <c:v>75374</c:v>
                </c:pt>
                <c:pt idx="1">
                  <c:v>6434</c:v>
                </c:pt>
                <c:pt idx="2">
                  <c:v>5939</c:v>
                </c:pt>
                <c:pt idx="3">
                  <c:v>2279</c:v>
                </c:pt>
                <c:pt idx="4">
                  <c:v>1782</c:v>
                </c:pt>
                <c:pt idx="5">
                  <c:v>778</c:v>
                </c:pt>
                <c:pt idx="6">
                  <c:v>479</c:v>
                </c:pt>
                <c:pt idx="7">
                  <c:v>467</c:v>
                </c:pt>
                <c:pt idx="8">
                  <c:v>444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F5C-DD4E-89BA-72C6D8A4AF0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2130298008"/>
        <c:axId val="2130246216"/>
      </c:barChart>
      <c:catAx>
        <c:axId val="213029800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2130246216"/>
        <c:crosses val="autoZero"/>
        <c:auto val="1"/>
        <c:lblAlgn val="ctr"/>
        <c:lblOffset val="100"/>
        <c:noMultiLvlLbl val="0"/>
      </c:catAx>
      <c:valAx>
        <c:axId val="2130246216"/>
        <c:scaling>
          <c:orientation val="minMax"/>
        </c:scaling>
        <c:delete val="0"/>
        <c:axPos val="b"/>
        <c:majorGridlines>
          <c:spPr>
            <a:ln w="9525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21302980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species_blastx_refseq_ensamblaj!$L$2:$L$26</c:f>
              <c:strCache>
                <c:ptCount val="25"/>
                <c:pt idx="0">
                  <c:v>Beta vulgaris</c:v>
                </c:pt>
                <c:pt idx="1">
                  <c:v>Others</c:v>
                </c:pt>
                <c:pt idx="2">
                  <c:v>Nicotiana sp.</c:v>
                </c:pt>
                <c:pt idx="3">
                  <c:v>Vitis vinifera</c:v>
                </c:pt>
                <c:pt idx="4">
                  <c:v>Juglans regia</c:v>
                </c:pt>
                <c:pt idx="5">
                  <c:v>Gossypium sp.</c:v>
                </c:pt>
                <c:pt idx="6">
                  <c:v>Citrus sp.</c:v>
                </c:pt>
                <c:pt idx="7">
                  <c:v>Nelumbo nucifera</c:v>
                </c:pt>
                <c:pt idx="8">
                  <c:v>Prunus sp.</c:v>
                </c:pt>
                <c:pt idx="9">
                  <c:v>Populus sp.</c:v>
                </c:pt>
                <c:pt idx="10">
                  <c:v>Theobroma cacao</c:v>
                </c:pt>
                <c:pt idx="11">
                  <c:v>Ziziphus jujuba</c:v>
                </c:pt>
                <c:pt idx="12">
                  <c:v>Solanum sp.</c:v>
                </c:pt>
                <c:pt idx="13">
                  <c:v>Jatropha curcas</c:v>
                </c:pt>
                <c:pt idx="14">
                  <c:v>Ricinus communis</c:v>
                </c:pt>
                <c:pt idx="15">
                  <c:v>Sesamum indicum</c:v>
                </c:pt>
                <c:pt idx="16">
                  <c:v>Morus notabilis</c:v>
                </c:pt>
                <c:pt idx="17">
                  <c:v>Ipomoea nil</c:v>
                </c:pt>
                <c:pt idx="18">
                  <c:v>Brassica sp.</c:v>
                </c:pt>
                <c:pt idx="19">
                  <c:v>Eucalyptus sp.</c:v>
                </c:pt>
                <c:pt idx="20">
                  <c:v>Malus domestica</c:v>
                </c:pt>
                <c:pt idx="21">
                  <c:v>Glycine max</c:v>
                </c:pt>
                <c:pt idx="22">
                  <c:v>Cucumis sp.</c:v>
                </c:pt>
                <c:pt idx="23">
                  <c:v>Vigna sp.</c:v>
                </c:pt>
                <c:pt idx="24">
                  <c:v>Capsicum annuum</c:v>
                </c:pt>
              </c:strCache>
            </c:strRef>
          </c:cat>
          <c:val>
            <c:numRef>
              <c:f>species_blastx_refseq_ensamblaj!$K$2:$K$26</c:f>
              <c:numCache>
                <c:formatCode>General</c:formatCode>
                <c:ptCount val="25"/>
                <c:pt idx="0">
                  <c:v>86338</c:v>
                </c:pt>
                <c:pt idx="1">
                  <c:v>10374</c:v>
                </c:pt>
                <c:pt idx="2">
                  <c:v>5437</c:v>
                </c:pt>
                <c:pt idx="3">
                  <c:v>4283</c:v>
                </c:pt>
                <c:pt idx="4">
                  <c:v>3220</c:v>
                </c:pt>
                <c:pt idx="5">
                  <c:v>2723</c:v>
                </c:pt>
                <c:pt idx="6">
                  <c:v>2282</c:v>
                </c:pt>
                <c:pt idx="7">
                  <c:v>2218</c:v>
                </c:pt>
                <c:pt idx="8">
                  <c:v>1973</c:v>
                </c:pt>
                <c:pt idx="9">
                  <c:v>1960</c:v>
                </c:pt>
                <c:pt idx="10">
                  <c:v>1754</c:v>
                </c:pt>
                <c:pt idx="11">
                  <c:v>1701</c:v>
                </c:pt>
                <c:pt idx="12">
                  <c:v>1583</c:v>
                </c:pt>
                <c:pt idx="13">
                  <c:v>1480</c:v>
                </c:pt>
                <c:pt idx="14">
                  <c:v>1290</c:v>
                </c:pt>
                <c:pt idx="15">
                  <c:v>1229</c:v>
                </c:pt>
                <c:pt idx="16">
                  <c:v>1201</c:v>
                </c:pt>
                <c:pt idx="17">
                  <c:v>1178</c:v>
                </c:pt>
                <c:pt idx="18">
                  <c:v>1100</c:v>
                </c:pt>
                <c:pt idx="19">
                  <c:v>1070</c:v>
                </c:pt>
                <c:pt idx="20">
                  <c:v>961</c:v>
                </c:pt>
                <c:pt idx="21">
                  <c:v>919</c:v>
                </c:pt>
                <c:pt idx="22">
                  <c:v>892</c:v>
                </c:pt>
                <c:pt idx="23">
                  <c:v>830</c:v>
                </c:pt>
                <c:pt idx="24">
                  <c:v>744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975-B649-826E-1D333C34E21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2129982664"/>
        <c:axId val="2129970664"/>
      </c:barChart>
      <c:catAx>
        <c:axId val="212998266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2129970664"/>
        <c:crosses val="autoZero"/>
        <c:auto val="1"/>
        <c:lblAlgn val="ctr"/>
        <c:lblOffset val="100"/>
        <c:noMultiLvlLbl val="0"/>
      </c:catAx>
      <c:valAx>
        <c:axId val="2129970664"/>
        <c:scaling>
          <c:orientation val="minMax"/>
          <c:max val="90000"/>
        </c:scaling>
        <c:delete val="0"/>
        <c:axPos val="b"/>
        <c:majorGridlines>
          <c:spPr>
            <a:ln w="9525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2129982664"/>
        <c:crosses val="autoZero"/>
        <c:crossBetween val="between"/>
        <c:majorUnit val="10000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</cdr:x>
      <cdr:y>0</cdr:y>
    </cdr:from>
    <cdr:to>
      <cdr:x>0.07501</cdr:x>
      <cdr:y>0.19291</cdr:y>
    </cdr:to>
    <cdr:sp macro="" textlink="">
      <cdr:nvSpPr>
        <cdr:cNvPr id="2" name="Cuadro de texto 1"/>
        <cdr:cNvSpPr txBox="1"/>
      </cdr:nvSpPr>
      <cdr:spPr>
        <a:xfrm xmlns:a="http://schemas.openxmlformats.org/drawingml/2006/main">
          <a:off x="0" y="-903767"/>
          <a:ext cx="420347" cy="34544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pPr algn="ctr"/>
          <a:r>
            <a:rPr lang="es-ES_tradnl" sz="1400" b="1">
              <a:effectLst/>
              <a:latin typeface="Arial" panose="020B0604020202020204" pitchFamily="34" charset="0"/>
              <a:ea typeface="Times New Roman" panose="02020603050405020304" pitchFamily="18" charset="0"/>
            </a:rPr>
            <a:t>a)</a:t>
          </a:r>
          <a:endParaRPr lang="es-MX" sz="1100">
            <a:effectLst/>
            <a:latin typeface="Times New Roman" panose="02020603050405020304" pitchFamily="18" charset="0"/>
            <a:ea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255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Heriberto García Coronado</dc:creator>
  <cp:keywords/>
  <dc:description/>
  <cp:lastModifiedBy>Heriberto García Coronado</cp:lastModifiedBy>
  <cp:revision>5</cp:revision>
  <dcterms:created xsi:type="dcterms:W3CDTF">2023-09-05T02:16:00Z</dcterms:created>
  <dcterms:modified xsi:type="dcterms:W3CDTF">2023-09-12T19:38:00Z</dcterms:modified>
</cp:coreProperties>
</file>