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left"/>
        <w:rPr>
          <w:rFonts w:hint="default" w:eastAsiaTheme="minorEastAsia"/>
          <w:b/>
          <w:bCs/>
          <w:color w:val="000000"/>
          <w:sz w:val="28"/>
          <w:szCs w:val="28"/>
          <w:highlight w:val="none"/>
          <w:lang w:val="en-US" w:eastAsia="zh-CN"/>
        </w:rPr>
      </w:pPr>
      <w:r>
        <w:rPr>
          <w:b/>
          <w:bCs/>
          <w:color w:val="000000"/>
          <w:sz w:val="28"/>
          <w:szCs w:val="28"/>
          <w:highlight w:val="none"/>
        </w:rPr>
        <w:t xml:space="preserve">SUPPLEMENTAL </w:t>
      </w:r>
      <w:r>
        <w:rPr>
          <w:rFonts w:hint="eastAsia"/>
          <w:b/>
          <w:bCs/>
          <w:color w:val="000000"/>
          <w:sz w:val="28"/>
          <w:szCs w:val="28"/>
          <w:highlight w:val="none"/>
          <w:lang w:val="en-US" w:eastAsia="zh-CN"/>
        </w:rPr>
        <w:t>FIGURE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553710" cy="7849870"/>
            <wp:effectExtent l="0" t="0" r="8890" b="8255"/>
            <wp:docPr id="1" name="图片 1" descr="补充-20230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补充-20230621"/>
                    <pic:cNvPicPr>
                      <a:picLocks noChangeAspect="1"/>
                    </pic:cNvPicPr>
                  </pic:nvPicPr>
                  <pic:blipFill>
                    <a:blip r:embed="rId4"/>
                    <a:srcRect r="13090" b="26313"/>
                    <a:stretch>
                      <a:fillRect/>
                    </a:stretch>
                  </pic:blipFill>
                  <pic:spPr>
                    <a:xfrm>
                      <a:off x="0" y="0"/>
                      <a:ext cx="5553710" cy="784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Times New Roman" w:hAnsi="Times New Roman" w:eastAsia="Times New Roman"/>
          <w:sz w:val="21"/>
          <w:lang w:val="en-US" w:eastAsia="zh-CN"/>
        </w:rPr>
      </w:pPr>
      <w:r>
        <w:rPr>
          <w:rFonts w:hint="eastAsia" w:ascii="Times New Roman" w:hAnsi="Times New Roman" w:eastAsia="Times New Roman"/>
          <w:b/>
          <w:bCs/>
          <w:sz w:val="21"/>
          <w:lang w:val="en-US" w:eastAsia="zh-CN"/>
        </w:rPr>
        <w:t>s1a</w:t>
      </w:r>
      <w:r>
        <w:rPr>
          <w:rFonts w:hint="eastAsia" w:ascii="Times New Roman" w:hAnsi="Times New Roman" w:eastAsia="Times New Roman"/>
          <w:sz w:val="21"/>
          <w:lang w:val="en-US" w:eastAsia="zh-CN"/>
        </w:rPr>
        <w:t xml:space="preserve"> Immunofluorescence staining showed mitochondria (green) in MHCC-97H and PLC cells labeled with Mito-PA-GFP. Scale bars: 50 </w:t>
      </w:r>
      <w:r>
        <w:rPr>
          <w:rFonts w:hint="default" w:ascii="Times New Roman" w:hAnsi="Times New Roman" w:eastAsia="Times New Roman" w:cs="Times New Roman"/>
          <w:sz w:val="21"/>
          <w:lang w:val="en-US" w:eastAsia="zh-CN"/>
        </w:rPr>
        <w:t>μ</w:t>
      </w:r>
      <w:r>
        <w:rPr>
          <w:rFonts w:hint="eastAsia" w:ascii="Times New Roman" w:hAnsi="Times New Roman" w:eastAsia="Times New Roman"/>
          <w:sz w:val="21"/>
          <w:lang w:val="en-US" w:eastAsia="zh-CN"/>
        </w:rPr>
        <w:t>m</w:t>
      </w:r>
    </w:p>
    <w:p>
      <w:pPr>
        <w:widowControl w:val="0"/>
        <w:numPr>
          <w:ilvl w:val="0"/>
          <w:numId w:val="0"/>
        </w:numPr>
        <w:ind w:left="0" w:leftChars="0" w:firstLine="0" w:firstLineChars="0"/>
        <w:jc w:val="both"/>
        <w:rPr>
          <w:rFonts w:hint="default" w:ascii="Times New Roman" w:hAnsi="Times New Roman" w:eastAsia="Times New Roman"/>
          <w:sz w:val="21"/>
          <w:lang w:val="en-US" w:eastAsia="zh-CN"/>
        </w:rPr>
      </w:pPr>
      <w:r>
        <w:rPr>
          <w:rFonts w:hint="eastAsia" w:ascii="Times New Roman" w:hAnsi="Times New Roman" w:eastAsia="Times New Roman" w:cs="Times New Roman"/>
          <w:b/>
          <w:bCs/>
          <w:kern w:val="2"/>
          <w:sz w:val="21"/>
          <w:szCs w:val="24"/>
          <w:lang w:val="en-US" w:eastAsia="zh-CN" w:bidi="ar-SA"/>
        </w:rPr>
        <w:t xml:space="preserve">s1b-c </w:t>
      </w:r>
      <w:r>
        <w:rPr>
          <w:rFonts w:hint="eastAsia" w:ascii="Times New Roman" w:hAnsi="Times New Roman" w:eastAsia="Times New Roman"/>
          <w:sz w:val="21"/>
          <w:lang w:val="en-US" w:eastAsia="zh-CN"/>
        </w:rPr>
        <w:t>The schematic diagram shows MHCC-97H and PLC cells labeled with RFP, co cultured with Hep3B cells labeled with Mito-PA-GFP, and then subjected to sterile cell flow cytometry sorting. After sterile cell flow cytometry sorting, they were subjected to metastasis and invasion experiments. Scale bars: 50</w:t>
      </w:r>
      <w:r>
        <w:rPr>
          <w:rFonts w:hint="default" w:ascii="Times New Roman" w:hAnsi="Times New Roman" w:eastAsia="Times New Roman" w:cs="Times New Roman"/>
          <w:sz w:val="21"/>
          <w:lang w:val="en-US" w:eastAsia="zh-CN"/>
        </w:rPr>
        <w:t>μ</w:t>
      </w:r>
      <w:r>
        <w:rPr>
          <w:rFonts w:hint="eastAsia" w:ascii="Times New Roman" w:hAnsi="Times New Roman" w:eastAsia="Times New Roman"/>
          <w:sz w:val="21"/>
          <w:lang w:val="en-US" w:eastAsia="zh-CN"/>
        </w:rPr>
        <w:t>m. N.S. no significance.</w:t>
      </w:r>
    </w:p>
    <w:p>
      <w:pPr>
        <w:widowControl w:val="0"/>
        <w:numPr>
          <w:ilvl w:val="0"/>
          <w:numId w:val="0"/>
        </w:numPr>
        <w:ind w:left="0" w:leftChars="0" w:firstLine="0" w:firstLineChars="0"/>
        <w:jc w:val="both"/>
        <w:rPr>
          <w:rFonts w:hint="default" w:ascii="Times New Roman" w:hAnsi="Times New Roman" w:eastAsia="Times New Roman"/>
          <w:sz w:val="21"/>
          <w:lang w:val="en-US" w:eastAsia="zh-CN"/>
        </w:rPr>
      </w:pPr>
      <w:r>
        <w:rPr>
          <w:rFonts w:hint="eastAsia" w:ascii="Times New Roman" w:hAnsi="Times New Roman" w:eastAsia="Times New Roman" w:cs="Times New Roman"/>
          <w:b/>
          <w:bCs/>
          <w:kern w:val="2"/>
          <w:sz w:val="21"/>
          <w:szCs w:val="24"/>
          <w:lang w:val="en-US" w:eastAsia="zh-CN" w:bidi="ar-SA"/>
        </w:rPr>
        <w:t xml:space="preserve">s1d </w:t>
      </w:r>
      <w:r>
        <w:rPr>
          <w:rFonts w:hint="eastAsia" w:ascii="Times New Roman" w:hAnsi="Times New Roman" w:eastAsia="Times New Roman"/>
          <w:sz w:val="21"/>
          <w:lang w:val="en-US" w:eastAsia="zh-CN"/>
        </w:rPr>
        <w:t xml:space="preserve">Immunofluorescence staining showed the localization of HMGB1 in PLC and MHCC-97H before and after hypoxia. Scale bars: 25 </w:t>
      </w:r>
      <w:r>
        <w:rPr>
          <w:rFonts w:hint="default" w:ascii="Times New Roman" w:hAnsi="Times New Roman" w:eastAsia="Times New Roman" w:cs="Times New Roman"/>
          <w:sz w:val="21"/>
          <w:lang w:val="en-US" w:eastAsia="zh-CN"/>
        </w:rPr>
        <w:t>μ</w:t>
      </w:r>
      <w:r>
        <w:rPr>
          <w:rFonts w:hint="eastAsia" w:ascii="Times New Roman" w:hAnsi="Times New Roman" w:eastAsia="Times New Roman"/>
          <w:sz w:val="21"/>
          <w:lang w:val="en-US" w:eastAsia="zh-CN"/>
        </w:rPr>
        <w:t>m.</w:t>
      </w:r>
    </w:p>
    <w:p>
      <w:pPr>
        <w:widowControl w:val="0"/>
        <w:numPr>
          <w:ilvl w:val="0"/>
          <w:numId w:val="0"/>
        </w:numPr>
        <w:ind w:left="0" w:leftChars="0" w:firstLine="0" w:firstLineChars="0"/>
        <w:jc w:val="both"/>
        <w:rPr>
          <w:rFonts w:hint="default" w:ascii="Times New Roman" w:hAnsi="Times New Roman" w:eastAsia="Times New Roman"/>
          <w:sz w:val="21"/>
          <w:lang w:val="en-US" w:eastAsia="zh-CN"/>
        </w:rPr>
      </w:pPr>
      <w:r>
        <w:rPr>
          <w:rFonts w:hint="eastAsia" w:ascii="Times New Roman" w:hAnsi="Times New Roman" w:eastAsia="Times New Roman" w:cs="Times New Roman"/>
          <w:b/>
          <w:bCs/>
          <w:kern w:val="2"/>
          <w:sz w:val="21"/>
          <w:szCs w:val="24"/>
          <w:lang w:val="en-US" w:eastAsia="zh-CN" w:bidi="ar-SA"/>
        </w:rPr>
        <w:t xml:space="preserve">s1e </w:t>
      </w:r>
      <w:r>
        <w:rPr>
          <w:rFonts w:hint="eastAsia" w:ascii="Times New Roman" w:hAnsi="Times New Roman" w:eastAsia="Times New Roman"/>
          <w:sz w:val="21"/>
          <w:lang w:val="en-US" w:eastAsia="zh-CN"/>
        </w:rPr>
        <w:t xml:space="preserve">Immunofluorescence staining showed the localization of RAC1 in PLC and MHCC-97H after stimulation with recombinant human HMGB1 protein and EP treatment under hypoxic conditions. Scale bars: 50 </w:t>
      </w:r>
      <w:r>
        <w:rPr>
          <w:rFonts w:hint="default" w:ascii="Times New Roman" w:hAnsi="Times New Roman" w:eastAsia="Times New Roman" w:cs="Times New Roman"/>
          <w:sz w:val="21"/>
          <w:lang w:val="en-US" w:eastAsia="zh-CN"/>
        </w:rPr>
        <w:t>μ</w:t>
      </w:r>
      <w:r>
        <w:rPr>
          <w:rFonts w:hint="eastAsia" w:ascii="Times New Roman" w:hAnsi="Times New Roman" w:eastAsia="Times New Roman"/>
          <w:sz w:val="21"/>
          <w:lang w:val="en-US" w:eastAsia="zh-CN"/>
        </w:rPr>
        <w:t>m.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spacing w:line="480" w:lineRule="auto"/>
        <w:jc w:val="left"/>
        <w:rPr>
          <w:b/>
          <w:bCs/>
          <w:color w:val="000000"/>
          <w:sz w:val="28"/>
          <w:szCs w:val="28"/>
          <w:highlight w:val="none"/>
        </w:rPr>
      </w:pPr>
      <w:r>
        <w:rPr>
          <w:b/>
          <w:bCs/>
          <w:color w:val="000000"/>
          <w:sz w:val="28"/>
          <w:szCs w:val="28"/>
          <w:highlight w:val="none"/>
        </w:rPr>
        <w:t>SUPPLEMENTAL INFORMATION</w:t>
      </w:r>
    </w:p>
    <w:p>
      <w:pPr>
        <w:spacing w:line="480" w:lineRule="auto"/>
        <w:contextualSpacing/>
        <w:rPr>
          <w:rFonts w:hint="default" w:eastAsia="宋体"/>
          <w:b/>
          <w:bCs/>
          <w:szCs w:val="21"/>
          <w:highlight w:val="none"/>
          <w:lang w:val="en-US" w:eastAsia="zh-CN"/>
        </w:rPr>
      </w:pPr>
      <w:r>
        <w:rPr>
          <w:rFonts w:hint="eastAsia"/>
          <w:b/>
          <w:bCs/>
          <w:szCs w:val="21"/>
          <w:highlight w:val="none"/>
          <w:lang w:val="en-US" w:eastAsia="zh-CN"/>
        </w:rPr>
        <w:t>1、Reagents and antibody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96"/>
        <w:gridCol w:w="2827"/>
        <w:gridCol w:w="21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6" w:type="dxa"/>
            <w:vAlign w:val="top"/>
          </w:tcPr>
          <w:p>
            <w:pPr>
              <w:rPr>
                <w:rFonts w:hint="eastAsia"/>
                <w:szCs w:val="21"/>
                <w:highlight w:val="none"/>
                <w:lang w:val="en-US" w:eastAsia="zh-CN"/>
              </w:rPr>
            </w:pPr>
            <w:bookmarkStart w:id="0" w:name="_Hlk26970083"/>
            <w:bookmarkEnd w:id="0"/>
            <w:r>
              <w:rPr>
                <w:rFonts w:hint="eastAsia"/>
                <w:szCs w:val="21"/>
                <w:highlight w:val="none"/>
                <w:lang w:val="en-US" w:eastAsia="zh-CN"/>
              </w:rPr>
              <w:t>Reagent</w:t>
            </w:r>
          </w:p>
        </w:tc>
        <w:tc>
          <w:tcPr>
            <w:tcW w:w="2827" w:type="dxa"/>
            <w:vAlign w:val="top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Company</w:t>
            </w:r>
          </w:p>
        </w:tc>
        <w:tc>
          <w:tcPr>
            <w:tcW w:w="2198" w:type="dxa"/>
            <w:vAlign w:val="top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Catalog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6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Cs w:val="21"/>
                <w:highlight w:val="none"/>
                <w:lang w:val="en-US" w:eastAsia="zh-CN"/>
              </w:rPr>
              <w:t>MitoTracker-Red</w:t>
            </w:r>
          </w:p>
        </w:tc>
        <w:tc>
          <w:tcPr>
            <w:tcW w:w="2827" w:type="dxa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Cell Signaling Technology</w:t>
            </w:r>
          </w:p>
        </w:tc>
        <w:tc>
          <w:tcPr>
            <w:tcW w:w="2198" w:type="dxa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9082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6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lang w:val="en-US" w:eastAsia="zh-CN"/>
              </w:rPr>
              <w:t>ActinGreen</w:t>
            </w:r>
          </w:p>
        </w:tc>
        <w:tc>
          <w:tcPr>
            <w:tcW w:w="2827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KeyGEN BioTECH</w:t>
            </w:r>
          </w:p>
        </w:tc>
        <w:tc>
          <w:tcPr>
            <w:tcW w:w="2198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KGMP001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496" w:type="dxa"/>
          </w:tcPr>
          <w:p>
            <w:pP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lang w:val="en-US" w:eastAsia="zh-CN"/>
              </w:rPr>
              <w:t>Cytochalasin D</w:t>
            </w:r>
          </w:p>
        </w:tc>
        <w:tc>
          <w:tcPr>
            <w:tcW w:w="2827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Apexbio</w:t>
            </w:r>
          </w:p>
        </w:tc>
        <w:tc>
          <w:tcPr>
            <w:tcW w:w="2198" w:type="dxa"/>
          </w:tcPr>
          <w:p>
            <w:pP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B6645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3496" w:type="dxa"/>
          </w:tcPr>
          <w:p>
            <w:pPr>
              <w:rPr>
                <w:rFonts w:hint="eastAsia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</w:rPr>
              <w:t>Recombinant human HMGB1 protein</w:t>
            </w:r>
          </w:p>
        </w:tc>
        <w:tc>
          <w:tcPr>
            <w:tcW w:w="2827" w:type="dxa"/>
          </w:tcPr>
          <w:p>
            <w:pP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Sigma-Aldrich</w:t>
            </w:r>
          </w:p>
        </w:tc>
        <w:tc>
          <w:tcPr>
            <w:tcW w:w="2198" w:type="dxa"/>
          </w:tcPr>
          <w:p>
            <w:pP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SRP6265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3496" w:type="dxa"/>
          </w:tcPr>
          <w:p>
            <w:pPr>
              <w:rPr>
                <w:rFonts w:hint="default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lang w:val="en-US" w:eastAsia="zh-CN"/>
              </w:rPr>
              <w:t>Tunicamycin</w:t>
            </w:r>
          </w:p>
        </w:tc>
        <w:tc>
          <w:tcPr>
            <w:tcW w:w="2827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abcam</w:t>
            </w:r>
          </w:p>
        </w:tc>
        <w:tc>
          <w:tcPr>
            <w:tcW w:w="2198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11089-65-9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3496" w:type="dxa"/>
          </w:tcPr>
          <w:p>
            <w:pPr>
              <w:rPr>
                <w:rFonts w:hint="default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lang w:val="en-US" w:eastAsia="zh-CN"/>
              </w:rPr>
              <w:t>4-Phenylbutyric acid</w:t>
            </w:r>
          </w:p>
        </w:tc>
        <w:tc>
          <w:tcPr>
            <w:tcW w:w="2827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MedChemExperss</w:t>
            </w:r>
          </w:p>
        </w:tc>
        <w:tc>
          <w:tcPr>
            <w:tcW w:w="2198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HY-A0281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3496" w:type="dxa"/>
          </w:tcPr>
          <w:p>
            <w:pPr>
              <w:rPr>
                <w:rFonts w:hint="default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lang w:val="en-US" w:eastAsia="zh-CN"/>
              </w:rPr>
              <w:t>Ethyl pyruvate</w:t>
            </w:r>
          </w:p>
        </w:tc>
        <w:tc>
          <w:tcPr>
            <w:tcW w:w="2827" w:type="dxa"/>
          </w:tcPr>
          <w:p>
            <w:pP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MedChemExperss</w:t>
            </w:r>
          </w:p>
        </w:tc>
        <w:tc>
          <w:tcPr>
            <w:tcW w:w="2198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617-35-6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3496" w:type="dxa"/>
          </w:tcPr>
          <w:p>
            <w:pPr>
              <w:rPr>
                <w:rFonts w:hint="default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lang w:val="en-US" w:eastAsia="zh-CN"/>
              </w:rPr>
              <w:t>Matrigel</w:t>
            </w:r>
          </w:p>
        </w:tc>
        <w:tc>
          <w:tcPr>
            <w:tcW w:w="2827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Corning</w:t>
            </w:r>
          </w:p>
        </w:tc>
        <w:tc>
          <w:tcPr>
            <w:tcW w:w="2198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354277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1" w:type="dxa"/>
            <w:gridSpan w:val="3"/>
          </w:tcPr>
          <w:p>
            <w:pP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Antibody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6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vertAlign w:val="baseline"/>
                <w:lang w:val="en-US" w:eastAsia="zh-CN"/>
              </w:rPr>
              <w:t>β-actin</w:t>
            </w:r>
          </w:p>
        </w:tc>
        <w:tc>
          <w:tcPr>
            <w:tcW w:w="2827" w:type="dxa"/>
          </w:tcPr>
          <w:p>
            <w:pP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Proteintech</w:t>
            </w:r>
          </w:p>
        </w:tc>
        <w:tc>
          <w:tcPr>
            <w:tcW w:w="2198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60008-1-lg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6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HMGB1</w:t>
            </w:r>
          </w:p>
        </w:tc>
        <w:tc>
          <w:tcPr>
            <w:tcW w:w="2827" w:type="dxa"/>
          </w:tcPr>
          <w:p>
            <w:pP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ABclonal</w:t>
            </w:r>
          </w:p>
        </w:tc>
        <w:tc>
          <w:tcPr>
            <w:tcW w:w="2198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A19529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6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RHOT1</w:t>
            </w:r>
          </w:p>
        </w:tc>
        <w:tc>
          <w:tcPr>
            <w:tcW w:w="2827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ABclonal</w:t>
            </w:r>
          </w:p>
        </w:tc>
        <w:tc>
          <w:tcPr>
            <w:tcW w:w="2198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A5838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6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RHOT1 for IP</w:t>
            </w:r>
          </w:p>
        </w:tc>
        <w:tc>
          <w:tcPr>
            <w:tcW w:w="2827" w:type="dxa"/>
          </w:tcPr>
          <w:p>
            <w:pP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Santa Cruz Biotechnology</w:t>
            </w:r>
          </w:p>
        </w:tc>
        <w:tc>
          <w:tcPr>
            <w:tcW w:w="2198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sc-398520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6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GRP78</w:t>
            </w:r>
          </w:p>
        </w:tc>
        <w:tc>
          <w:tcPr>
            <w:tcW w:w="2827" w:type="dxa"/>
          </w:tcPr>
          <w:p>
            <w:pP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ABclonal</w:t>
            </w:r>
          </w:p>
        </w:tc>
        <w:tc>
          <w:tcPr>
            <w:tcW w:w="2198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A0241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6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IRE1</w:t>
            </w:r>
          </w:p>
        </w:tc>
        <w:tc>
          <w:tcPr>
            <w:tcW w:w="2827" w:type="dxa"/>
          </w:tcPr>
          <w:p>
            <w:pP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ABclonal</w:t>
            </w:r>
          </w:p>
        </w:tc>
        <w:tc>
          <w:tcPr>
            <w:tcW w:w="2198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A17940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6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PERK</w:t>
            </w:r>
          </w:p>
        </w:tc>
        <w:tc>
          <w:tcPr>
            <w:tcW w:w="2827" w:type="dxa"/>
          </w:tcPr>
          <w:p>
            <w:pP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ABclonal</w:t>
            </w:r>
          </w:p>
        </w:tc>
        <w:tc>
          <w:tcPr>
            <w:tcW w:w="2198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A18196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6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XBP1s</w:t>
            </w:r>
          </w:p>
        </w:tc>
        <w:tc>
          <w:tcPr>
            <w:tcW w:w="2827" w:type="dxa"/>
          </w:tcPr>
          <w:p>
            <w:pP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ABclonal</w:t>
            </w:r>
          </w:p>
        </w:tc>
        <w:tc>
          <w:tcPr>
            <w:tcW w:w="2198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A1731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6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ATF6</w:t>
            </w:r>
          </w:p>
        </w:tc>
        <w:tc>
          <w:tcPr>
            <w:tcW w:w="2827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ABclonal</w:t>
            </w:r>
          </w:p>
        </w:tc>
        <w:tc>
          <w:tcPr>
            <w:tcW w:w="2198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A0202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6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vertAlign w:val="baseline"/>
                <w:lang w:val="en-US" w:eastAsia="zh-CN"/>
              </w:rPr>
              <w:t>ATF6 for IP</w:t>
            </w:r>
          </w:p>
        </w:tc>
        <w:tc>
          <w:tcPr>
            <w:tcW w:w="2827" w:type="dxa"/>
          </w:tcPr>
          <w:p>
            <w:pP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Proteintech</w:t>
            </w:r>
          </w:p>
        </w:tc>
        <w:tc>
          <w:tcPr>
            <w:tcW w:w="2198" w:type="dxa"/>
          </w:tcPr>
          <w:p>
            <w:pP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24169-1-AP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6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NFYA</w:t>
            </w:r>
          </w:p>
        </w:tc>
        <w:tc>
          <w:tcPr>
            <w:tcW w:w="2827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 xml:space="preserve">Santa Cruz Biotechnology  </w:t>
            </w:r>
          </w:p>
        </w:tc>
        <w:tc>
          <w:tcPr>
            <w:tcW w:w="2198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Sc-17753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6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NFYB</w:t>
            </w:r>
          </w:p>
        </w:tc>
        <w:tc>
          <w:tcPr>
            <w:tcW w:w="2827" w:type="dxa"/>
          </w:tcPr>
          <w:p>
            <w:pP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Santa Cruz Biotechnology</w:t>
            </w:r>
          </w:p>
        </w:tc>
        <w:tc>
          <w:tcPr>
            <w:tcW w:w="2198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Sc-376546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6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NFYC</w:t>
            </w:r>
          </w:p>
        </w:tc>
        <w:tc>
          <w:tcPr>
            <w:tcW w:w="2827" w:type="dxa"/>
          </w:tcPr>
          <w:p>
            <w:pP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Santa Cruz Biotechnology</w:t>
            </w:r>
          </w:p>
        </w:tc>
        <w:tc>
          <w:tcPr>
            <w:tcW w:w="2198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Sc-390861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6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RAC1</w:t>
            </w:r>
          </w:p>
        </w:tc>
        <w:tc>
          <w:tcPr>
            <w:tcW w:w="2827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Proteintech</w:t>
            </w:r>
          </w:p>
        </w:tc>
        <w:tc>
          <w:tcPr>
            <w:tcW w:w="2198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66122-1-lg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6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Arp2</w:t>
            </w:r>
          </w:p>
        </w:tc>
        <w:tc>
          <w:tcPr>
            <w:tcW w:w="2827" w:type="dxa"/>
          </w:tcPr>
          <w:p>
            <w:pP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ABclonal</w:t>
            </w:r>
          </w:p>
        </w:tc>
        <w:tc>
          <w:tcPr>
            <w:tcW w:w="2198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A5734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6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Arp3</w:t>
            </w:r>
          </w:p>
        </w:tc>
        <w:tc>
          <w:tcPr>
            <w:tcW w:w="2827" w:type="dxa"/>
          </w:tcPr>
          <w:p>
            <w:pP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ABclonal</w:t>
            </w:r>
          </w:p>
        </w:tc>
        <w:tc>
          <w:tcPr>
            <w:tcW w:w="2198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A4514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6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NA</w:t>
            </w:r>
            <w:r>
              <w:rPr>
                <w:rFonts w:hint="eastAsia"/>
                <w:sz w:val="21"/>
                <w:szCs w:val="21"/>
                <w:highlight w:val="none"/>
                <w:vertAlign w:val="superscript"/>
                <w:lang w:val="en-US" w:eastAsia="zh-CN"/>
              </w:rPr>
              <w:t>+</w:t>
            </w: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/K</w:t>
            </w:r>
            <w:r>
              <w:rPr>
                <w:rFonts w:hint="eastAsia"/>
                <w:szCs w:val="21"/>
                <w:highlight w:val="none"/>
                <w:vertAlign w:val="superscript"/>
                <w:lang w:val="en-US" w:eastAsia="zh-CN"/>
              </w:rPr>
              <w:t>+</w:t>
            </w: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-ATPase</w:t>
            </w:r>
          </w:p>
        </w:tc>
        <w:tc>
          <w:tcPr>
            <w:tcW w:w="2827" w:type="dxa"/>
          </w:tcPr>
          <w:p>
            <w:pP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Proteintech</w:t>
            </w:r>
          </w:p>
        </w:tc>
        <w:tc>
          <w:tcPr>
            <w:tcW w:w="2198" w:type="dxa"/>
          </w:tcPr>
          <w:p>
            <w:pPr>
              <w:rPr>
                <w:rFonts w:hint="default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vertAlign w:val="baseline"/>
                <w:lang w:val="en-US" w:eastAsia="zh-CN"/>
              </w:rPr>
              <w:t>14418-1-AP</w:t>
            </w:r>
          </w:p>
        </w:tc>
      </w:tr>
    </w:tbl>
    <w:p>
      <w:pPr>
        <w:numPr>
          <w:ilvl w:val="0"/>
          <w:numId w:val="1"/>
        </w:numPr>
        <w:rPr>
          <w:rFonts w:hint="eastAsia"/>
          <w:b/>
          <w:bCs/>
          <w:highlight w:val="none"/>
          <w:lang w:val="en-US" w:eastAsia="zh-CN"/>
        </w:rPr>
      </w:pPr>
      <w:bookmarkStart w:id="1" w:name="_GoBack"/>
      <w:bookmarkEnd w:id="1"/>
      <w:r>
        <w:rPr>
          <w:rFonts w:hint="eastAsia"/>
          <w:b/>
          <w:bCs/>
          <w:highlight w:val="none"/>
          <w:lang w:val="en-US" w:eastAsia="zh-CN"/>
        </w:rPr>
        <w:t>Sequences used in the study</w:t>
      </w:r>
    </w:p>
    <w:p>
      <w:pPr>
        <w:numPr>
          <w:ilvl w:val="0"/>
          <w:numId w:val="0"/>
        </w:numPr>
        <w:rPr>
          <w:rFonts w:hint="default"/>
          <w:b/>
          <w:bCs/>
          <w:highlight w:val="none"/>
          <w:lang w:val="en-US" w:eastAsia="zh-CN"/>
        </w:rPr>
      </w:pPr>
    </w:p>
    <w:tbl>
      <w:tblPr>
        <w:tblStyle w:val="3"/>
        <w:tblW w:w="85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2"/>
        <w:gridCol w:w="4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96" w:type="dxa"/>
            <w:gridSpan w:val="2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shRNA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92" w:type="dxa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shHMGB1</w:t>
            </w:r>
          </w:p>
        </w:tc>
        <w:tc>
          <w:tcPr>
            <w:tcW w:w="4804" w:type="dxa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CCGG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GGAGAGATGTGGAATAACA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CTCGAG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TGTTATTCCACATCTCTCC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TTTTTG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92" w:type="dxa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shRHOT1</w:t>
            </w:r>
          </w:p>
        </w:tc>
        <w:tc>
          <w:tcPr>
            <w:tcW w:w="4804" w:type="dxa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CCGG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GAAGAAAATTCGTGAAGAT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CTCGAG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ATCTTCACGAATTTTCTTC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TTTTTG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92" w:type="dxa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shRAC1</w:t>
            </w:r>
          </w:p>
        </w:tc>
        <w:tc>
          <w:tcPr>
            <w:tcW w:w="4804" w:type="dxa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CCGG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CCTTGTGAGTCCTGCATCA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CTCGAG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TGATGCAGGACTCACAAGG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TTTTTG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96" w:type="dxa"/>
            <w:gridSpan w:val="2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siRNA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92" w:type="dxa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siXBP1</w:t>
            </w:r>
          </w:p>
        </w:tc>
        <w:tc>
          <w:tcPr>
            <w:tcW w:w="4804" w:type="dxa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5’-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TGAGAACCAGGAGTTAAGA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 -3’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92" w:type="dxa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siPERK</w:t>
            </w:r>
          </w:p>
        </w:tc>
        <w:tc>
          <w:tcPr>
            <w:tcW w:w="4804" w:type="dxa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5’-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GGAAACAGCTATTCTCATA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 -3’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92" w:type="dxa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siATF6</w:t>
            </w:r>
          </w:p>
        </w:tc>
        <w:tc>
          <w:tcPr>
            <w:tcW w:w="4804" w:type="dxa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5’-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GCAACCAATTATCAGTTTA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 -3’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96" w:type="dxa"/>
            <w:gridSpan w:val="2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Primers for real-time PCR: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9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β-actin sense: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5’- CATGTACGTTGCTATCCAGGC -3’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9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β-actin antisense: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5’- 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CTCCTTAATGTCACGCACGAT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 -3’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9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RHOT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</w:rPr>
              <w:t xml:space="preserve">1 sense: </w:t>
            </w:r>
          </w:p>
        </w:tc>
        <w:tc>
          <w:tcPr>
            <w:tcW w:w="4804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5'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AAGGTAACAAGTCGATGGATTCC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-3’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9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RHOT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</w:rPr>
              <w:t>1 antisense:</w:t>
            </w:r>
          </w:p>
        </w:tc>
        <w:tc>
          <w:tcPr>
            <w:tcW w:w="4804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5'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TCAGGTTTTTCGCTGAACACT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-3’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9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NFYA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</w:rPr>
              <w:t xml:space="preserve"> sense: 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5’- CAGACTCAGACACAGCAGCAGATTG -3’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9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NFYA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</w:rPr>
              <w:t xml:space="preserve"> antisense: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5’- GGGATTCTTTGGATAGCAGGCACAG -3’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9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 xml:space="preserve">NFYB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</w:rPr>
              <w:t xml:space="preserve">sense: 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5’- GCCATACCTCAAACGGGAAAGATTG -3’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9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NFYB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</w:rPr>
              <w:t xml:space="preserve"> antisense: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5’- GCTGTGACTGCTCCACCAATTCC -3’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9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NFYC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</w:rPr>
              <w:t xml:space="preserve"> sense: 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5’- AGGTTGGAGAAGGTCAGCAGGTG -3’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9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NFYC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 antisense: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5’- TGAGCATTGGTGGCAAGTGTCTG -3’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96" w:type="dxa"/>
            <w:gridSpan w:val="2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Primers used for ChIP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9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binding site 1 sense:</w:t>
            </w:r>
          </w:p>
        </w:tc>
        <w:tc>
          <w:tcPr>
            <w:tcW w:w="4804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5'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- </w:t>
            </w:r>
            <w:r>
              <w:rPr>
                <w:rFonts w:hint="default"/>
                <w:lang w:val="en-US" w:eastAsia="zh-CN"/>
              </w:rPr>
              <w:t>GGTCTGGTGAGAAGATCC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-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379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binding site 1 antisense:</w:t>
            </w:r>
          </w:p>
        </w:tc>
        <w:tc>
          <w:tcPr>
            <w:tcW w:w="4804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5'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- </w:t>
            </w:r>
            <w:r>
              <w:rPr>
                <w:rFonts w:hint="default"/>
                <w:lang w:val="en-US" w:eastAsia="zh-CN"/>
              </w:rPr>
              <w:t>GGAATTTGAATGGCGGATT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-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9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binding site 2 sense:</w:t>
            </w:r>
          </w:p>
        </w:tc>
        <w:tc>
          <w:tcPr>
            <w:tcW w:w="480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5'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- </w:t>
            </w:r>
            <w:r>
              <w:rPr>
                <w:rFonts w:hint="eastAsia"/>
                <w:lang w:val="en-US" w:eastAsia="zh-CN"/>
              </w:rPr>
              <w:t>CCCTACTCGATCAAGCATT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-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9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binding site 2 antisense:</w:t>
            </w:r>
          </w:p>
        </w:tc>
        <w:tc>
          <w:tcPr>
            <w:tcW w:w="480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5'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- </w:t>
            </w:r>
            <w:r>
              <w:rPr>
                <w:rFonts w:hint="default"/>
                <w:lang w:val="en-US" w:eastAsia="zh-CN"/>
              </w:rPr>
              <w:t>ATCTTCTCACCAGACCATAA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-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9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binding site 3 sense: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5'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- </w:t>
            </w:r>
            <w:r>
              <w:rPr>
                <w:rFonts w:hint="eastAsia"/>
                <w:lang w:val="en-US" w:eastAsia="zh-CN"/>
              </w:rPr>
              <w:t>ACGCTGGGTAAGCCTGAGTAAA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-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9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binding site 3 antisense: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5'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- </w:t>
            </w:r>
            <w:r>
              <w:rPr>
                <w:rFonts w:hint="eastAsia"/>
                <w:lang w:val="en-US" w:eastAsia="zh-CN"/>
              </w:rPr>
              <w:t>AGGATCCGGCGCTTTCCACT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-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3'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9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</w:rPr>
              <w:t>distant region sense:</w:t>
            </w:r>
          </w:p>
        </w:tc>
        <w:tc>
          <w:tcPr>
            <w:tcW w:w="4804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5’-</w:t>
            </w:r>
            <w:r>
              <w:rPr>
                <w:rFonts w:hint="default"/>
                <w:lang w:val="en-US" w:eastAsia="zh-CN"/>
              </w:rPr>
              <w:t>AGACTGGCAGAAGTATAGATG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-3’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9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</w:rPr>
              <w:t>distant region antisense:</w:t>
            </w:r>
          </w:p>
        </w:tc>
        <w:tc>
          <w:tcPr>
            <w:tcW w:w="4804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5’-</w:t>
            </w:r>
            <w:r>
              <w:rPr>
                <w:rFonts w:hint="default"/>
                <w:lang w:val="en-US" w:eastAsia="zh-CN"/>
              </w:rPr>
              <w:t>AGTGAGCAATGGATATGGTT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-3’</w:t>
            </w:r>
          </w:p>
        </w:tc>
      </w:tr>
    </w:tbl>
    <w:p>
      <w:pPr>
        <w:rPr>
          <w:rFonts w:hint="eastAsia"/>
          <w:highlight w:val="none"/>
          <w:lang w:val="en-US" w:eastAsia="zh-CN"/>
        </w:rPr>
      </w:pPr>
    </w:p>
    <w:p>
      <w:pPr>
        <w:rPr>
          <w:rFonts w:hint="eastAsia"/>
          <w:highlight w:val="none"/>
          <w:lang w:val="en-US" w:eastAsia="zh-CN"/>
        </w:rPr>
      </w:pPr>
    </w:p>
    <w:p>
      <w:pPr>
        <w:rPr>
          <w:rFonts w:hint="eastAsia"/>
          <w:highlight w:val="none"/>
          <w:lang w:val="en-US" w:eastAsia="zh-CN"/>
        </w:rPr>
      </w:pPr>
    </w:p>
    <w:p>
      <w:pPr>
        <w:rPr>
          <w:rFonts w:hint="eastAsia"/>
          <w:highlight w:val="none"/>
          <w:lang w:val="en-US" w:eastAsia="zh-CN"/>
        </w:rPr>
      </w:pPr>
    </w:p>
    <w:p>
      <w:pPr>
        <w:rPr>
          <w:rFonts w:hint="eastAsia"/>
          <w:highlight w:val="none"/>
          <w:lang w:val="en-US" w:eastAsia="zh-CN"/>
        </w:rPr>
      </w:pPr>
    </w:p>
    <w:p>
      <w:pPr>
        <w:rPr>
          <w:rFonts w:hint="eastAsia"/>
          <w:highlight w:val="none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highlight w:val="none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highlight w:val="none"/>
          <w:lang w:val="en-US" w:eastAsia="zh-CN"/>
        </w:rPr>
      </w:pPr>
    </w:p>
    <w:p>
      <w:pPr>
        <w:rPr>
          <w:rFonts w:hint="default"/>
          <w:highlight w:val="none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C8C16C"/>
    <w:multiLevelType w:val="singleLevel"/>
    <w:tmpl w:val="F8C8C16C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iMWE0MmMzZTQ3YzZkNDRiNjJiNjcwODk5YmIwYWQifQ=="/>
  </w:docVars>
  <w:rsids>
    <w:rsidRoot w:val="00000000"/>
    <w:rsid w:val="06523F87"/>
    <w:rsid w:val="099077F7"/>
    <w:rsid w:val="0B3A1F25"/>
    <w:rsid w:val="14CE7B61"/>
    <w:rsid w:val="1C3B128B"/>
    <w:rsid w:val="58756792"/>
    <w:rsid w:val="5AD664A7"/>
    <w:rsid w:val="647869C9"/>
    <w:rsid w:val="68B7661A"/>
    <w:rsid w:val="68D51CA5"/>
    <w:rsid w:val="786E2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2023-07-30T12:06:00Z</dcterms:created>
  <dc:creator>57251</dc:creator>
  <cp:lastModifiedBy>Jing</cp:lastModifiedBy>
  <dcterms:modified xsi:type="dcterms:W3CDTF">2023-09-08T08:52:40Z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5EBD75BEB1924A07AF0D3E6185A8ADDF_12</vt:lpwstr>
  </property>
</Properties>
</file>