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8E544" w14:textId="16CB4434" w:rsidR="005F4DCC" w:rsidRPr="005F4DCC" w:rsidRDefault="005F4DCC" w:rsidP="005F4DCC">
      <w:pPr>
        <w:rPr>
          <w:rFonts w:cs="Times New Roman"/>
          <w:sz w:val="20"/>
          <w:szCs w:val="20"/>
        </w:rPr>
      </w:pPr>
      <w:r w:rsidRPr="005F4DCC">
        <w:rPr>
          <w:rFonts w:cs="Times New Roman"/>
          <w:b/>
          <w:sz w:val="20"/>
          <w:szCs w:val="20"/>
        </w:rPr>
        <w:t>Supplementary Figures</w:t>
      </w:r>
    </w:p>
    <w:p w14:paraId="1B6026DD" w14:textId="77777777" w:rsidR="005F4DCC" w:rsidRPr="005F4DCC" w:rsidRDefault="005F4DCC" w:rsidP="005F4DCC">
      <w:pPr>
        <w:rPr>
          <w:rFonts w:cs="Times New Roman"/>
          <w:sz w:val="20"/>
          <w:szCs w:val="20"/>
        </w:rPr>
      </w:pPr>
      <w:r w:rsidRPr="005F4DCC">
        <w:rPr>
          <w:rFonts w:cs="Times New Roman"/>
          <w:noProof/>
          <w:sz w:val="20"/>
          <w:szCs w:val="20"/>
        </w:rPr>
        <w:drawing>
          <wp:inline distT="0" distB="0" distL="0" distR="0" wp14:anchorId="1C9492BF" wp14:editId="0ACE6555">
            <wp:extent cx="4215384" cy="39288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 diagram.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15384" cy="3928872"/>
                    </a:xfrm>
                    <a:prstGeom prst="rect">
                      <a:avLst/>
                    </a:prstGeom>
                  </pic:spPr>
                </pic:pic>
              </a:graphicData>
            </a:graphic>
          </wp:inline>
        </w:drawing>
      </w:r>
    </w:p>
    <w:p w14:paraId="52BFB8DC" w14:textId="77777777" w:rsidR="005F4DCC" w:rsidRPr="005F4DCC" w:rsidRDefault="005F4DCC" w:rsidP="005F4DCC">
      <w:pPr>
        <w:rPr>
          <w:rFonts w:cs="Times New Roman"/>
          <w:b/>
          <w:sz w:val="20"/>
          <w:szCs w:val="20"/>
        </w:rPr>
      </w:pPr>
      <w:r w:rsidRPr="005F4DCC">
        <w:rPr>
          <w:rFonts w:cs="Times New Roman"/>
          <w:b/>
          <w:sz w:val="20"/>
          <w:szCs w:val="20"/>
        </w:rPr>
        <w:t>Supplementary Figure S1.</w:t>
      </w:r>
      <w:r w:rsidRPr="005F4DCC">
        <w:rPr>
          <w:rFonts w:cs="Times New Roman"/>
          <w:sz w:val="20"/>
          <w:szCs w:val="20"/>
        </w:rPr>
        <w:t xml:space="preserve"> A timeline diagram of the treatments. Male CD-1 mice received saline or low dose STZ injection for 5 days, and were injected with PBS or cytokines for the next 8 days. Blood glucose levels were monitored daily from day 5 after the first injection of STZ, and they were killed on day 13, after the first injection of STZ. </w:t>
      </w:r>
      <w:r w:rsidRPr="005F4DCC">
        <w:rPr>
          <w:rFonts w:cs="Times New Roman"/>
          <w:sz w:val="20"/>
          <w:szCs w:val="20"/>
        </w:rPr>
        <w:br w:type="page"/>
      </w:r>
    </w:p>
    <w:p w14:paraId="2023C231" w14:textId="77777777" w:rsidR="005F4DCC" w:rsidRPr="005F4DCC" w:rsidRDefault="005F4DCC" w:rsidP="005F4DCC">
      <w:pPr>
        <w:rPr>
          <w:rFonts w:cs="Times New Roman"/>
          <w:sz w:val="20"/>
          <w:szCs w:val="20"/>
        </w:rPr>
      </w:pPr>
      <w:r w:rsidRPr="005F4DCC">
        <w:rPr>
          <w:rFonts w:cs="Times New Roman"/>
          <w:noProof/>
          <w:sz w:val="20"/>
          <w:szCs w:val="20"/>
        </w:rPr>
        <w:lastRenderedPageBreak/>
        <w:drawing>
          <wp:inline distT="0" distB="0" distL="0" distR="0" wp14:anchorId="2B122D58" wp14:editId="73625D09">
            <wp:extent cx="6208395" cy="6515735"/>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ting strateg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08395" cy="6515735"/>
                    </a:xfrm>
                    <a:prstGeom prst="rect">
                      <a:avLst/>
                    </a:prstGeom>
                  </pic:spPr>
                </pic:pic>
              </a:graphicData>
            </a:graphic>
          </wp:inline>
        </w:drawing>
      </w:r>
    </w:p>
    <w:p w14:paraId="16DD855B" w14:textId="77777777" w:rsidR="005F4DCC" w:rsidRPr="005F4DCC" w:rsidRDefault="005F4DCC" w:rsidP="005F4DCC">
      <w:pPr>
        <w:rPr>
          <w:rFonts w:cs="Times New Roman"/>
          <w:sz w:val="20"/>
          <w:szCs w:val="20"/>
        </w:rPr>
      </w:pPr>
      <w:r w:rsidRPr="005F4DCC">
        <w:rPr>
          <w:rFonts w:cs="Times New Roman"/>
          <w:b/>
          <w:sz w:val="20"/>
          <w:szCs w:val="20"/>
        </w:rPr>
        <w:t>Supplementary Figure S2.</w:t>
      </w:r>
      <w:r w:rsidRPr="005F4DCC">
        <w:rPr>
          <w:rFonts w:cs="Times New Roman"/>
          <w:sz w:val="20"/>
          <w:szCs w:val="20"/>
        </w:rPr>
        <w:t xml:space="preserve"> Gating strategies for immune cells. Live singlets were selected based on FSC, SSC and viability staining (</w:t>
      </w:r>
      <w:r w:rsidRPr="005F4DCC">
        <w:rPr>
          <w:rFonts w:cs="Times New Roman"/>
          <w:b/>
          <w:sz w:val="20"/>
          <w:szCs w:val="20"/>
        </w:rPr>
        <w:t>A</w:t>
      </w:r>
      <w:r w:rsidRPr="005F4DCC">
        <w:rPr>
          <w:rFonts w:cs="Times New Roman"/>
          <w:sz w:val="20"/>
          <w:szCs w:val="20"/>
        </w:rPr>
        <w:t>). They were thereafter used for subsequent gatings for T cells and CD4</w:t>
      </w:r>
      <w:r w:rsidRPr="005F4DCC">
        <w:rPr>
          <w:rFonts w:cs="Times New Roman"/>
          <w:sz w:val="20"/>
          <w:szCs w:val="20"/>
          <w:vertAlign w:val="superscript"/>
        </w:rPr>
        <w:t>+</w:t>
      </w:r>
      <w:r w:rsidRPr="005F4DCC">
        <w:rPr>
          <w:rFonts w:cs="Times New Roman"/>
          <w:sz w:val="20"/>
          <w:szCs w:val="20"/>
        </w:rPr>
        <w:t>CD25</w:t>
      </w:r>
      <w:r w:rsidRPr="005F4DCC">
        <w:rPr>
          <w:rFonts w:cs="Times New Roman"/>
          <w:sz w:val="20"/>
          <w:szCs w:val="20"/>
          <w:vertAlign w:val="superscript"/>
        </w:rPr>
        <w:t>+</w:t>
      </w:r>
      <w:r w:rsidRPr="005F4DCC">
        <w:rPr>
          <w:rFonts w:cs="Times New Roman"/>
          <w:sz w:val="20"/>
          <w:szCs w:val="20"/>
        </w:rPr>
        <w:t>Foxp3</w:t>
      </w:r>
      <w:r w:rsidRPr="005F4DCC">
        <w:rPr>
          <w:rFonts w:cs="Times New Roman"/>
          <w:sz w:val="20"/>
          <w:szCs w:val="20"/>
          <w:vertAlign w:val="superscript"/>
        </w:rPr>
        <w:t>+</w:t>
      </w:r>
      <w:r w:rsidRPr="005F4DCC">
        <w:rPr>
          <w:rFonts w:cs="Times New Roman"/>
          <w:sz w:val="20"/>
          <w:szCs w:val="20"/>
        </w:rPr>
        <w:t xml:space="preserve"> Treg cells (</w:t>
      </w:r>
      <w:r w:rsidRPr="005F4DCC">
        <w:rPr>
          <w:rFonts w:cs="Times New Roman"/>
          <w:b/>
          <w:sz w:val="20"/>
          <w:szCs w:val="20"/>
        </w:rPr>
        <w:t>B</w:t>
      </w:r>
      <w:r w:rsidRPr="005F4DCC">
        <w:rPr>
          <w:rFonts w:cs="Times New Roman"/>
          <w:sz w:val="20"/>
          <w:szCs w:val="20"/>
        </w:rPr>
        <w:t>), B cells and CD19</w:t>
      </w:r>
      <w:r w:rsidRPr="005F4DCC">
        <w:rPr>
          <w:rFonts w:cs="Times New Roman"/>
          <w:sz w:val="20"/>
          <w:szCs w:val="20"/>
          <w:vertAlign w:val="superscript"/>
        </w:rPr>
        <w:t>+</w:t>
      </w:r>
      <w:r w:rsidRPr="005F4DCC">
        <w:rPr>
          <w:rFonts w:cs="Times New Roman"/>
          <w:sz w:val="20"/>
          <w:szCs w:val="20"/>
        </w:rPr>
        <w:t>CD1d</w:t>
      </w:r>
      <w:r w:rsidRPr="005F4DCC">
        <w:rPr>
          <w:rFonts w:cs="Times New Roman"/>
          <w:sz w:val="20"/>
          <w:szCs w:val="20"/>
          <w:vertAlign w:val="superscript"/>
        </w:rPr>
        <w:t>+</w:t>
      </w:r>
      <w:r w:rsidRPr="005F4DCC">
        <w:rPr>
          <w:rFonts w:cs="Times New Roman"/>
          <w:sz w:val="20"/>
          <w:szCs w:val="20"/>
        </w:rPr>
        <w:t>CD5</w:t>
      </w:r>
      <w:r w:rsidRPr="005F4DCC">
        <w:rPr>
          <w:rFonts w:cs="Times New Roman"/>
          <w:sz w:val="20"/>
          <w:szCs w:val="20"/>
          <w:vertAlign w:val="superscript"/>
        </w:rPr>
        <w:t>+</w:t>
      </w:r>
      <w:r w:rsidRPr="005F4DCC">
        <w:rPr>
          <w:rFonts w:cs="Times New Roman"/>
          <w:sz w:val="20"/>
          <w:szCs w:val="20"/>
        </w:rPr>
        <w:t xml:space="preserve"> Breg cells (</w:t>
      </w:r>
      <w:r w:rsidRPr="005F4DCC">
        <w:rPr>
          <w:rFonts w:cs="Times New Roman"/>
          <w:b/>
          <w:sz w:val="20"/>
          <w:szCs w:val="20"/>
        </w:rPr>
        <w:t>C</w:t>
      </w:r>
      <w:r w:rsidRPr="005F4DCC">
        <w:rPr>
          <w:rFonts w:cs="Times New Roman"/>
          <w:sz w:val="20"/>
          <w:szCs w:val="20"/>
        </w:rPr>
        <w:t>), MHC-II</w:t>
      </w:r>
      <w:r w:rsidRPr="005F4DCC">
        <w:rPr>
          <w:rFonts w:cs="Times New Roman"/>
          <w:sz w:val="20"/>
          <w:szCs w:val="20"/>
          <w:vertAlign w:val="superscript"/>
        </w:rPr>
        <w:t>+</w:t>
      </w:r>
      <w:r w:rsidRPr="005F4DCC">
        <w:rPr>
          <w:rFonts w:cs="Times New Roman"/>
          <w:sz w:val="20"/>
          <w:szCs w:val="20"/>
        </w:rPr>
        <w:t>CD11c</w:t>
      </w:r>
      <w:r w:rsidRPr="005F4DCC">
        <w:rPr>
          <w:rFonts w:cs="Times New Roman"/>
          <w:sz w:val="20"/>
          <w:szCs w:val="20"/>
          <w:vertAlign w:val="superscript"/>
        </w:rPr>
        <w:t>+</w:t>
      </w:r>
      <w:r w:rsidRPr="005F4DCC">
        <w:rPr>
          <w:rFonts w:cs="Times New Roman"/>
          <w:sz w:val="20"/>
          <w:szCs w:val="20"/>
        </w:rPr>
        <w:t>PDCA-1</w:t>
      </w:r>
      <w:r w:rsidRPr="005F4DCC">
        <w:rPr>
          <w:rFonts w:cs="Times New Roman"/>
          <w:sz w:val="20"/>
          <w:szCs w:val="20"/>
          <w:vertAlign w:val="superscript"/>
        </w:rPr>
        <w:t>+</w:t>
      </w:r>
      <w:r w:rsidRPr="005F4DCC">
        <w:rPr>
          <w:rFonts w:cs="Times New Roman"/>
          <w:sz w:val="20"/>
          <w:szCs w:val="20"/>
        </w:rPr>
        <w:t xml:space="preserve"> plasmacytoid dendritic cells (pDC), MHC-II</w:t>
      </w:r>
      <w:r w:rsidRPr="005F4DCC">
        <w:rPr>
          <w:rFonts w:cs="Times New Roman"/>
          <w:sz w:val="20"/>
          <w:szCs w:val="20"/>
          <w:vertAlign w:val="superscript"/>
        </w:rPr>
        <w:t>+</w:t>
      </w:r>
      <w:r w:rsidRPr="005F4DCC">
        <w:rPr>
          <w:rFonts w:cs="Times New Roman"/>
          <w:sz w:val="20"/>
          <w:szCs w:val="20"/>
        </w:rPr>
        <w:t>CD11c</w:t>
      </w:r>
      <w:r w:rsidRPr="005F4DCC">
        <w:rPr>
          <w:rFonts w:cs="Times New Roman"/>
          <w:sz w:val="20"/>
          <w:szCs w:val="20"/>
          <w:vertAlign w:val="superscript"/>
        </w:rPr>
        <w:t>+</w:t>
      </w:r>
      <w:r w:rsidRPr="005F4DCC">
        <w:rPr>
          <w:rFonts w:cs="Times New Roman"/>
          <w:sz w:val="20"/>
          <w:szCs w:val="20"/>
        </w:rPr>
        <w:t>F4/80</w:t>
      </w:r>
      <w:r w:rsidRPr="005F4DCC">
        <w:rPr>
          <w:rFonts w:cs="Times New Roman"/>
          <w:sz w:val="20"/>
          <w:szCs w:val="20"/>
          <w:vertAlign w:val="superscript"/>
        </w:rPr>
        <w:t>-</w:t>
      </w:r>
      <w:r w:rsidRPr="005F4DCC">
        <w:rPr>
          <w:rFonts w:cs="Times New Roman"/>
          <w:sz w:val="20"/>
          <w:szCs w:val="20"/>
        </w:rPr>
        <w:t>XCR1</w:t>
      </w:r>
      <w:r w:rsidRPr="005F4DCC">
        <w:rPr>
          <w:rFonts w:cs="Times New Roman"/>
          <w:sz w:val="20"/>
          <w:szCs w:val="20"/>
          <w:vertAlign w:val="superscript"/>
        </w:rPr>
        <w:t>+</w:t>
      </w:r>
      <w:r w:rsidRPr="005F4DCC">
        <w:rPr>
          <w:rFonts w:cs="Times New Roman"/>
          <w:sz w:val="20"/>
          <w:szCs w:val="20"/>
        </w:rPr>
        <w:t xml:space="preserve"> conventional dendritic cells type 1 (cDC1) and MHC-II</w:t>
      </w:r>
      <w:r w:rsidRPr="005F4DCC">
        <w:rPr>
          <w:rFonts w:cs="Times New Roman"/>
          <w:sz w:val="20"/>
          <w:szCs w:val="20"/>
          <w:vertAlign w:val="superscript"/>
        </w:rPr>
        <w:t>+</w:t>
      </w:r>
      <w:r w:rsidRPr="005F4DCC">
        <w:rPr>
          <w:rFonts w:cs="Times New Roman"/>
          <w:sz w:val="20"/>
          <w:szCs w:val="20"/>
        </w:rPr>
        <w:t>CD11c</w:t>
      </w:r>
      <w:r w:rsidRPr="005F4DCC">
        <w:rPr>
          <w:rFonts w:cs="Times New Roman"/>
          <w:sz w:val="20"/>
          <w:szCs w:val="20"/>
          <w:vertAlign w:val="superscript"/>
        </w:rPr>
        <w:t>+</w:t>
      </w:r>
      <w:r w:rsidRPr="005F4DCC">
        <w:rPr>
          <w:rFonts w:cs="Times New Roman"/>
          <w:sz w:val="20"/>
          <w:szCs w:val="20"/>
        </w:rPr>
        <w:t>F4/80</w:t>
      </w:r>
      <w:r w:rsidRPr="005F4DCC">
        <w:rPr>
          <w:rFonts w:cs="Times New Roman"/>
          <w:sz w:val="20"/>
          <w:szCs w:val="20"/>
          <w:vertAlign w:val="superscript"/>
        </w:rPr>
        <w:t>-</w:t>
      </w:r>
      <w:r w:rsidRPr="005F4DCC">
        <w:rPr>
          <w:rFonts w:cs="Times New Roman"/>
          <w:sz w:val="20"/>
          <w:szCs w:val="20"/>
        </w:rPr>
        <w:t>CD172a</w:t>
      </w:r>
      <w:r w:rsidRPr="005F4DCC">
        <w:rPr>
          <w:rFonts w:cs="Times New Roman"/>
          <w:sz w:val="20"/>
          <w:szCs w:val="20"/>
          <w:vertAlign w:val="superscript"/>
        </w:rPr>
        <w:t>+</w:t>
      </w:r>
      <w:r w:rsidRPr="005F4DCC">
        <w:rPr>
          <w:rFonts w:cs="Times New Roman"/>
          <w:sz w:val="20"/>
          <w:szCs w:val="20"/>
        </w:rPr>
        <w:t xml:space="preserve"> conventional dendritic cells type 2 (cDC2) (</w:t>
      </w:r>
      <w:r w:rsidRPr="005F4DCC">
        <w:rPr>
          <w:rFonts w:cs="Times New Roman"/>
          <w:b/>
          <w:sz w:val="20"/>
          <w:szCs w:val="20"/>
        </w:rPr>
        <w:t>D</w:t>
      </w:r>
      <w:r w:rsidRPr="005F4DCC">
        <w:rPr>
          <w:rFonts w:cs="Times New Roman"/>
          <w:sz w:val="20"/>
          <w:szCs w:val="20"/>
        </w:rPr>
        <w:t>), and CD11b</w:t>
      </w:r>
      <w:r w:rsidRPr="005F4DCC">
        <w:rPr>
          <w:rFonts w:cs="Times New Roman"/>
          <w:sz w:val="20"/>
          <w:szCs w:val="20"/>
          <w:vertAlign w:val="superscript"/>
        </w:rPr>
        <w:t>+</w:t>
      </w:r>
      <w:r w:rsidRPr="005F4DCC">
        <w:rPr>
          <w:rFonts w:cs="Times New Roman"/>
          <w:sz w:val="20"/>
          <w:szCs w:val="20"/>
        </w:rPr>
        <w:t>F4/80</w:t>
      </w:r>
      <w:r w:rsidRPr="005F4DCC">
        <w:rPr>
          <w:rFonts w:cs="Times New Roman"/>
          <w:sz w:val="20"/>
          <w:szCs w:val="20"/>
          <w:vertAlign w:val="superscript"/>
        </w:rPr>
        <w:t>+</w:t>
      </w:r>
      <w:r w:rsidRPr="005F4DCC">
        <w:rPr>
          <w:rFonts w:cs="Times New Roman"/>
          <w:sz w:val="20"/>
          <w:szCs w:val="20"/>
        </w:rPr>
        <w:t xml:space="preserve"> macrophages (</w:t>
      </w:r>
      <w:r w:rsidRPr="005F4DCC">
        <w:rPr>
          <w:rFonts w:cs="Times New Roman"/>
          <w:b/>
          <w:sz w:val="20"/>
          <w:szCs w:val="20"/>
        </w:rPr>
        <w:t>E</w:t>
      </w:r>
      <w:r w:rsidRPr="005F4DCC">
        <w:rPr>
          <w:rFonts w:cs="Times New Roman"/>
          <w:sz w:val="20"/>
          <w:szCs w:val="20"/>
        </w:rPr>
        <w:t xml:space="preserve">). The representative gatings were done on the spleen of a STZ mouse. </w:t>
      </w:r>
    </w:p>
    <w:p w14:paraId="4B51A656" w14:textId="77777777" w:rsidR="005F4DCC" w:rsidRPr="005F4DCC" w:rsidRDefault="005F4DCC" w:rsidP="005F4DCC">
      <w:pPr>
        <w:rPr>
          <w:rFonts w:cs="Times New Roman"/>
          <w:sz w:val="20"/>
          <w:szCs w:val="20"/>
        </w:rPr>
      </w:pPr>
      <w:r w:rsidRPr="005F4DCC">
        <w:rPr>
          <w:rFonts w:cs="Times New Roman"/>
          <w:sz w:val="20"/>
          <w:szCs w:val="20"/>
        </w:rPr>
        <w:br w:type="page"/>
      </w:r>
    </w:p>
    <w:p w14:paraId="16670683" w14:textId="77777777" w:rsidR="005F4DCC" w:rsidRPr="005F4DCC" w:rsidRDefault="005F4DCC" w:rsidP="005F4DCC">
      <w:pPr>
        <w:rPr>
          <w:rFonts w:cs="Times New Roman"/>
          <w:sz w:val="20"/>
          <w:szCs w:val="20"/>
        </w:rPr>
      </w:pPr>
      <w:r w:rsidRPr="005F4DCC">
        <w:rPr>
          <w:rFonts w:cs="Times New Roman"/>
          <w:noProof/>
          <w:sz w:val="20"/>
          <w:szCs w:val="20"/>
        </w:rPr>
        <w:lastRenderedPageBreak/>
        <w:drawing>
          <wp:inline distT="0" distB="0" distL="0" distR="0" wp14:anchorId="1F981AD5" wp14:editId="294A1AE6">
            <wp:extent cx="4983480" cy="6861048"/>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FN-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83480" cy="6861048"/>
                    </a:xfrm>
                    <a:prstGeom prst="rect">
                      <a:avLst/>
                    </a:prstGeom>
                  </pic:spPr>
                </pic:pic>
              </a:graphicData>
            </a:graphic>
          </wp:inline>
        </w:drawing>
      </w:r>
    </w:p>
    <w:p w14:paraId="09719E31" w14:textId="77777777" w:rsidR="005F4DCC" w:rsidRPr="005F4DCC" w:rsidRDefault="005F4DCC" w:rsidP="005F4DCC">
      <w:pPr>
        <w:rPr>
          <w:rFonts w:cs="Times New Roman"/>
          <w:sz w:val="20"/>
          <w:szCs w:val="20"/>
        </w:rPr>
      </w:pPr>
      <w:r w:rsidRPr="005F4DCC">
        <w:rPr>
          <w:rFonts w:cs="Times New Roman"/>
          <w:b/>
          <w:sz w:val="20"/>
          <w:szCs w:val="20"/>
        </w:rPr>
        <w:t>Supplementary Figure S3.</w:t>
      </w:r>
      <w:r w:rsidRPr="005F4DCC">
        <w:rPr>
          <w:rFonts w:cs="Times New Roman"/>
          <w:sz w:val="20"/>
          <w:szCs w:val="20"/>
        </w:rPr>
        <w:t xml:space="preserve"> Representative plots of IFN-γ staining of isotype or fully stained samples. Plots of gated CD4</w:t>
      </w:r>
      <w:r w:rsidRPr="005F4DCC">
        <w:rPr>
          <w:rFonts w:cs="Times New Roman"/>
          <w:sz w:val="20"/>
          <w:szCs w:val="20"/>
          <w:vertAlign w:val="superscript"/>
        </w:rPr>
        <w:t>+</w:t>
      </w:r>
      <w:r w:rsidRPr="005F4DCC">
        <w:rPr>
          <w:rFonts w:cs="Times New Roman"/>
          <w:sz w:val="20"/>
          <w:szCs w:val="20"/>
        </w:rPr>
        <w:t>CD25</w:t>
      </w:r>
      <w:r w:rsidRPr="005F4DCC">
        <w:rPr>
          <w:rFonts w:cs="Times New Roman"/>
          <w:sz w:val="20"/>
          <w:szCs w:val="20"/>
          <w:vertAlign w:val="superscript"/>
        </w:rPr>
        <w:t>-</w:t>
      </w:r>
      <w:r w:rsidRPr="005F4DCC">
        <w:rPr>
          <w:rFonts w:cs="Times New Roman"/>
          <w:sz w:val="20"/>
          <w:szCs w:val="20"/>
        </w:rPr>
        <w:t xml:space="preserve"> T cells (top), CD8</w:t>
      </w:r>
      <w:r w:rsidRPr="005F4DCC">
        <w:rPr>
          <w:rFonts w:cs="Times New Roman"/>
          <w:sz w:val="20"/>
          <w:szCs w:val="20"/>
          <w:vertAlign w:val="superscript"/>
        </w:rPr>
        <w:t>+</w:t>
      </w:r>
      <w:r w:rsidRPr="005F4DCC">
        <w:rPr>
          <w:rFonts w:cs="Times New Roman"/>
          <w:sz w:val="20"/>
          <w:szCs w:val="20"/>
        </w:rPr>
        <w:t xml:space="preserve"> T cells (middle) and Treg cells (bottom) are shown. The representative gatings were done on the spleen of a STZ mouse.</w:t>
      </w:r>
    </w:p>
    <w:p w14:paraId="66CE8608" w14:textId="77777777" w:rsidR="005F4DCC" w:rsidRPr="005F4DCC" w:rsidRDefault="005F4DCC" w:rsidP="005F4DCC">
      <w:pPr>
        <w:rPr>
          <w:rFonts w:cs="Times New Roman"/>
          <w:sz w:val="20"/>
          <w:szCs w:val="20"/>
        </w:rPr>
      </w:pPr>
      <w:r w:rsidRPr="005F4DCC">
        <w:rPr>
          <w:rFonts w:cs="Times New Roman"/>
          <w:sz w:val="20"/>
          <w:szCs w:val="20"/>
        </w:rPr>
        <w:br w:type="page"/>
      </w:r>
    </w:p>
    <w:p w14:paraId="1BF8BEA5" w14:textId="77777777" w:rsidR="005F4DCC" w:rsidRPr="005F4DCC" w:rsidRDefault="005F4DCC" w:rsidP="005F4DCC">
      <w:pPr>
        <w:rPr>
          <w:rFonts w:cs="Times New Roman"/>
          <w:sz w:val="20"/>
          <w:szCs w:val="20"/>
        </w:rPr>
      </w:pPr>
      <w:r w:rsidRPr="005F4DCC">
        <w:rPr>
          <w:rFonts w:cs="Times New Roman"/>
          <w:noProof/>
          <w:sz w:val="20"/>
          <w:szCs w:val="20"/>
        </w:rPr>
        <w:lastRenderedPageBreak/>
        <w:drawing>
          <wp:inline distT="0" distB="0" distL="0" distR="0" wp14:anchorId="1AF6A1E7" wp14:editId="02ADE52D">
            <wp:extent cx="5029200" cy="68610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D8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29200" cy="6861048"/>
                    </a:xfrm>
                    <a:prstGeom prst="rect">
                      <a:avLst/>
                    </a:prstGeom>
                  </pic:spPr>
                </pic:pic>
              </a:graphicData>
            </a:graphic>
          </wp:inline>
        </w:drawing>
      </w:r>
    </w:p>
    <w:p w14:paraId="30B67C56" w14:textId="77777777" w:rsidR="005F4DCC" w:rsidRPr="005F4DCC" w:rsidRDefault="005F4DCC" w:rsidP="005F4DCC">
      <w:pPr>
        <w:rPr>
          <w:rFonts w:cs="Times New Roman"/>
          <w:sz w:val="20"/>
          <w:szCs w:val="20"/>
        </w:rPr>
      </w:pPr>
      <w:r w:rsidRPr="005F4DCC">
        <w:rPr>
          <w:rFonts w:cs="Times New Roman"/>
          <w:b/>
          <w:sz w:val="20"/>
          <w:szCs w:val="20"/>
        </w:rPr>
        <w:t>Supplementary Figure S4.</w:t>
      </w:r>
      <w:r w:rsidRPr="005F4DCC">
        <w:rPr>
          <w:rFonts w:cs="Times New Roman"/>
          <w:sz w:val="20"/>
          <w:szCs w:val="20"/>
        </w:rPr>
        <w:t xml:space="preserve"> Representative plots of CD80 staining of isotype or fully stained samples. Plots of gated macrophages (top), cCD1s (middle) and cDC2s (bottom) are shown. The representative gatings were done on the spleen of a STZ mouse.</w:t>
      </w:r>
    </w:p>
    <w:p w14:paraId="63CCB227" w14:textId="77777777" w:rsidR="005F4DCC" w:rsidRPr="005F4DCC" w:rsidRDefault="005F4DCC" w:rsidP="005F4DCC">
      <w:pPr>
        <w:rPr>
          <w:rFonts w:cs="Times New Roman"/>
          <w:sz w:val="20"/>
          <w:szCs w:val="20"/>
        </w:rPr>
      </w:pPr>
      <w:r w:rsidRPr="005F4DCC">
        <w:rPr>
          <w:rFonts w:cs="Times New Roman"/>
          <w:sz w:val="20"/>
          <w:szCs w:val="20"/>
        </w:rPr>
        <w:br w:type="page"/>
      </w:r>
    </w:p>
    <w:p w14:paraId="3EDB63E0" w14:textId="77777777" w:rsidR="005F4DCC" w:rsidRPr="005F4DCC" w:rsidRDefault="005F4DCC" w:rsidP="005F4DCC">
      <w:pPr>
        <w:rPr>
          <w:rFonts w:cs="Times New Roman"/>
          <w:sz w:val="20"/>
          <w:szCs w:val="20"/>
        </w:rPr>
      </w:pPr>
      <w:r w:rsidRPr="005F4DCC">
        <w:rPr>
          <w:rFonts w:cs="Times New Roman"/>
          <w:noProof/>
          <w:sz w:val="20"/>
          <w:szCs w:val="20"/>
        </w:rPr>
        <w:lastRenderedPageBreak/>
        <w:drawing>
          <wp:inline distT="0" distB="0" distL="0" distR="0" wp14:anchorId="643DA30C" wp14:editId="2BA4E9F1">
            <wp:extent cx="6208395" cy="99695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sulitis imag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08395" cy="996950"/>
                    </a:xfrm>
                    <a:prstGeom prst="rect">
                      <a:avLst/>
                    </a:prstGeom>
                  </pic:spPr>
                </pic:pic>
              </a:graphicData>
            </a:graphic>
          </wp:inline>
        </w:drawing>
      </w:r>
    </w:p>
    <w:p w14:paraId="01935CD3" w14:textId="77777777" w:rsidR="005F4DCC" w:rsidRPr="005F4DCC" w:rsidRDefault="005F4DCC" w:rsidP="005F4DCC">
      <w:pPr>
        <w:rPr>
          <w:rFonts w:cs="Times New Roman"/>
          <w:sz w:val="20"/>
          <w:szCs w:val="20"/>
        </w:rPr>
      </w:pPr>
      <w:r w:rsidRPr="005F4DCC">
        <w:rPr>
          <w:rFonts w:cs="Times New Roman"/>
          <w:b/>
          <w:sz w:val="20"/>
          <w:szCs w:val="20"/>
        </w:rPr>
        <w:t>Supplementary Figure S5.</w:t>
      </w:r>
      <w:r w:rsidRPr="005F4DCC">
        <w:rPr>
          <w:rFonts w:cs="Times New Roman"/>
          <w:sz w:val="20"/>
          <w:szCs w:val="20"/>
        </w:rPr>
        <w:t xml:space="preserve"> Representative images of insulitis. Brown color indicates staining for insulin. Red arrows point to immune cell infiltration in the islet.  </w:t>
      </w:r>
    </w:p>
    <w:p w14:paraId="0D5CB2F8" w14:textId="77777777" w:rsidR="005F4DCC" w:rsidRPr="005F4DCC" w:rsidRDefault="005F4DCC" w:rsidP="005F4DCC">
      <w:pPr>
        <w:rPr>
          <w:rFonts w:cs="Times New Roman"/>
          <w:sz w:val="20"/>
          <w:szCs w:val="20"/>
        </w:rPr>
      </w:pPr>
      <w:r w:rsidRPr="005F4DCC">
        <w:rPr>
          <w:rFonts w:cs="Times New Roman"/>
          <w:sz w:val="20"/>
          <w:szCs w:val="20"/>
        </w:rPr>
        <w:br w:type="page"/>
      </w:r>
    </w:p>
    <w:p w14:paraId="384A7CEF" w14:textId="77777777" w:rsidR="005F4DCC" w:rsidRPr="005F4DCC" w:rsidRDefault="005F4DCC" w:rsidP="005F4DCC">
      <w:pPr>
        <w:rPr>
          <w:rFonts w:cs="Times New Roman"/>
          <w:sz w:val="20"/>
          <w:szCs w:val="20"/>
        </w:rPr>
      </w:pPr>
      <w:r w:rsidRPr="005F4DCC">
        <w:rPr>
          <w:rFonts w:cs="Times New Roman"/>
          <w:noProof/>
          <w:sz w:val="20"/>
          <w:szCs w:val="20"/>
        </w:rPr>
        <w:lastRenderedPageBreak/>
        <w:drawing>
          <wp:inline distT="0" distB="0" distL="0" distR="0" wp14:anchorId="70AF8037" wp14:editId="17D6AAA1">
            <wp:extent cx="6208395" cy="2188210"/>
            <wp:effectExtent l="0" t="0" r="190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G uIL-2 + IL-35 vs IL-3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08395" cy="2188210"/>
                    </a:xfrm>
                    <a:prstGeom prst="rect">
                      <a:avLst/>
                    </a:prstGeom>
                  </pic:spPr>
                </pic:pic>
              </a:graphicData>
            </a:graphic>
          </wp:inline>
        </w:drawing>
      </w:r>
    </w:p>
    <w:p w14:paraId="1CA79B94" w14:textId="77777777" w:rsidR="005F4DCC" w:rsidRPr="005F4DCC" w:rsidRDefault="005F4DCC" w:rsidP="005F4DCC">
      <w:pPr>
        <w:rPr>
          <w:rFonts w:cs="Times New Roman"/>
          <w:sz w:val="20"/>
          <w:szCs w:val="20"/>
        </w:rPr>
      </w:pPr>
      <w:r w:rsidRPr="005F4DCC">
        <w:rPr>
          <w:rFonts w:cs="Times New Roman"/>
          <w:b/>
          <w:sz w:val="20"/>
          <w:szCs w:val="20"/>
        </w:rPr>
        <w:t>Supplementary Figure S6.</w:t>
      </w:r>
      <w:r w:rsidRPr="005F4DCC">
        <w:rPr>
          <w:rFonts w:cs="Times New Roman"/>
          <w:sz w:val="20"/>
          <w:szCs w:val="20"/>
        </w:rPr>
        <w:t xml:space="preserve"> Comparison of the preventing hyperglycemia between uIL-2 + IL-35 and IL-35. Male CD-1 mice were injected with STZ or saline for 5 consecutive days and injected daily with uIL-2 + IL-35, IL-35 and PBS for the next 8 days. Blood glucose was measured daily (left panel). Repeated measurement two-way ANOVA followed by Tukey’s test was performed, asterisks show the difference between uIL-2 + IL-35 and IL-35. Mice with blood glucose higher than 11.1 mmol/L were considered diabetic, and the percentages of diabetes free mice are shown (right panel). Log-rank test followed by Bonferroni correction was performed. Results are shown as mean ± SEM. * and *** denote p&lt;0.05 and p&lt;0.001 respectively. The IL-35 treatment experiment was performed by us at the same time as other treatment groups, and the blood glucose data of vehicle and IL-35 groups were previously published in reference (14). They were thereafter re-analyzed and compared with other treatment groups. (n=6)</w:t>
      </w:r>
    </w:p>
    <w:p w14:paraId="65084824" w14:textId="77777777" w:rsidR="005F4DCC" w:rsidRPr="005F4DCC" w:rsidRDefault="005F4DCC" w:rsidP="005F4DCC">
      <w:pPr>
        <w:rPr>
          <w:rFonts w:cs="Times New Roman"/>
          <w:sz w:val="20"/>
          <w:szCs w:val="20"/>
        </w:rPr>
      </w:pPr>
      <w:r w:rsidRPr="005F4DCC">
        <w:rPr>
          <w:rFonts w:cs="Times New Roman"/>
          <w:sz w:val="20"/>
          <w:szCs w:val="20"/>
        </w:rPr>
        <w:br w:type="page"/>
      </w:r>
      <w:r w:rsidRPr="005F4DCC">
        <w:rPr>
          <w:rFonts w:cs="Times New Roman"/>
          <w:noProof/>
          <w:sz w:val="20"/>
          <w:szCs w:val="20"/>
        </w:rPr>
        <w:lastRenderedPageBreak/>
        <w:drawing>
          <wp:inline distT="0" distB="0" distL="0" distR="0" wp14:anchorId="215CA4A7" wp14:editId="7A255D0D">
            <wp:extent cx="6208395" cy="632523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vision old CD25 Foxp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08395" cy="6325235"/>
                    </a:xfrm>
                    <a:prstGeom prst="rect">
                      <a:avLst/>
                    </a:prstGeom>
                  </pic:spPr>
                </pic:pic>
              </a:graphicData>
            </a:graphic>
          </wp:inline>
        </w:drawing>
      </w:r>
    </w:p>
    <w:p w14:paraId="09C482F2" w14:textId="77777777" w:rsidR="005F4DCC" w:rsidRPr="005F4DCC" w:rsidRDefault="005F4DCC" w:rsidP="005F4DCC">
      <w:pPr>
        <w:rPr>
          <w:rFonts w:cs="Times New Roman"/>
          <w:sz w:val="20"/>
          <w:szCs w:val="20"/>
        </w:rPr>
      </w:pPr>
      <w:r w:rsidRPr="005F4DCC">
        <w:rPr>
          <w:rFonts w:cs="Times New Roman"/>
          <w:b/>
          <w:sz w:val="20"/>
          <w:szCs w:val="20"/>
        </w:rPr>
        <w:t>Supplementary Figure S7.</w:t>
      </w:r>
      <w:r w:rsidRPr="005F4DCC">
        <w:rPr>
          <w:rFonts w:cs="Times New Roman"/>
          <w:sz w:val="20"/>
          <w:szCs w:val="20"/>
        </w:rPr>
        <w:t xml:space="preserve"> Foxp3 MFI and CD25</w:t>
      </w:r>
      <w:r w:rsidRPr="005F4DCC">
        <w:rPr>
          <w:rFonts w:cs="Times New Roman"/>
          <w:sz w:val="20"/>
          <w:szCs w:val="20"/>
          <w:vertAlign w:val="superscript"/>
        </w:rPr>
        <w:t>+</w:t>
      </w:r>
      <w:r w:rsidRPr="005F4DCC">
        <w:rPr>
          <w:rFonts w:cs="Times New Roman"/>
          <w:sz w:val="20"/>
          <w:szCs w:val="20"/>
        </w:rPr>
        <w:t xml:space="preserve"> cell proportions. Foxp3 MFI in CD4</w:t>
      </w:r>
      <w:r w:rsidRPr="005F4DCC">
        <w:rPr>
          <w:rFonts w:cs="Times New Roman"/>
          <w:sz w:val="20"/>
          <w:szCs w:val="20"/>
          <w:vertAlign w:val="superscript"/>
        </w:rPr>
        <w:t>+</w:t>
      </w:r>
      <w:r w:rsidRPr="005F4DCC">
        <w:rPr>
          <w:rFonts w:cs="Times New Roman"/>
          <w:sz w:val="20"/>
          <w:szCs w:val="20"/>
        </w:rPr>
        <w:t xml:space="preserve"> T cells (A) and Treg cells (B), the proportions of CD25</w:t>
      </w:r>
      <w:r w:rsidRPr="005F4DCC">
        <w:rPr>
          <w:rFonts w:cs="Times New Roman"/>
          <w:sz w:val="20"/>
          <w:szCs w:val="20"/>
          <w:vertAlign w:val="superscript"/>
        </w:rPr>
        <w:t>+</w:t>
      </w:r>
      <w:r w:rsidRPr="005F4DCC">
        <w:rPr>
          <w:rFonts w:cs="Times New Roman"/>
          <w:sz w:val="20"/>
          <w:szCs w:val="20"/>
        </w:rPr>
        <w:t xml:space="preserve"> cells among CD4</w:t>
      </w:r>
      <w:r w:rsidRPr="005F4DCC">
        <w:rPr>
          <w:rFonts w:cs="Times New Roman"/>
          <w:sz w:val="20"/>
          <w:szCs w:val="20"/>
          <w:vertAlign w:val="superscript"/>
        </w:rPr>
        <w:t>+</w:t>
      </w:r>
      <w:r w:rsidRPr="005F4DCC">
        <w:rPr>
          <w:rFonts w:cs="Times New Roman"/>
          <w:sz w:val="20"/>
          <w:szCs w:val="20"/>
        </w:rPr>
        <w:t xml:space="preserve"> T cells (C) and CD4</w:t>
      </w:r>
      <w:r w:rsidRPr="005F4DCC">
        <w:rPr>
          <w:rFonts w:cs="Times New Roman"/>
          <w:sz w:val="20"/>
          <w:szCs w:val="20"/>
          <w:vertAlign w:val="superscript"/>
        </w:rPr>
        <w:t>+</w:t>
      </w:r>
      <w:r w:rsidRPr="005F4DCC">
        <w:rPr>
          <w:rFonts w:cs="Times New Roman"/>
          <w:sz w:val="20"/>
          <w:szCs w:val="20"/>
        </w:rPr>
        <w:t>Foxp3</w:t>
      </w:r>
      <w:r w:rsidRPr="005F4DCC">
        <w:rPr>
          <w:rFonts w:cs="Times New Roman"/>
          <w:sz w:val="20"/>
          <w:szCs w:val="20"/>
          <w:vertAlign w:val="superscript"/>
        </w:rPr>
        <w:t>+</w:t>
      </w:r>
      <w:r w:rsidRPr="005F4DCC">
        <w:rPr>
          <w:rFonts w:cs="Times New Roman"/>
          <w:sz w:val="20"/>
          <w:szCs w:val="20"/>
        </w:rPr>
        <w:t xml:space="preserve"> cells (D) are shown. One-way ANOVA followed by Tukey’s test was performed. Results are shown as mean ± SEM. * and ** denote p&lt;0.05 and p&lt;0.01 respectively.  </w:t>
      </w:r>
      <w:r w:rsidRPr="005F4DCC">
        <w:rPr>
          <w:rFonts w:cs="Times New Roman"/>
          <w:sz w:val="20"/>
          <w:szCs w:val="20"/>
        </w:rPr>
        <w:br w:type="page"/>
      </w:r>
    </w:p>
    <w:p w14:paraId="52E026AD" w14:textId="77777777" w:rsidR="005F4DCC" w:rsidRPr="005F4DCC" w:rsidRDefault="005F4DCC" w:rsidP="005F4DCC">
      <w:pPr>
        <w:rPr>
          <w:rFonts w:cs="Times New Roman"/>
          <w:sz w:val="20"/>
          <w:szCs w:val="20"/>
        </w:rPr>
      </w:pPr>
      <w:r w:rsidRPr="005F4DCC">
        <w:rPr>
          <w:rFonts w:cs="Times New Roman"/>
          <w:noProof/>
          <w:sz w:val="20"/>
          <w:szCs w:val="20"/>
        </w:rPr>
        <w:lastRenderedPageBreak/>
        <w:drawing>
          <wp:inline distT="0" distB="0" distL="0" distR="0" wp14:anchorId="066FB962" wp14:editId="0727893F">
            <wp:extent cx="4629912" cy="73243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vision new CD25 Foxp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29912" cy="7324344"/>
                    </a:xfrm>
                    <a:prstGeom prst="rect">
                      <a:avLst/>
                    </a:prstGeom>
                  </pic:spPr>
                </pic:pic>
              </a:graphicData>
            </a:graphic>
          </wp:inline>
        </w:drawing>
      </w:r>
    </w:p>
    <w:p w14:paraId="7C388D7D" w14:textId="77777777" w:rsidR="005F4DCC" w:rsidRPr="005F4DCC" w:rsidRDefault="005F4DCC" w:rsidP="005F4DCC">
      <w:pPr>
        <w:rPr>
          <w:rFonts w:cs="Times New Roman"/>
          <w:sz w:val="20"/>
          <w:szCs w:val="20"/>
        </w:rPr>
      </w:pPr>
      <w:r w:rsidRPr="005F4DCC">
        <w:rPr>
          <w:rFonts w:cs="Times New Roman"/>
          <w:b/>
          <w:sz w:val="20"/>
          <w:szCs w:val="20"/>
        </w:rPr>
        <w:t>Supplementary Figure S8.</w:t>
      </w:r>
      <w:r w:rsidRPr="005F4DCC">
        <w:rPr>
          <w:rFonts w:cs="Times New Roman"/>
          <w:sz w:val="20"/>
          <w:szCs w:val="20"/>
        </w:rPr>
        <w:t xml:space="preserve"> ldIL-2 partially increases CD25</w:t>
      </w:r>
      <w:r w:rsidRPr="005F4DCC">
        <w:rPr>
          <w:rFonts w:cs="Times New Roman"/>
          <w:sz w:val="20"/>
          <w:szCs w:val="20"/>
          <w:vertAlign w:val="superscript"/>
        </w:rPr>
        <w:t>+</w:t>
      </w:r>
      <w:r w:rsidRPr="005F4DCC">
        <w:rPr>
          <w:rFonts w:cs="Times New Roman"/>
          <w:sz w:val="20"/>
          <w:szCs w:val="20"/>
        </w:rPr>
        <w:t xml:space="preserve"> cell proportions. Foxp3 MFI in CD4</w:t>
      </w:r>
      <w:r w:rsidRPr="005F4DCC">
        <w:rPr>
          <w:rFonts w:cs="Times New Roman"/>
          <w:sz w:val="20"/>
          <w:szCs w:val="20"/>
          <w:vertAlign w:val="superscript"/>
        </w:rPr>
        <w:t>+</w:t>
      </w:r>
      <w:r w:rsidRPr="005F4DCC">
        <w:rPr>
          <w:rFonts w:cs="Times New Roman"/>
          <w:sz w:val="20"/>
          <w:szCs w:val="20"/>
        </w:rPr>
        <w:t xml:space="preserve"> T cells (A) and Treg cells (B), the proportions of CD25</w:t>
      </w:r>
      <w:r w:rsidRPr="005F4DCC">
        <w:rPr>
          <w:rFonts w:cs="Times New Roman"/>
          <w:sz w:val="20"/>
          <w:szCs w:val="20"/>
          <w:vertAlign w:val="superscript"/>
        </w:rPr>
        <w:t>+</w:t>
      </w:r>
      <w:r w:rsidRPr="005F4DCC">
        <w:rPr>
          <w:rFonts w:cs="Times New Roman"/>
          <w:sz w:val="20"/>
          <w:szCs w:val="20"/>
        </w:rPr>
        <w:t xml:space="preserve"> cells among CD4</w:t>
      </w:r>
      <w:r w:rsidRPr="005F4DCC">
        <w:rPr>
          <w:rFonts w:cs="Times New Roman"/>
          <w:sz w:val="20"/>
          <w:szCs w:val="20"/>
          <w:vertAlign w:val="superscript"/>
        </w:rPr>
        <w:t>+</w:t>
      </w:r>
      <w:r w:rsidRPr="005F4DCC">
        <w:rPr>
          <w:rFonts w:cs="Times New Roman"/>
          <w:sz w:val="20"/>
          <w:szCs w:val="20"/>
        </w:rPr>
        <w:t xml:space="preserve"> T cells (C) and CD4</w:t>
      </w:r>
      <w:r w:rsidRPr="005F4DCC">
        <w:rPr>
          <w:rFonts w:cs="Times New Roman"/>
          <w:sz w:val="20"/>
          <w:szCs w:val="20"/>
          <w:vertAlign w:val="superscript"/>
        </w:rPr>
        <w:t>+</w:t>
      </w:r>
      <w:r w:rsidRPr="005F4DCC">
        <w:rPr>
          <w:rFonts w:cs="Times New Roman"/>
          <w:sz w:val="20"/>
          <w:szCs w:val="20"/>
        </w:rPr>
        <w:t>Foxp3</w:t>
      </w:r>
      <w:r w:rsidRPr="005F4DCC">
        <w:rPr>
          <w:rFonts w:cs="Times New Roman"/>
          <w:sz w:val="20"/>
          <w:szCs w:val="20"/>
          <w:vertAlign w:val="superscript"/>
        </w:rPr>
        <w:t>+</w:t>
      </w:r>
      <w:r w:rsidRPr="005F4DCC">
        <w:rPr>
          <w:rFonts w:cs="Times New Roman"/>
          <w:sz w:val="20"/>
          <w:szCs w:val="20"/>
        </w:rPr>
        <w:t xml:space="preserve"> cells (D) are shown. Unpaired t test was performed. Results are shown as mean ± SEM. * denotes p&lt;0.05.</w:t>
      </w:r>
      <w:r w:rsidRPr="005F4DCC">
        <w:rPr>
          <w:rFonts w:cs="Times New Roman"/>
          <w:sz w:val="20"/>
          <w:szCs w:val="20"/>
        </w:rPr>
        <w:br w:type="page"/>
      </w:r>
    </w:p>
    <w:p w14:paraId="20990207" w14:textId="77777777" w:rsidR="005F4DCC" w:rsidRPr="005F4DCC" w:rsidRDefault="005F4DCC" w:rsidP="005F4DCC">
      <w:pPr>
        <w:rPr>
          <w:rFonts w:cs="Times New Roman"/>
          <w:sz w:val="20"/>
          <w:szCs w:val="20"/>
        </w:rPr>
      </w:pPr>
      <w:r w:rsidRPr="005F4DCC">
        <w:rPr>
          <w:rFonts w:cs="Times New Roman"/>
          <w:noProof/>
          <w:sz w:val="20"/>
          <w:szCs w:val="20"/>
        </w:rPr>
        <w:lastRenderedPageBreak/>
        <w:drawing>
          <wp:inline distT="0" distB="0" distL="0" distR="0" wp14:anchorId="12C8E28C" wp14:editId="3FA7D23A">
            <wp:extent cx="4645152" cy="7321296"/>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N-g IL-10 sup.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45152" cy="7321296"/>
                    </a:xfrm>
                    <a:prstGeom prst="rect">
                      <a:avLst/>
                    </a:prstGeom>
                  </pic:spPr>
                </pic:pic>
              </a:graphicData>
            </a:graphic>
          </wp:inline>
        </w:drawing>
      </w:r>
    </w:p>
    <w:p w14:paraId="28EF85B6" w14:textId="77777777" w:rsidR="005F4DCC" w:rsidRPr="005F4DCC" w:rsidRDefault="005F4DCC" w:rsidP="005F4DCC">
      <w:pPr>
        <w:rPr>
          <w:rFonts w:cs="Times New Roman"/>
          <w:b/>
          <w:sz w:val="20"/>
          <w:szCs w:val="20"/>
        </w:rPr>
      </w:pPr>
      <w:r w:rsidRPr="005F4DCC">
        <w:rPr>
          <w:rFonts w:cs="Times New Roman"/>
          <w:b/>
          <w:sz w:val="20"/>
          <w:szCs w:val="20"/>
        </w:rPr>
        <w:t>Supplementary Figure S9.</w:t>
      </w:r>
      <w:r w:rsidRPr="005F4DCC">
        <w:rPr>
          <w:rFonts w:cs="Times New Roman"/>
          <w:sz w:val="20"/>
          <w:szCs w:val="20"/>
        </w:rPr>
        <w:t xml:space="preserve"> ldIL-2 does not change the phenotype of CD8</w:t>
      </w:r>
      <w:r w:rsidRPr="005F4DCC">
        <w:rPr>
          <w:rFonts w:cs="Times New Roman"/>
          <w:sz w:val="20"/>
          <w:szCs w:val="20"/>
          <w:vertAlign w:val="superscript"/>
        </w:rPr>
        <w:t>+</w:t>
      </w:r>
      <w:r w:rsidRPr="005F4DCC">
        <w:rPr>
          <w:rFonts w:cs="Times New Roman"/>
          <w:sz w:val="20"/>
          <w:szCs w:val="20"/>
        </w:rPr>
        <w:t xml:space="preserve"> T cells, Treg cells and Breg cells. No difference was seen in the thymus, PDLN and spleen in the proportions of CD8</w:t>
      </w:r>
      <w:r w:rsidRPr="005F4DCC">
        <w:rPr>
          <w:rFonts w:cs="Times New Roman"/>
          <w:sz w:val="20"/>
          <w:szCs w:val="20"/>
          <w:vertAlign w:val="superscript"/>
        </w:rPr>
        <w:t>+</w:t>
      </w:r>
      <w:r w:rsidRPr="005F4DCC">
        <w:rPr>
          <w:rFonts w:cs="Times New Roman"/>
          <w:sz w:val="20"/>
          <w:szCs w:val="20"/>
        </w:rPr>
        <w:t xml:space="preserve"> T cells (A), IFN-γ MFI in CD8</w:t>
      </w:r>
      <w:r w:rsidRPr="005F4DCC">
        <w:rPr>
          <w:rFonts w:cs="Times New Roman"/>
          <w:sz w:val="20"/>
          <w:szCs w:val="20"/>
          <w:vertAlign w:val="superscript"/>
        </w:rPr>
        <w:t>+</w:t>
      </w:r>
      <w:r w:rsidRPr="005F4DCC">
        <w:rPr>
          <w:rFonts w:cs="Times New Roman"/>
          <w:sz w:val="20"/>
          <w:szCs w:val="20"/>
        </w:rPr>
        <w:t xml:space="preserve"> T cells (B) and Treg cells (C), and IL-10 MFI in Breg cells (D).  </w:t>
      </w:r>
    </w:p>
    <w:p w14:paraId="07E94F51" w14:textId="77777777" w:rsidR="005F4DCC" w:rsidRPr="005F4DCC" w:rsidRDefault="005F4DCC" w:rsidP="005F4DCC">
      <w:pPr>
        <w:rPr>
          <w:rFonts w:cs="Times New Roman"/>
          <w:sz w:val="20"/>
          <w:szCs w:val="20"/>
        </w:rPr>
      </w:pPr>
    </w:p>
    <w:p w14:paraId="7FD7A919" w14:textId="77777777" w:rsidR="005F4DCC" w:rsidRPr="005F4DCC" w:rsidRDefault="005F4DCC" w:rsidP="006B2D5B">
      <w:pPr>
        <w:rPr>
          <w:rFonts w:cs="Times New Roman"/>
          <w:sz w:val="20"/>
          <w:szCs w:val="20"/>
        </w:rPr>
      </w:pPr>
    </w:p>
    <w:sectPr w:rsidR="005F4DCC" w:rsidRPr="005F4DCC" w:rsidSect="00D537FA">
      <w:footerReference w:type="even" r:id="rId21"/>
      <w:footerReference w:type="default" r:id="rId22"/>
      <w:headerReference w:type="first" r:id="rId23"/>
      <w:pgSz w:w="12240" w:h="15840"/>
      <w:pgMar w:top="1138" w:right="1181" w:bottom="1138" w:left="1282" w:header="283" w:footer="51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C3EA1C" w14:textId="77777777" w:rsidR="00667E08" w:rsidRDefault="00667E08" w:rsidP="00117666">
      <w:pPr>
        <w:spacing w:after="0"/>
      </w:pPr>
      <w:r>
        <w:separator/>
      </w:r>
    </w:p>
  </w:endnote>
  <w:endnote w:type="continuationSeparator" w:id="0">
    <w:p w14:paraId="0EEC852F" w14:textId="77777777" w:rsidR="00667E08" w:rsidRDefault="00667E08"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FCB79" w14:textId="0BF6C0A4" w:rsidR="004A1C44" w:rsidRPr="00577C4C" w:rsidRDefault="004A1C44">
    <w:pPr>
      <w:pStyle w:val="Footer"/>
      <w:rPr>
        <w:color w:val="C00000"/>
        <w:szCs w:val="24"/>
      </w:rPr>
    </w:pPr>
    <w:r>
      <w:rPr>
        <w:noProof/>
        <w:lang w:val="sv-SE" w:eastAsia="sv-SE"/>
      </w:rPr>
      <mc:AlternateContent>
        <mc:Choice Requires="wps">
          <w:drawing>
            <wp:anchor distT="0" distB="0" distL="114300" distR="114300" simplePos="0" relativeHeight="251665408" behindDoc="0" locked="0" layoutInCell="1" allowOverlap="1" wp14:anchorId="7C0C9A1E" wp14:editId="14491B36">
              <wp:simplePos x="0" y="0"/>
              <wp:positionH relativeFrom="margin">
                <wp:align>right</wp:align>
              </wp:positionH>
              <wp:positionV relativeFrom="bottomMargin">
                <wp:align>top</wp:align>
              </wp:positionV>
              <wp:extent cx="1508760" cy="33464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34645"/>
                      </a:xfrm>
                      <a:prstGeom prst="rect">
                        <a:avLst/>
                      </a:prstGeom>
                      <a:noFill/>
                      <a:ln w="6350">
                        <a:noFill/>
                      </a:ln>
                      <a:effectLst/>
                    </wps:spPr>
                    <wps:txbx>
                      <w:txbxContent>
                        <w:p w14:paraId="2B86276A" w14:textId="77777777" w:rsidR="004A1C44" w:rsidRPr="00577C4C" w:rsidRDefault="004A1C44">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083936">
                            <w:rPr>
                              <w:noProof/>
                              <w:color w:val="000000" w:themeColor="text1"/>
                              <w:sz w:val="22"/>
                              <w:szCs w:val="40"/>
                            </w:rPr>
                            <w:t>10</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7C0C9A1E" id="_x0000_t202" coordsize="21600,21600" o:spt="202" path="m,l,21600r21600,l21600,xe">
              <v:stroke joinstyle="miter"/>
              <v:path gradientshapeok="t" o:connecttype="rect"/>
            </v:shapetype>
            <v:shape id="Text Box 1" o:spid="_x0000_s1026" type="#_x0000_t202" style="position:absolute;margin-left:67.6pt;margin-top:0;width:118.8pt;height:26.35pt;z-index:25166540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" filled="f" stroked="f" strokeweight=".5pt">
              <v:textbox style="mso-fit-shape-to-text:t">
                <w:txbxContent>
                  <w:p w14:paraId="2B86276A" w14:textId="77777777" w:rsidR="004A1C44" w:rsidRPr="00577C4C" w:rsidRDefault="004A1C44">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083936">
                      <w:rPr>
                        <w:noProof/>
                        <w:color w:val="000000" w:themeColor="text1"/>
                        <w:sz w:val="22"/>
                        <w:szCs w:val="40"/>
                      </w:rPr>
                      <w:t>10</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8A60F" w14:textId="77777777" w:rsidR="004A1C44" w:rsidRPr="00577C4C" w:rsidRDefault="004A1C44">
    <w:pPr>
      <w:pStyle w:val="Footer"/>
      <w:rPr>
        <w:b/>
        <w:sz w:val="20"/>
        <w:szCs w:val="24"/>
      </w:rPr>
    </w:pPr>
    <w:r>
      <w:rPr>
        <w:noProof/>
        <w:lang w:val="sv-SE" w:eastAsia="sv-SE"/>
      </w:rPr>
      <mc:AlternateContent>
        <mc:Choice Requires="wps">
          <w:drawing>
            <wp:anchor distT="0" distB="0" distL="114300" distR="114300" simplePos="0" relativeHeight="251646976" behindDoc="0" locked="0" layoutInCell="1" allowOverlap="1" wp14:anchorId="2127D7DA" wp14:editId="10908CC8">
              <wp:simplePos x="0" y="0"/>
              <wp:positionH relativeFrom="margin">
                <wp:align>right</wp:align>
              </wp:positionH>
              <wp:positionV relativeFrom="bottomMargin">
                <wp:align>top</wp:align>
              </wp:positionV>
              <wp:extent cx="1508760" cy="33464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34645"/>
                      </a:xfrm>
                      <a:prstGeom prst="rect">
                        <a:avLst/>
                      </a:prstGeom>
                      <a:noFill/>
                      <a:ln w="6350">
                        <a:noFill/>
                      </a:ln>
                      <a:effectLst/>
                    </wps:spPr>
                    <wps:txbx>
                      <w:txbxContent>
                        <w:p w14:paraId="04C0BEFB" w14:textId="77777777" w:rsidR="004A1C44" w:rsidRPr="00577C4C" w:rsidRDefault="004A1C44">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083936">
                            <w:rPr>
                              <w:noProof/>
                              <w:color w:val="000000" w:themeColor="text1"/>
                              <w:sz w:val="22"/>
                              <w:szCs w:val="40"/>
                            </w:rPr>
                            <w:t>9</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2127D7DA" id="_x0000_t202" coordsize="21600,21600" o:spt="202" path="m,l,21600r21600,l21600,xe">
              <v:stroke joinstyle="miter"/>
              <v:path gradientshapeok="t" o:connecttype="rect"/>
            </v:shapetype>
            <v:shape id="Text Box 56" o:spid="_x0000_s1027" type="#_x0000_t202" style="position:absolute;margin-left:67.6pt;margin-top:0;width:118.8pt;height:26.3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" filled="f" stroked="f" strokeweight=".5pt">
              <v:textbox style="mso-fit-shape-to-text:t">
                <w:txbxContent>
                  <w:p w14:paraId="04C0BEFB" w14:textId="77777777" w:rsidR="004A1C44" w:rsidRPr="00577C4C" w:rsidRDefault="004A1C44">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083936">
                      <w:rPr>
                        <w:noProof/>
                        <w:color w:val="000000" w:themeColor="text1"/>
                        <w:sz w:val="22"/>
                        <w:szCs w:val="40"/>
                      </w:rPr>
                      <w:t>9</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B8AEC" w14:textId="77777777" w:rsidR="00667E08" w:rsidRDefault="00667E08" w:rsidP="00117666">
      <w:pPr>
        <w:spacing w:after="0"/>
      </w:pPr>
      <w:r>
        <w:separator/>
      </w:r>
    </w:p>
  </w:footnote>
  <w:footnote w:type="continuationSeparator" w:id="0">
    <w:p w14:paraId="2CE7C875" w14:textId="77777777" w:rsidR="00667E08" w:rsidRDefault="00667E08"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4DC69" w14:textId="745BD5C0" w:rsidR="004A1C44" w:rsidRDefault="004A1C44" w:rsidP="00A5300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9C3F7E"/>
    <w:multiLevelType w:val="hybridMultilevel"/>
    <w:tmpl w:val="28C43D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5"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7E11CA6"/>
    <w:multiLevelType w:val="hybridMultilevel"/>
    <w:tmpl w:val="79BA6D0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02A7CAC"/>
    <w:multiLevelType w:val="multilevel"/>
    <w:tmpl w:val="C6A8CCEA"/>
    <w:numStyleLink w:val="Headings"/>
  </w:abstractNum>
  <w:abstractNum w:abstractNumId="8"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4648C3"/>
    <w:multiLevelType w:val="multilevel"/>
    <w:tmpl w:val="2AD49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C070CC"/>
    <w:multiLevelType w:val="multilevel"/>
    <w:tmpl w:val="32AA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6D36D76"/>
    <w:multiLevelType w:val="hybridMultilevel"/>
    <w:tmpl w:val="36F6F27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BC6F29"/>
    <w:multiLevelType w:val="multilevel"/>
    <w:tmpl w:val="C6A8CCEA"/>
    <w:numStyleLink w:val="Headings"/>
  </w:abstractNum>
  <w:abstractNum w:abstractNumId="22"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6"/>
  </w:num>
  <w:num w:numId="3">
    <w:abstractNumId w:val="1"/>
  </w:num>
  <w:num w:numId="4">
    <w:abstractNumId w:val="2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0"/>
  </w:num>
  <w:num w:numId="8">
    <w:abstractNumId w:val="8"/>
  </w:num>
  <w:num w:numId="9">
    <w:abstractNumId w:val="11"/>
  </w:num>
  <w:num w:numId="10">
    <w:abstractNumId w:val="9"/>
  </w:num>
  <w:num w:numId="11">
    <w:abstractNumId w:val="3"/>
  </w:num>
  <w:num w:numId="12">
    <w:abstractNumId w:val="22"/>
  </w:num>
  <w:num w:numId="13">
    <w:abstractNumId w:val="15"/>
  </w:num>
  <w:num w:numId="14">
    <w:abstractNumId w:val="5"/>
  </w:num>
  <w:num w:numId="15">
    <w:abstractNumId w:val="14"/>
  </w:num>
  <w:num w:numId="16">
    <w:abstractNumId w:val="18"/>
  </w:num>
  <w:num w:numId="17">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1"/>
  </w:num>
  <w:num w:numId="21">
    <w:abstractNumId w:val="4"/>
  </w:num>
  <w:num w:numId="22">
    <w:abstractNumId w:val="4"/>
    <w:lvlOverride w:ilvl="0">
      <w:startOverride w:val="1"/>
      <w:lvl w:ilvl="0">
        <w:start w:val="1"/>
        <w:numFmt w:val="decimal"/>
        <w:pStyle w:val="Heading1"/>
        <w:lvlText w:val="%1"/>
        <w:lvlJc w:val="left"/>
        <w:pPr>
          <w:tabs>
            <w:tab w:val="num" w:pos="567"/>
          </w:tabs>
          <w:ind w:left="567" w:hanging="567"/>
        </w:pPr>
      </w:lvl>
    </w:lvlOverride>
    <w:lvlOverride w:ilvl="1">
      <w:startOverride w:val="1"/>
      <w:lvl w:ilvl="1">
        <w:start w:val="1"/>
        <w:numFmt w:val="decimal"/>
        <w:pStyle w:val="Heading2"/>
        <w:lvlText w:val="%1.%2"/>
        <w:lvlJc w:val="left"/>
        <w:pPr>
          <w:tabs>
            <w:tab w:val="num" w:pos="567"/>
          </w:tabs>
          <w:ind w:left="567" w:hanging="567"/>
        </w:p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19"/>
  </w:num>
  <w:num w:numId="24">
    <w:abstractNumId w:val="2"/>
  </w:num>
  <w:num w:numId="25">
    <w:abstractNumId w:val="6"/>
  </w:num>
  <w:num w:numId="26">
    <w:abstractNumId w:val="4"/>
    <w:lvlOverride w:ilvl="0">
      <w:startOverride w:val="9"/>
      <w:lvl w:ilvl="0">
        <w:start w:val="9"/>
        <w:numFmt w:val="decimal"/>
        <w:pStyle w:val="Heading1"/>
        <w:lvlText w:val="%1"/>
        <w:lvlJc w:val="left"/>
        <w:pPr>
          <w:tabs>
            <w:tab w:val="num" w:pos="567"/>
          </w:tabs>
          <w:ind w:left="567" w:hanging="567"/>
        </w:pPr>
        <w:rPr>
          <w:rFonts w:hint="default"/>
        </w:rPr>
      </w:lvl>
    </w:lvlOverride>
  </w:num>
  <w:num w:numId="27">
    <w:abstractNumId w:val="12"/>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z2w9fpzq2x0s4edzs7xav949t5eetvzaprz&quot;&gt;My EndNote Library&lt;record-ids&gt;&lt;item&gt;30&lt;/item&gt;&lt;item&gt;31&lt;/item&gt;&lt;item&gt;43&lt;/item&gt;&lt;item&gt;44&lt;/item&gt;&lt;item&gt;50&lt;/item&gt;&lt;item&gt;52&lt;/item&gt;&lt;item&gt;57&lt;/item&gt;&lt;item&gt;59&lt;/item&gt;&lt;item&gt;60&lt;/item&gt;&lt;item&gt;61&lt;/item&gt;&lt;item&gt;62&lt;/item&gt;&lt;item&gt;63&lt;/item&gt;&lt;item&gt;64&lt;/item&gt;&lt;item&gt;65&lt;/item&gt;&lt;item&gt;66&lt;/item&gt;&lt;item&gt;67&lt;/item&gt;&lt;/record-ids&gt;&lt;/item&gt;&lt;/Libraries&gt;"/>
  </w:docVars>
  <w:rsids>
    <w:rsidRoot w:val="00D40420"/>
    <w:rsid w:val="000001BE"/>
    <w:rsid w:val="000078EC"/>
    <w:rsid w:val="00015D7B"/>
    <w:rsid w:val="0002273A"/>
    <w:rsid w:val="00026C3C"/>
    <w:rsid w:val="000305D6"/>
    <w:rsid w:val="00032C28"/>
    <w:rsid w:val="00034304"/>
    <w:rsid w:val="00035434"/>
    <w:rsid w:val="00045678"/>
    <w:rsid w:val="000458E4"/>
    <w:rsid w:val="00063D84"/>
    <w:rsid w:val="00064F06"/>
    <w:rsid w:val="0006636D"/>
    <w:rsid w:val="000713F1"/>
    <w:rsid w:val="00075288"/>
    <w:rsid w:val="00077D53"/>
    <w:rsid w:val="00081394"/>
    <w:rsid w:val="00083936"/>
    <w:rsid w:val="000B34BD"/>
    <w:rsid w:val="000B4C0C"/>
    <w:rsid w:val="000C7E2A"/>
    <w:rsid w:val="000D28FB"/>
    <w:rsid w:val="000D7C80"/>
    <w:rsid w:val="000E1A9F"/>
    <w:rsid w:val="000E2233"/>
    <w:rsid w:val="000E3DBA"/>
    <w:rsid w:val="000F4CFB"/>
    <w:rsid w:val="00107AB4"/>
    <w:rsid w:val="00111330"/>
    <w:rsid w:val="00117666"/>
    <w:rsid w:val="001223A7"/>
    <w:rsid w:val="00134256"/>
    <w:rsid w:val="00136EA0"/>
    <w:rsid w:val="00147395"/>
    <w:rsid w:val="00152161"/>
    <w:rsid w:val="00152C3B"/>
    <w:rsid w:val="001552C9"/>
    <w:rsid w:val="00165FD8"/>
    <w:rsid w:val="00177929"/>
    <w:rsid w:val="00177D84"/>
    <w:rsid w:val="00183C57"/>
    <w:rsid w:val="001964EF"/>
    <w:rsid w:val="001A3128"/>
    <w:rsid w:val="001B1A2C"/>
    <w:rsid w:val="001B4118"/>
    <w:rsid w:val="001C69AF"/>
    <w:rsid w:val="001D5A10"/>
    <w:rsid w:val="001D5C23"/>
    <w:rsid w:val="001E4F08"/>
    <w:rsid w:val="001F4C07"/>
    <w:rsid w:val="00204F5F"/>
    <w:rsid w:val="00205065"/>
    <w:rsid w:val="00206322"/>
    <w:rsid w:val="00217BA1"/>
    <w:rsid w:val="00220AEA"/>
    <w:rsid w:val="00223466"/>
    <w:rsid w:val="00226954"/>
    <w:rsid w:val="00232F31"/>
    <w:rsid w:val="002368CB"/>
    <w:rsid w:val="00257E3B"/>
    <w:rsid w:val="00260B73"/>
    <w:rsid w:val="002629A3"/>
    <w:rsid w:val="00262C3C"/>
    <w:rsid w:val="00265660"/>
    <w:rsid w:val="002677A0"/>
    <w:rsid w:val="00267D18"/>
    <w:rsid w:val="002868E2"/>
    <w:rsid w:val="002869C3"/>
    <w:rsid w:val="00290418"/>
    <w:rsid w:val="002936E4"/>
    <w:rsid w:val="00296B88"/>
    <w:rsid w:val="002972A1"/>
    <w:rsid w:val="002A260D"/>
    <w:rsid w:val="002B3EC2"/>
    <w:rsid w:val="002C2374"/>
    <w:rsid w:val="002C4BAA"/>
    <w:rsid w:val="002C74CA"/>
    <w:rsid w:val="002D4C6F"/>
    <w:rsid w:val="002E0702"/>
    <w:rsid w:val="002F744D"/>
    <w:rsid w:val="00303DE6"/>
    <w:rsid w:val="00307456"/>
    <w:rsid w:val="00310124"/>
    <w:rsid w:val="00322306"/>
    <w:rsid w:val="0033728C"/>
    <w:rsid w:val="00343459"/>
    <w:rsid w:val="003544FB"/>
    <w:rsid w:val="00355B45"/>
    <w:rsid w:val="00365D63"/>
    <w:rsid w:val="0036793B"/>
    <w:rsid w:val="00372682"/>
    <w:rsid w:val="00372AC1"/>
    <w:rsid w:val="0037331F"/>
    <w:rsid w:val="00376CC5"/>
    <w:rsid w:val="0039693B"/>
    <w:rsid w:val="003977DF"/>
    <w:rsid w:val="003B3C40"/>
    <w:rsid w:val="003C66E7"/>
    <w:rsid w:val="003D1ABA"/>
    <w:rsid w:val="003D2F2D"/>
    <w:rsid w:val="00401590"/>
    <w:rsid w:val="0042131D"/>
    <w:rsid w:val="004240AA"/>
    <w:rsid w:val="00446E4C"/>
    <w:rsid w:val="004606DE"/>
    <w:rsid w:val="00463E3D"/>
    <w:rsid w:val="004645AE"/>
    <w:rsid w:val="004A1C44"/>
    <w:rsid w:val="004A6B85"/>
    <w:rsid w:val="004B45CB"/>
    <w:rsid w:val="004C63BB"/>
    <w:rsid w:val="004D3E33"/>
    <w:rsid w:val="00506C21"/>
    <w:rsid w:val="00510770"/>
    <w:rsid w:val="005209DE"/>
    <w:rsid w:val="0052252B"/>
    <w:rsid w:val="005250F2"/>
    <w:rsid w:val="00547986"/>
    <w:rsid w:val="00555FF2"/>
    <w:rsid w:val="00575363"/>
    <w:rsid w:val="0059362B"/>
    <w:rsid w:val="005A1D84"/>
    <w:rsid w:val="005A4A8A"/>
    <w:rsid w:val="005A70EA"/>
    <w:rsid w:val="005C3963"/>
    <w:rsid w:val="005C3C22"/>
    <w:rsid w:val="005D0A18"/>
    <w:rsid w:val="005D1840"/>
    <w:rsid w:val="005D35E4"/>
    <w:rsid w:val="005D7910"/>
    <w:rsid w:val="005E1178"/>
    <w:rsid w:val="005F4DCC"/>
    <w:rsid w:val="005F5F04"/>
    <w:rsid w:val="005F6E74"/>
    <w:rsid w:val="00611040"/>
    <w:rsid w:val="00614C68"/>
    <w:rsid w:val="00620C63"/>
    <w:rsid w:val="0062154F"/>
    <w:rsid w:val="00626026"/>
    <w:rsid w:val="00631A8C"/>
    <w:rsid w:val="00643CB9"/>
    <w:rsid w:val="00651CA2"/>
    <w:rsid w:val="00653D60"/>
    <w:rsid w:val="00660D05"/>
    <w:rsid w:val="006643BA"/>
    <w:rsid w:val="006655E1"/>
    <w:rsid w:val="00667E08"/>
    <w:rsid w:val="00671D9A"/>
    <w:rsid w:val="00673952"/>
    <w:rsid w:val="006810E7"/>
    <w:rsid w:val="00682684"/>
    <w:rsid w:val="00686C9D"/>
    <w:rsid w:val="00690AC1"/>
    <w:rsid w:val="00691F43"/>
    <w:rsid w:val="006B2D5B"/>
    <w:rsid w:val="006B7D14"/>
    <w:rsid w:val="006C186D"/>
    <w:rsid w:val="006D387E"/>
    <w:rsid w:val="006D5B93"/>
    <w:rsid w:val="006E18DE"/>
    <w:rsid w:val="006E54C5"/>
    <w:rsid w:val="006F7809"/>
    <w:rsid w:val="00700E2B"/>
    <w:rsid w:val="007012A0"/>
    <w:rsid w:val="00712D80"/>
    <w:rsid w:val="00713D37"/>
    <w:rsid w:val="00723837"/>
    <w:rsid w:val="00725A7D"/>
    <w:rsid w:val="007266A3"/>
    <w:rsid w:val="00727093"/>
    <w:rsid w:val="0073085C"/>
    <w:rsid w:val="00746505"/>
    <w:rsid w:val="00752FD1"/>
    <w:rsid w:val="00771EF4"/>
    <w:rsid w:val="00785141"/>
    <w:rsid w:val="00790BB3"/>
    <w:rsid w:val="00792043"/>
    <w:rsid w:val="00792649"/>
    <w:rsid w:val="00797EDD"/>
    <w:rsid w:val="007B0322"/>
    <w:rsid w:val="007C0E3F"/>
    <w:rsid w:val="007C206C"/>
    <w:rsid w:val="007C5729"/>
    <w:rsid w:val="007E5D89"/>
    <w:rsid w:val="007E6721"/>
    <w:rsid w:val="007F3BE0"/>
    <w:rsid w:val="008031EE"/>
    <w:rsid w:val="008111E4"/>
    <w:rsid w:val="0081301C"/>
    <w:rsid w:val="0081525A"/>
    <w:rsid w:val="00817DD6"/>
    <w:rsid w:val="00830D89"/>
    <w:rsid w:val="00835377"/>
    <w:rsid w:val="0084009B"/>
    <w:rsid w:val="00860C23"/>
    <w:rsid w:val="008629A9"/>
    <w:rsid w:val="00863F29"/>
    <w:rsid w:val="008711A3"/>
    <w:rsid w:val="008735AD"/>
    <w:rsid w:val="0088513A"/>
    <w:rsid w:val="00893C19"/>
    <w:rsid w:val="00895308"/>
    <w:rsid w:val="00896FA5"/>
    <w:rsid w:val="008A0240"/>
    <w:rsid w:val="008B60A9"/>
    <w:rsid w:val="008C4142"/>
    <w:rsid w:val="008C50F0"/>
    <w:rsid w:val="008D6C8D"/>
    <w:rsid w:val="008E2B54"/>
    <w:rsid w:val="008E4404"/>
    <w:rsid w:val="008E58C7"/>
    <w:rsid w:val="008F5021"/>
    <w:rsid w:val="009321FC"/>
    <w:rsid w:val="00943573"/>
    <w:rsid w:val="00953F8A"/>
    <w:rsid w:val="0097000C"/>
    <w:rsid w:val="00971B61"/>
    <w:rsid w:val="00972F27"/>
    <w:rsid w:val="00980C31"/>
    <w:rsid w:val="00993D12"/>
    <w:rsid w:val="009955FF"/>
    <w:rsid w:val="009B5E77"/>
    <w:rsid w:val="009D259D"/>
    <w:rsid w:val="009E3689"/>
    <w:rsid w:val="00A00487"/>
    <w:rsid w:val="00A14196"/>
    <w:rsid w:val="00A353B4"/>
    <w:rsid w:val="00A50D9D"/>
    <w:rsid w:val="00A51EDE"/>
    <w:rsid w:val="00A53000"/>
    <w:rsid w:val="00A534E0"/>
    <w:rsid w:val="00A5357E"/>
    <w:rsid w:val="00A545C6"/>
    <w:rsid w:val="00A663EE"/>
    <w:rsid w:val="00A75F87"/>
    <w:rsid w:val="00A8162C"/>
    <w:rsid w:val="00A94FF1"/>
    <w:rsid w:val="00A95D8B"/>
    <w:rsid w:val="00AA6D58"/>
    <w:rsid w:val="00AC0270"/>
    <w:rsid w:val="00AC3EA3"/>
    <w:rsid w:val="00AC4FF8"/>
    <w:rsid w:val="00AC792D"/>
    <w:rsid w:val="00AE67EE"/>
    <w:rsid w:val="00B00399"/>
    <w:rsid w:val="00B31DC7"/>
    <w:rsid w:val="00B42FD4"/>
    <w:rsid w:val="00B62297"/>
    <w:rsid w:val="00B657B8"/>
    <w:rsid w:val="00B73202"/>
    <w:rsid w:val="00B76A19"/>
    <w:rsid w:val="00B84920"/>
    <w:rsid w:val="00B8556A"/>
    <w:rsid w:val="00B9105C"/>
    <w:rsid w:val="00BA09E1"/>
    <w:rsid w:val="00BB41CE"/>
    <w:rsid w:val="00BB6949"/>
    <w:rsid w:val="00BB7C51"/>
    <w:rsid w:val="00BF1F62"/>
    <w:rsid w:val="00C012A3"/>
    <w:rsid w:val="00C014A5"/>
    <w:rsid w:val="00C02EC4"/>
    <w:rsid w:val="00C045BD"/>
    <w:rsid w:val="00C07701"/>
    <w:rsid w:val="00C167FA"/>
    <w:rsid w:val="00C16F19"/>
    <w:rsid w:val="00C17A1C"/>
    <w:rsid w:val="00C30EB1"/>
    <w:rsid w:val="00C33C12"/>
    <w:rsid w:val="00C52A7B"/>
    <w:rsid w:val="00C546AC"/>
    <w:rsid w:val="00C6324C"/>
    <w:rsid w:val="00C679AA"/>
    <w:rsid w:val="00C724CF"/>
    <w:rsid w:val="00C75972"/>
    <w:rsid w:val="00C82792"/>
    <w:rsid w:val="00C90E5C"/>
    <w:rsid w:val="00C948FD"/>
    <w:rsid w:val="00CA5EBD"/>
    <w:rsid w:val="00CB2220"/>
    <w:rsid w:val="00CB43D5"/>
    <w:rsid w:val="00CB4775"/>
    <w:rsid w:val="00CC3382"/>
    <w:rsid w:val="00CC76F9"/>
    <w:rsid w:val="00CD066B"/>
    <w:rsid w:val="00CD3ECE"/>
    <w:rsid w:val="00CD46E2"/>
    <w:rsid w:val="00CD6450"/>
    <w:rsid w:val="00CE099B"/>
    <w:rsid w:val="00CF3C46"/>
    <w:rsid w:val="00D00D0B"/>
    <w:rsid w:val="00D04B69"/>
    <w:rsid w:val="00D17FBC"/>
    <w:rsid w:val="00D211A6"/>
    <w:rsid w:val="00D3054B"/>
    <w:rsid w:val="00D40420"/>
    <w:rsid w:val="00D537FA"/>
    <w:rsid w:val="00D74EFF"/>
    <w:rsid w:val="00D80D99"/>
    <w:rsid w:val="00D9503C"/>
    <w:rsid w:val="00DD73EF"/>
    <w:rsid w:val="00DE23E8"/>
    <w:rsid w:val="00DF187F"/>
    <w:rsid w:val="00E0128B"/>
    <w:rsid w:val="00E11C78"/>
    <w:rsid w:val="00E60AF2"/>
    <w:rsid w:val="00E64E17"/>
    <w:rsid w:val="00E8310D"/>
    <w:rsid w:val="00E852EA"/>
    <w:rsid w:val="00EA3D3C"/>
    <w:rsid w:val="00EB079A"/>
    <w:rsid w:val="00EC7CC3"/>
    <w:rsid w:val="00F05F07"/>
    <w:rsid w:val="00F254A4"/>
    <w:rsid w:val="00F46494"/>
    <w:rsid w:val="00F501DB"/>
    <w:rsid w:val="00F51090"/>
    <w:rsid w:val="00F558AB"/>
    <w:rsid w:val="00F605D8"/>
    <w:rsid w:val="00F61D89"/>
    <w:rsid w:val="00F65266"/>
    <w:rsid w:val="00F86ABB"/>
    <w:rsid w:val="00F94EFC"/>
    <w:rsid w:val="00F97039"/>
    <w:rsid w:val="00FD7648"/>
    <w:rsid w:val="00FE2770"/>
    <w:rsid w:val="00FF0CC4"/>
    <w:rsid w:val="00FF3054"/>
    <w:rsid w:val="00FF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BEA237"/>
  <w15:docId w15:val="{91EC30FE-C93C-0B49-A823-29C932088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inorHAnsi" w:hAnsiTheme="maj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D99"/>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D80D99"/>
    <w:pPr>
      <w:numPr>
        <w:numId w:val="17"/>
      </w:numPr>
      <w:spacing w:before="240"/>
      <w:contextualSpacing w:val="0"/>
      <w:outlineLvl w:val="0"/>
    </w:pPr>
    <w:rPr>
      <w:b/>
    </w:rPr>
  </w:style>
  <w:style w:type="paragraph" w:styleId="Heading2">
    <w:name w:val="heading 2"/>
    <w:basedOn w:val="Heading1"/>
    <w:next w:val="Normal"/>
    <w:link w:val="Heading2Char"/>
    <w:uiPriority w:val="2"/>
    <w:qFormat/>
    <w:rsid w:val="00D80D99"/>
    <w:pPr>
      <w:numPr>
        <w:ilvl w:val="1"/>
      </w:numPr>
      <w:spacing w:after="200"/>
      <w:outlineLvl w:val="1"/>
    </w:pPr>
  </w:style>
  <w:style w:type="paragraph" w:styleId="Heading3">
    <w:name w:val="heading 3"/>
    <w:basedOn w:val="Normal"/>
    <w:next w:val="Normal"/>
    <w:link w:val="Heading3Char"/>
    <w:uiPriority w:val="2"/>
    <w:qFormat/>
    <w:rsid w:val="00D80D99"/>
    <w:pPr>
      <w:keepNext/>
      <w:keepLines/>
      <w:numPr>
        <w:ilvl w:val="2"/>
        <w:numId w:val="17"/>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D80D99"/>
    <w:pPr>
      <w:numPr>
        <w:ilvl w:val="3"/>
      </w:numPr>
      <w:outlineLvl w:val="3"/>
    </w:pPr>
    <w:rPr>
      <w:iCs/>
    </w:rPr>
  </w:style>
  <w:style w:type="paragraph" w:styleId="Heading5">
    <w:name w:val="heading 5"/>
    <w:basedOn w:val="Heading4"/>
    <w:next w:val="Normal"/>
    <w:link w:val="Heading5Char"/>
    <w:uiPriority w:val="2"/>
    <w:qFormat/>
    <w:rsid w:val="00D80D99"/>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14739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147395"/>
    <w:rPr>
      <w:rFonts w:ascii="Times New Roman" w:eastAsia="Cambria" w:hAnsi="Times New Roman" w:cs="Times New Roman"/>
      <w:b/>
      <w:sz w:val="24"/>
      <w:szCs w:val="24"/>
    </w:rPr>
  </w:style>
  <w:style w:type="character" w:styleId="Emphasis">
    <w:name w:val="Emphasis"/>
    <w:basedOn w:val="DefaultParagraphFont"/>
    <w:uiPriority w:val="20"/>
    <w:qFormat/>
    <w:rsid w:val="00C724CF"/>
    <w:rPr>
      <w:rFonts w:ascii="Times New Roman" w:hAnsi="Times New Roman"/>
      <w:i/>
      <w:iCs/>
    </w:rPr>
  </w:style>
  <w:style w:type="paragraph" w:styleId="ListParagraph">
    <w:name w:val="List Paragraph"/>
    <w:basedOn w:val="Normal"/>
    <w:uiPriority w:val="3"/>
    <w:qFormat/>
    <w:rsid w:val="00310124"/>
    <w:pPr>
      <w:numPr>
        <w:numId w:val="14"/>
      </w:numPr>
      <w:ind w:left="1434" w:hanging="357"/>
      <w:contextualSpacing/>
    </w:pPr>
    <w:rPr>
      <w:rFonts w:eastAsia="Cambria" w:cs="Times New Roman"/>
      <w:szCs w:val="24"/>
    </w:rPr>
  </w:style>
  <w:style w:type="character" w:styleId="Strong">
    <w:name w:val="Strong"/>
    <w:basedOn w:val="DefaultParagraphFont"/>
    <w:uiPriority w:val="22"/>
    <w:qFormat/>
    <w:rsid w:val="00C724CF"/>
    <w:rPr>
      <w:rFonts w:ascii="Times New Roman" w:hAnsi="Times New Roman"/>
      <w:b/>
      <w:bCs/>
    </w:rPr>
  </w:style>
  <w:style w:type="paragraph" w:styleId="NormalWeb">
    <w:name w:val="Normal (Web)"/>
    <w:basedOn w:val="Normal"/>
    <w:uiPriority w:val="99"/>
    <w:unhideWhenUsed/>
    <w:rsid w:val="00117666"/>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A53000"/>
    <w:pPr>
      <w:tabs>
        <w:tab w:val="center" w:pos="4844"/>
        <w:tab w:val="right" w:pos="9689"/>
      </w:tabs>
    </w:pPr>
    <w:rPr>
      <w:b/>
    </w:rPr>
  </w:style>
  <w:style w:type="character" w:customStyle="1" w:styleId="HeaderChar">
    <w:name w:val="Header Char"/>
    <w:basedOn w:val="DefaultParagraphFont"/>
    <w:link w:val="Header"/>
    <w:uiPriority w:val="99"/>
    <w:rsid w:val="00A53000"/>
    <w:rPr>
      <w:rFonts w:ascii="Times New Roman" w:hAnsi="Times New Roman"/>
      <w:b/>
      <w:sz w:val="24"/>
    </w:rPr>
  </w:style>
  <w:style w:type="paragraph" w:styleId="Footer">
    <w:name w:val="footer"/>
    <w:basedOn w:val="Normal"/>
    <w:link w:val="FooterChar"/>
    <w:uiPriority w:val="99"/>
    <w:unhideWhenUsed/>
    <w:rsid w:val="00117666"/>
    <w:pPr>
      <w:tabs>
        <w:tab w:val="center" w:pos="4844"/>
        <w:tab w:val="right" w:pos="9689"/>
      </w:tabs>
      <w:spacing w:after="0"/>
    </w:pPr>
  </w:style>
  <w:style w:type="character" w:customStyle="1" w:styleId="FooterChar">
    <w:name w:val="Footer Char"/>
    <w:basedOn w:val="DefaultParagraphFont"/>
    <w:link w:val="Footer"/>
    <w:uiPriority w:val="99"/>
    <w:rsid w:val="00117666"/>
  </w:style>
  <w:style w:type="table" w:styleId="TableGrid">
    <w:name w:val="Table Grid"/>
    <w:basedOn w:val="TableNormal"/>
    <w:uiPriority w:val="59"/>
    <w:rsid w:val="0011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17666"/>
    <w:pPr>
      <w:spacing w:after="0"/>
    </w:pPr>
    <w:rPr>
      <w:sz w:val="20"/>
      <w:szCs w:val="20"/>
    </w:rPr>
  </w:style>
  <w:style w:type="character" w:customStyle="1" w:styleId="FootnoteTextChar">
    <w:name w:val="Footnote Text Char"/>
    <w:basedOn w:val="DefaultParagraphFont"/>
    <w:link w:val="FootnoteText"/>
    <w:uiPriority w:val="99"/>
    <w:semiHidden/>
    <w:rsid w:val="00117666"/>
    <w:rPr>
      <w:sz w:val="20"/>
      <w:szCs w:val="20"/>
    </w:rPr>
  </w:style>
  <w:style w:type="character" w:styleId="FootnoteReference">
    <w:name w:val="footnote reference"/>
    <w:basedOn w:val="DefaultParagraphFont"/>
    <w:uiPriority w:val="99"/>
    <w:semiHidden/>
    <w:unhideWhenUsed/>
    <w:rsid w:val="00117666"/>
    <w:rPr>
      <w:vertAlign w:val="superscript"/>
    </w:rPr>
  </w:style>
  <w:style w:type="paragraph" w:styleId="Caption">
    <w:name w:val="caption"/>
    <w:basedOn w:val="Normal"/>
    <w:next w:val="NoSpacing"/>
    <w:uiPriority w:val="35"/>
    <w:unhideWhenUsed/>
    <w:qFormat/>
    <w:rsid w:val="00A53000"/>
    <w:pPr>
      <w:keepNext/>
    </w:pPr>
    <w:rPr>
      <w:rFonts w:cs="Times New Roman"/>
      <w:b/>
      <w:bCs/>
      <w:szCs w:val="24"/>
    </w:rPr>
  </w:style>
  <w:style w:type="paragraph" w:styleId="BalloonText">
    <w:name w:val="Balloon Text"/>
    <w:basedOn w:val="Normal"/>
    <w:link w:val="BalloonTextChar"/>
    <w:uiPriority w:val="99"/>
    <w:semiHidden/>
    <w:unhideWhenUsed/>
    <w:rsid w:val="0011766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66"/>
    <w:rPr>
      <w:rFonts w:ascii="Tahoma" w:hAnsi="Tahoma" w:cs="Tahoma"/>
      <w:sz w:val="16"/>
      <w:szCs w:val="16"/>
    </w:rPr>
  </w:style>
  <w:style w:type="character" w:styleId="LineNumber">
    <w:name w:val="line number"/>
    <w:basedOn w:val="DefaultParagraphFont"/>
    <w:uiPriority w:val="99"/>
    <w:semiHidden/>
    <w:unhideWhenUsed/>
    <w:rsid w:val="00117666"/>
  </w:style>
  <w:style w:type="paragraph" w:styleId="EndnoteText">
    <w:name w:val="endnote text"/>
    <w:basedOn w:val="Normal"/>
    <w:link w:val="EndnoteTextChar"/>
    <w:uiPriority w:val="99"/>
    <w:semiHidden/>
    <w:unhideWhenUsed/>
    <w:rsid w:val="00CD066B"/>
    <w:pPr>
      <w:spacing w:after="0"/>
    </w:pPr>
    <w:rPr>
      <w:sz w:val="20"/>
      <w:szCs w:val="20"/>
    </w:rPr>
  </w:style>
  <w:style w:type="character" w:customStyle="1" w:styleId="EndnoteTextChar">
    <w:name w:val="Endnote Text Char"/>
    <w:basedOn w:val="DefaultParagraphFont"/>
    <w:link w:val="EndnoteText"/>
    <w:uiPriority w:val="99"/>
    <w:semiHidden/>
    <w:rsid w:val="00CD066B"/>
    <w:rPr>
      <w:sz w:val="20"/>
      <w:szCs w:val="20"/>
    </w:rPr>
  </w:style>
  <w:style w:type="character" w:styleId="EndnoteReference">
    <w:name w:val="endnote reference"/>
    <w:basedOn w:val="DefaultParagraphFont"/>
    <w:uiPriority w:val="99"/>
    <w:semiHidden/>
    <w:unhideWhenUsed/>
    <w:rsid w:val="00CD066B"/>
    <w:rPr>
      <w:vertAlign w:val="superscript"/>
    </w:rPr>
  </w:style>
  <w:style w:type="character" w:styleId="CommentReference">
    <w:name w:val="annotation reference"/>
    <w:basedOn w:val="DefaultParagraphFont"/>
    <w:uiPriority w:val="99"/>
    <w:semiHidden/>
    <w:unhideWhenUsed/>
    <w:rsid w:val="00725A7D"/>
    <w:rPr>
      <w:sz w:val="16"/>
      <w:szCs w:val="16"/>
    </w:rPr>
  </w:style>
  <w:style w:type="paragraph" w:styleId="CommentText">
    <w:name w:val="annotation text"/>
    <w:basedOn w:val="Normal"/>
    <w:link w:val="CommentTextChar"/>
    <w:uiPriority w:val="99"/>
    <w:semiHidden/>
    <w:unhideWhenUsed/>
    <w:rsid w:val="00725A7D"/>
    <w:rPr>
      <w:sz w:val="20"/>
      <w:szCs w:val="20"/>
    </w:rPr>
  </w:style>
  <w:style w:type="character" w:customStyle="1" w:styleId="CommentTextChar">
    <w:name w:val="Comment Text Char"/>
    <w:basedOn w:val="DefaultParagraphFont"/>
    <w:link w:val="CommentText"/>
    <w:uiPriority w:val="99"/>
    <w:semiHidden/>
    <w:rsid w:val="00725A7D"/>
    <w:rPr>
      <w:sz w:val="20"/>
      <w:szCs w:val="20"/>
    </w:rPr>
  </w:style>
  <w:style w:type="paragraph" w:styleId="CommentSubject">
    <w:name w:val="annotation subject"/>
    <w:basedOn w:val="CommentText"/>
    <w:next w:val="CommentText"/>
    <w:link w:val="CommentSubjectChar"/>
    <w:uiPriority w:val="99"/>
    <w:semiHidden/>
    <w:unhideWhenUsed/>
    <w:rsid w:val="00725A7D"/>
    <w:rPr>
      <w:b/>
      <w:bCs/>
    </w:rPr>
  </w:style>
  <w:style w:type="character" w:customStyle="1" w:styleId="CommentSubjectChar">
    <w:name w:val="Comment Subject Char"/>
    <w:basedOn w:val="CommentTextChar"/>
    <w:link w:val="CommentSubject"/>
    <w:uiPriority w:val="99"/>
    <w:semiHidden/>
    <w:rsid w:val="00725A7D"/>
    <w:rPr>
      <w:b/>
      <w:bCs/>
      <w:sz w:val="20"/>
      <w:szCs w:val="20"/>
    </w:rPr>
  </w:style>
  <w:style w:type="character" w:styleId="Hyperlink">
    <w:name w:val="Hyperlink"/>
    <w:basedOn w:val="DefaultParagraphFont"/>
    <w:uiPriority w:val="99"/>
    <w:unhideWhenUsed/>
    <w:rsid w:val="005A1D84"/>
    <w:rPr>
      <w:color w:val="0000FF"/>
      <w:u w:val="single"/>
    </w:rPr>
  </w:style>
  <w:style w:type="character" w:styleId="FollowedHyperlink">
    <w:name w:val="FollowedHyperlink"/>
    <w:basedOn w:val="DefaultParagraphFont"/>
    <w:uiPriority w:val="99"/>
    <w:semiHidden/>
    <w:unhideWhenUsed/>
    <w:rsid w:val="006D5B93"/>
    <w:rPr>
      <w:color w:val="800080" w:themeColor="followedHyperlink"/>
      <w:u w:val="single"/>
    </w:rPr>
  </w:style>
  <w:style w:type="paragraph" w:styleId="Title">
    <w:name w:val="Title"/>
    <w:basedOn w:val="Normal"/>
    <w:next w:val="Normal"/>
    <w:link w:val="TitleChar"/>
    <w:qFormat/>
    <w:rsid w:val="00D80D99"/>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D80D99"/>
    <w:rPr>
      <w:rFonts w:ascii="Times New Roman" w:hAnsi="Times New Roman" w:cs="Times New Roman"/>
      <w:b/>
      <w:sz w:val="32"/>
      <w:szCs w:val="32"/>
    </w:rPr>
  </w:style>
  <w:style w:type="paragraph" w:styleId="Subtitle">
    <w:name w:val="Subtitle"/>
    <w:basedOn w:val="Normal"/>
    <w:next w:val="Normal"/>
    <w:link w:val="SubtitleChar"/>
    <w:uiPriority w:val="99"/>
    <w:unhideWhenUsed/>
    <w:qFormat/>
    <w:rsid w:val="00AC0270"/>
    <w:pPr>
      <w:spacing w:before="240"/>
    </w:pPr>
    <w:rPr>
      <w:rFonts w:cs="Times New Roman"/>
      <w:b/>
      <w:szCs w:val="24"/>
    </w:rPr>
  </w:style>
  <w:style w:type="character" w:customStyle="1" w:styleId="SubtitleChar">
    <w:name w:val="Subtitle Char"/>
    <w:basedOn w:val="DefaultParagraphFont"/>
    <w:link w:val="Subtitle"/>
    <w:uiPriority w:val="99"/>
    <w:rsid w:val="00651CA2"/>
    <w:rPr>
      <w:rFonts w:ascii="Times New Roman" w:hAnsi="Times New Roman" w:cs="Times New Roman"/>
      <w:b/>
      <w:sz w:val="24"/>
      <w:szCs w:val="24"/>
    </w:rPr>
  </w:style>
  <w:style w:type="character" w:customStyle="1" w:styleId="Heading3Char">
    <w:name w:val="Heading 3 Char"/>
    <w:basedOn w:val="DefaultParagraphFont"/>
    <w:link w:val="Heading3"/>
    <w:uiPriority w:val="2"/>
    <w:rsid w:val="005D1840"/>
    <w:rPr>
      <w:rFonts w:ascii="Times New Roman" w:eastAsiaTheme="majorEastAsia" w:hAnsi="Times New Roman" w:cstheme="majorBidi"/>
      <w:b/>
      <w:sz w:val="24"/>
      <w:szCs w:val="24"/>
    </w:rPr>
  </w:style>
  <w:style w:type="paragraph" w:styleId="NoSpacing">
    <w:name w:val="No Spacing"/>
    <w:uiPriority w:val="99"/>
    <w:unhideWhenUsed/>
    <w:qFormat/>
    <w:rsid w:val="00A53000"/>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2"/>
    <w:rsid w:val="005D1840"/>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5D1840"/>
    <w:rPr>
      <w:rFonts w:ascii="Times New Roman" w:eastAsiaTheme="majorEastAsia" w:hAnsi="Times New Roman" w:cstheme="majorBidi"/>
      <w:b/>
      <w:iCs/>
      <w:sz w:val="24"/>
      <w:szCs w:val="24"/>
    </w:rPr>
  </w:style>
  <w:style w:type="paragraph" w:customStyle="1" w:styleId="AuthorList">
    <w:name w:val="Author List"/>
    <w:aliases w:val="Keywords,Abstract"/>
    <w:basedOn w:val="Subtitle"/>
    <w:next w:val="Normal"/>
    <w:uiPriority w:val="1"/>
    <w:qFormat/>
    <w:rsid w:val="00651CA2"/>
  </w:style>
  <w:style w:type="character" w:styleId="SubtleEmphasis">
    <w:name w:val="Subtle Emphasis"/>
    <w:basedOn w:val="DefaultParagraphFont"/>
    <w:uiPriority w:val="19"/>
    <w:qFormat/>
    <w:rsid w:val="00C724CF"/>
    <w:rPr>
      <w:rFonts w:ascii="Times New Roman" w:hAnsi="Times New Roman"/>
      <w:i/>
      <w:iCs/>
      <w:color w:val="404040" w:themeColor="text1" w:themeTint="BF"/>
    </w:rPr>
  </w:style>
  <w:style w:type="character" w:styleId="IntenseEmphasis">
    <w:name w:val="Intense Emphasis"/>
    <w:basedOn w:val="DefaultParagraphFont"/>
    <w:uiPriority w:val="21"/>
    <w:unhideWhenUsed/>
    <w:rsid w:val="00C724CF"/>
    <w:rPr>
      <w:rFonts w:ascii="Times New Roman" w:hAnsi="Times New Roman"/>
      <w:i/>
      <w:iCs/>
      <w:color w:val="auto"/>
    </w:rPr>
  </w:style>
  <w:style w:type="paragraph" w:styleId="Quote">
    <w:name w:val="Quote"/>
    <w:basedOn w:val="Normal"/>
    <w:next w:val="Normal"/>
    <w:link w:val="QuoteChar"/>
    <w:uiPriority w:val="29"/>
    <w:qFormat/>
    <w:rsid w:val="00C724C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24CF"/>
    <w:rPr>
      <w:rFonts w:ascii="Times New Roman" w:hAnsi="Times New Roman"/>
      <w:i/>
      <w:iCs/>
      <w:color w:val="404040" w:themeColor="text1" w:themeTint="BF"/>
      <w:sz w:val="24"/>
    </w:rPr>
  </w:style>
  <w:style w:type="character" w:styleId="IntenseReference">
    <w:name w:val="Intense Reference"/>
    <w:basedOn w:val="DefaultParagraphFont"/>
    <w:uiPriority w:val="32"/>
    <w:qFormat/>
    <w:rsid w:val="00C724CF"/>
    <w:rPr>
      <w:b/>
      <w:bCs/>
      <w:smallCaps/>
      <w:color w:val="auto"/>
      <w:spacing w:val="5"/>
    </w:rPr>
  </w:style>
  <w:style w:type="character" w:styleId="BookTitle">
    <w:name w:val="Book Title"/>
    <w:basedOn w:val="DefaultParagraphFont"/>
    <w:uiPriority w:val="33"/>
    <w:qFormat/>
    <w:rsid w:val="00C724CF"/>
    <w:rPr>
      <w:rFonts w:ascii="Times New Roman" w:hAnsi="Times New Roman"/>
      <w:b/>
      <w:bCs/>
      <w:i/>
      <w:iCs/>
      <w:spacing w:val="5"/>
    </w:rPr>
  </w:style>
  <w:style w:type="numbering" w:customStyle="1" w:styleId="Headings">
    <w:name w:val="Headings"/>
    <w:uiPriority w:val="99"/>
    <w:rsid w:val="00D80D99"/>
    <w:pPr>
      <w:numPr>
        <w:numId w:val="21"/>
      </w:numPr>
    </w:pPr>
  </w:style>
  <w:style w:type="paragraph" w:styleId="Revision">
    <w:name w:val="Revision"/>
    <w:hidden/>
    <w:uiPriority w:val="99"/>
    <w:semiHidden/>
    <w:rsid w:val="00A545C6"/>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895308"/>
    <w:rPr>
      <w:color w:val="605E5C"/>
      <w:shd w:val="clear" w:color="auto" w:fill="E1DFDD"/>
    </w:rPr>
  </w:style>
  <w:style w:type="character" w:styleId="PlaceholderText">
    <w:name w:val="Placeholder Text"/>
    <w:basedOn w:val="DefaultParagraphFont"/>
    <w:uiPriority w:val="99"/>
    <w:semiHidden/>
    <w:rsid w:val="00FF3054"/>
    <w:rPr>
      <w:color w:val="808080"/>
    </w:rPr>
  </w:style>
  <w:style w:type="paragraph" w:customStyle="1" w:styleId="EndNoteBibliographyTitle">
    <w:name w:val="EndNote Bibliography Title"/>
    <w:basedOn w:val="Normal"/>
    <w:link w:val="EndNoteBibliographyTitleChar"/>
    <w:rsid w:val="00223466"/>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223466"/>
    <w:rPr>
      <w:rFonts w:ascii="Times New Roman" w:hAnsi="Times New Roman" w:cs="Times New Roman"/>
      <w:noProof/>
      <w:sz w:val="24"/>
    </w:rPr>
  </w:style>
  <w:style w:type="paragraph" w:customStyle="1" w:styleId="EndNoteBibliography">
    <w:name w:val="EndNote Bibliography"/>
    <w:basedOn w:val="Normal"/>
    <w:link w:val="EndNoteBibliographyChar"/>
    <w:rsid w:val="00223466"/>
    <w:rPr>
      <w:rFonts w:cs="Times New Roman"/>
      <w:noProof/>
    </w:rPr>
  </w:style>
  <w:style w:type="character" w:customStyle="1" w:styleId="EndNoteBibliographyChar">
    <w:name w:val="EndNote Bibliography Char"/>
    <w:basedOn w:val="DefaultParagraphFont"/>
    <w:link w:val="EndNoteBibliography"/>
    <w:rsid w:val="00223466"/>
    <w:rPr>
      <w:rFonts w:ascii="Times New Roman" w:hAnsi="Times New Roman" w:cs="Times New Roman"/>
      <w:noProof/>
      <w:sz w:val="24"/>
    </w:rPr>
  </w:style>
  <w:style w:type="character" w:styleId="UnresolvedMention">
    <w:name w:val="Unresolved Mention"/>
    <w:basedOn w:val="DefaultParagraphFont"/>
    <w:uiPriority w:val="99"/>
    <w:semiHidden/>
    <w:unhideWhenUsed/>
    <w:rsid w:val="00026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23914">
      <w:bodyDiv w:val="1"/>
      <w:marLeft w:val="0"/>
      <w:marRight w:val="0"/>
      <w:marTop w:val="0"/>
      <w:marBottom w:val="0"/>
      <w:divBdr>
        <w:top w:val="none" w:sz="0" w:space="0" w:color="auto"/>
        <w:left w:val="none" w:sz="0" w:space="0" w:color="auto"/>
        <w:bottom w:val="none" w:sz="0" w:space="0" w:color="auto"/>
        <w:right w:val="none" w:sz="0" w:space="0" w:color="auto"/>
      </w:divBdr>
    </w:div>
    <w:div w:id="41952381">
      <w:bodyDiv w:val="1"/>
      <w:marLeft w:val="0"/>
      <w:marRight w:val="0"/>
      <w:marTop w:val="0"/>
      <w:marBottom w:val="0"/>
      <w:divBdr>
        <w:top w:val="none" w:sz="0" w:space="0" w:color="auto"/>
        <w:left w:val="none" w:sz="0" w:space="0" w:color="auto"/>
        <w:bottom w:val="none" w:sz="0" w:space="0" w:color="auto"/>
        <w:right w:val="none" w:sz="0" w:space="0" w:color="auto"/>
      </w:divBdr>
    </w:div>
    <w:div w:id="83501254">
      <w:bodyDiv w:val="1"/>
      <w:marLeft w:val="0"/>
      <w:marRight w:val="0"/>
      <w:marTop w:val="0"/>
      <w:marBottom w:val="0"/>
      <w:divBdr>
        <w:top w:val="none" w:sz="0" w:space="0" w:color="auto"/>
        <w:left w:val="none" w:sz="0" w:space="0" w:color="auto"/>
        <w:bottom w:val="none" w:sz="0" w:space="0" w:color="auto"/>
        <w:right w:val="none" w:sz="0" w:space="0" w:color="auto"/>
      </w:divBdr>
    </w:div>
    <w:div w:id="171993267">
      <w:bodyDiv w:val="1"/>
      <w:marLeft w:val="0"/>
      <w:marRight w:val="0"/>
      <w:marTop w:val="0"/>
      <w:marBottom w:val="0"/>
      <w:divBdr>
        <w:top w:val="none" w:sz="0" w:space="0" w:color="auto"/>
        <w:left w:val="none" w:sz="0" w:space="0" w:color="auto"/>
        <w:bottom w:val="none" w:sz="0" w:space="0" w:color="auto"/>
        <w:right w:val="none" w:sz="0" w:space="0" w:color="auto"/>
      </w:divBdr>
    </w:div>
    <w:div w:id="330254591">
      <w:bodyDiv w:val="1"/>
      <w:marLeft w:val="0"/>
      <w:marRight w:val="0"/>
      <w:marTop w:val="0"/>
      <w:marBottom w:val="0"/>
      <w:divBdr>
        <w:top w:val="none" w:sz="0" w:space="0" w:color="auto"/>
        <w:left w:val="none" w:sz="0" w:space="0" w:color="auto"/>
        <w:bottom w:val="none" w:sz="0" w:space="0" w:color="auto"/>
        <w:right w:val="none" w:sz="0" w:space="0" w:color="auto"/>
      </w:divBdr>
    </w:div>
    <w:div w:id="368335732">
      <w:bodyDiv w:val="1"/>
      <w:marLeft w:val="0"/>
      <w:marRight w:val="0"/>
      <w:marTop w:val="0"/>
      <w:marBottom w:val="0"/>
      <w:divBdr>
        <w:top w:val="none" w:sz="0" w:space="0" w:color="auto"/>
        <w:left w:val="none" w:sz="0" w:space="0" w:color="auto"/>
        <w:bottom w:val="none" w:sz="0" w:space="0" w:color="auto"/>
        <w:right w:val="none" w:sz="0" w:space="0" w:color="auto"/>
      </w:divBdr>
    </w:div>
    <w:div w:id="403451267">
      <w:bodyDiv w:val="1"/>
      <w:marLeft w:val="0"/>
      <w:marRight w:val="0"/>
      <w:marTop w:val="0"/>
      <w:marBottom w:val="0"/>
      <w:divBdr>
        <w:top w:val="none" w:sz="0" w:space="0" w:color="auto"/>
        <w:left w:val="none" w:sz="0" w:space="0" w:color="auto"/>
        <w:bottom w:val="none" w:sz="0" w:space="0" w:color="auto"/>
        <w:right w:val="none" w:sz="0" w:space="0" w:color="auto"/>
      </w:divBdr>
    </w:div>
    <w:div w:id="423845578">
      <w:bodyDiv w:val="1"/>
      <w:marLeft w:val="0"/>
      <w:marRight w:val="0"/>
      <w:marTop w:val="0"/>
      <w:marBottom w:val="0"/>
      <w:divBdr>
        <w:top w:val="none" w:sz="0" w:space="0" w:color="auto"/>
        <w:left w:val="none" w:sz="0" w:space="0" w:color="auto"/>
        <w:bottom w:val="none" w:sz="0" w:space="0" w:color="auto"/>
        <w:right w:val="none" w:sz="0" w:space="0" w:color="auto"/>
      </w:divBdr>
    </w:div>
    <w:div w:id="476724946">
      <w:bodyDiv w:val="1"/>
      <w:marLeft w:val="0"/>
      <w:marRight w:val="0"/>
      <w:marTop w:val="0"/>
      <w:marBottom w:val="0"/>
      <w:divBdr>
        <w:top w:val="none" w:sz="0" w:space="0" w:color="auto"/>
        <w:left w:val="none" w:sz="0" w:space="0" w:color="auto"/>
        <w:bottom w:val="none" w:sz="0" w:space="0" w:color="auto"/>
        <w:right w:val="none" w:sz="0" w:space="0" w:color="auto"/>
      </w:divBdr>
    </w:div>
    <w:div w:id="566258189">
      <w:bodyDiv w:val="1"/>
      <w:marLeft w:val="0"/>
      <w:marRight w:val="0"/>
      <w:marTop w:val="0"/>
      <w:marBottom w:val="0"/>
      <w:divBdr>
        <w:top w:val="none" w:sz="0" w:space="0" w:color="auto"/>
        <w:left w:val="none" w:sz="0" w:space="0" w:color="auto"/>
        <w:bottom w:val="none" w:sz="0" w:space="0" w:color="auto"/>
        <w:right w:val="none" w:sz="0" w:space="0" w:color="auto"/>
      </w:divBdr>
    </w:div>
    <w:div w:id="625626042">
      <w:bodyDiv w:val="1"/>
      <w:marLeft w:val="0"/>
      <w:marRight w:val="0"/>
      <w:marTop w:val="0"/>
      <w:marBottom w:val="0"/>
      <w:divBdr>
        <w:top w:val="none" w:sz="0" w:space="0" w:color="auto"/>
        <w:left w:val="none" w:sz="0" w:space="0" w:color="auto"/>
        <w:bottom w:val="none" w:sz="0" w:space="0" w:color="auto"/>
        <w:right w:val="none" w:sz="0" w:space="0" w:color="auto"/>
      </w:divBdr>
    </w:div>
    <w:div w:id="935138230">
      <w:bodyDiv w:val="1"/>
      <w:marLeft w:val="0"/>
      <w:marRight w:val="0"/>
      <w:marTop w:val="0"/>
      <w:marBottom w:val="0"/>
      <w:divBdr>
        <w:top w:val="none" w:sz="0" w:space="0" w:color="auto"/>
        <w:left w:val="none" w:sz="0" w:space="0" w:color="auto"/>
        <w:bottom w:val="none" w:sz="0" w:space="0" w:color="auto"/>
        <w:right w:val="none" w:sz="0" w:space="0" w:color="auto"/>
      </w:divBdr>
    </w:div>
    <w:div w:id="1002313091">
      <w:bodyDiv w:val="1"/>
      <w:marLeft w:val="0"/>
      <w:marRight w:val="0"/>
      <w:marTop w:val="0"/>
      <w:marBottom w:val="0"/>
      <w:divBdr>
        <w:top w:val="none" w:sz="0" w:space="0" w:color="auto"/>
        <w:left w:val="none" w:sz="0" w:space="0" w:color="auto"/>
        <w:bottom w:val="none" w:sz="0" w:space="0" w:color="auto"/>
        <w:right w:val="none" w:sz="0" w:space="0" w:color="auto"/>
      </w:divBdr>
    </w:div>
    <w:div w:id="1392390565">
      <w:bodyDiv w:val="1"/>
      <w:marLeft w:val="0"/>
      <w:marRight w:val="0"/>
      <w:marTop w:val="0"/>
      <w:marBottom w:val="0"/>
      <w:divBdr>
        <w:top w:val="none" w:sz="0" w:space="0" w:color="auto"/>
        <w:left w:val="none" w:sz="0" w:space="0" w:color="auto"/>
        <w:bottom w:val="none" w:sz="0" w:space="0" w:color="auto"/>
        <w:right w:val="none" w:sz="0" w:space="0" w:color="auto"/>
      </w:divBdr>
    </w:div>
    <w:div w:id="2108455780">
      <w:bodyDiv w:val="1"/>
      <w:marLeft w:val="0"/>
      <w:marRight w:val="0"/>
      <w:marTop w:val="0"/>
      <w:marBottom w:val="0"/>
      <w:divBdr>
        <w:top w:val="none" w:sz="0" w:space="0" w:color="auto"/>
        <w:left w:val="none" w:sz="0" w:space="0" w:color="auto"/>
        <w:bottom w:val="none" w:sz="0" w:space="0" w:color="auto"/>
        <w:right w:val="none" w:sz="0" w:space="0" w:color="auto"/>
      </w:divBdr>
    </w:div>
    <w:div w:id="21305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frontier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FRONDOC-1086935359-10120</_dlc_DocId>
    <_dlc_DocIdUrl xmlns="26005759-6815-4540-b8ea-913958d74f23">
      <Url>https://frontiersin.sharepoint.com/Publishing/PubOps/Production/_layouts/15/DocIdRedir.aspx?ID=FRONDOC-1086935359-10120</Url>
      <Description>FRONDOC-1086935359-10120</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6fd1d3709ebdae3c6e0eeb2d23db798b">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830d6d9b807b871f8ec19ed92d251fd0"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547FD6E-73F0-4542-8474-D6680317EFD1}">
  <ds:schemaRefs>
    <ds:schemaRef ds:uri="http://schemas.microsoft.com/sharepoint/v3/contenttype/forms"/>
  </ds:schemaRefs>
</ds:datastoreItem>
</file>

<file path=customXml/itemProps2.xml><?xml version="1.0" encoding="utf-8"?>
<ds:datastoreItem xmlns:ds="http://schemas.openxmlformats.org/officeDocument/2006/customXml" ds:itemID="{C80633FE-2C4D-43D3-9027-7B70B5BC8799}">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3.xml><?xml version="1.0" encoding="utf-8"?>
<ds:datastoreItem xmlns:ds="http://schemas.openxmlformats.org/officeDocument/2006/customXml" ds:itemID="{37D19558-80B8-407F-9A85-A5582859B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A0DC30-635A-4DF1-937E-42374A5B8B2D}">
  <ds:schemaRefs>
    <ds:schemaRef ds:uri="http://schemas.openxmlformats.org/officeDocument/2006/bibliography"/>
  </ds:schemaRefs>
</ds:datastoreItem>
</file>

<file path=customXml/itemProps5.xml><?xml version="1.0" encoding="utf-8"?>
<ds:datastoreItem xmlns:ds="http://schemas.openxmlformats.org/officeDocument/2006/customXml" ds:itemID="{51F9E78B-9130-4244-A349-202827F2937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frontiers_template.dotx</Template>
  <TotalTime>4</TotalTime>
  <Pages>9</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Frontiers</dc:creator>
  <cp:keywords/>
  <dc:description/>
  <cp:lastModifiedBy>Poonam Mutha</cp:lastModifiedBy>
  <cp:revision>4</cp:revision>
  <cp:lastPrinted>2023-09-08T08:26:00Z</cp:lastPrinted>
  <dcterms:created xsi:type="dcterms:W3CDTF">2023-09-08T08:26:00Z</dcterms:created>
  <dcterms:modified xsi:type="dcterms:W3CDTF">2023-09-13T09:59:00Z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1f20ac40-4545-4ae8-9e88-2ffc72570862</vt:lpwstr>
  </property>
  <property fmtid="{D5CDD505-2E9C-101B-9397-08002B2CF9AE}" pid="4" name="Order">
    <vt:r8>1012000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