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8AA" w:rsidRDefault="005A68AA" w:rsidP="005A68AA">
      <w:pPr>
        <w:spacing w:line="360" w:lineRule="auto"/>
        <w:jc w:val="center"/>
        <w:rPr>
          <w:rFonts w:cs="Times New Roman"/>
          <w:b/>
          <w:bCs/>
        </w:rPr>
      </w:pPr>
      <w:r w:rsidRPr="005A68AA">
        <w:rPr>
          <w:rFonts w:cs="Times New Roman"/>
          <w:b/>
          <w:bCs/>
        </w:rPr>
        <w:t>T</w:t>
      </w:r>
      <w:r w:rsidRPr="005A68AA">
        <w:rPr>
          <w:rFonts w:cs="Times New Roman"/>
          <w:b/>
        </w:rPr>
        <w:t>able S1 The results of time-independent variables in a Cox proportional hazard</w:t>
      </w:r>
      <w:r w:rsidRPr="005A68AA">
        <w:rPr>
          <w:rFonts w:eastAsia="等线" w:cs="Times New Roman"/>
          <w:b/>
        </w:rPr>
        <w:t xml:space="preserve"> </w:t>
      </w:r>
      <w:bookmarkStart w:id="0" w:name="_GoBack"/>
      <w:r w:rsidRPr="005A68AA">
        <w:rPr>
          <w:rFonts w:eastAsia="等线" w:cs="Times New Roman"/>
          <w:b/>
        </w:rPr>
        <w:t>model</w:t>
      </w:r>
      <w:bookmarkEnd w:id="0"/>
    </w:p>
    <w:tbl>
      <w:tblPr>
        <w:tblW w:w="5174" w:type="pct"/>
        <w:jc w:val="center"/>
        <w:tblLayout w:type="fixed"/>
        <w:tblLook w:val="04A0" w:firstRow="1" w:lastRow="0" w:firstColumn="1" w:lastColumn="0" w:noHBand="0" w:noVBand="1"/>
      </w:tblPr>
      <w:tblGrid>
        <w:gridCol w:w="2542"/>
        <w:gridCol w:w="1506"/>
        <w:gridCol w:w="1623"/>
        <w:gridCol w:w="1434"/>
        <w:gridCol w:w="1490"/>
      </w:tblGrid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varible</w:t>
            </w:r>
            <w:proofErr w:type="spellEnd"/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coef</w:t>
            </w:r>
            <w:proofErr w:type="spellEnd"/>
          </w:p>
        </w:tc>
        <w:tc>
          <w:tcPr>
            <w:tcW w:w="9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std</w:t>
            </w:r>
            <w:proofErr w:type="spellEnd"/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z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p.value</w:t>
            </w:r>
            <w:proofErr w:type="spellEnd"/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0.4445</w:t>
            </w:r>
          </w:p>
        </w:tc>
        <w:tc>
          <w:tcPr>
            <w:tcW w:w="9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0.2203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2.044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0.0409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Hepatic encephalopathy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0.3031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0.1385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2.3004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0.0214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Gastrointestinal bleeding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0.2965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0.2173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1.4661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0.1426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peritonitis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-0.1048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0.1292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-0.8251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0.4093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Ascites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-0.1372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0.1291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-1.0434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0.2968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cirrhosis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0.0573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0.1477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0.3808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0.7033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pneumonia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-0.0002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0.1413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-0.0014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0.9989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0.0153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0.0059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2.678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0.0074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Anteroposterior diameter of Left liver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0.0103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0.0064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1.6625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0.0964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Vertical diameter of Left liver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0.0014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0.5046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0.6139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Thickness of Right liver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-0.0022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0.0064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-0.3526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0.7244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Portal vein diameter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-0.0363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0.0454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-0.8234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0.4103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Intercostal thick diameter of the spleen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0.0055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0.0071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0.8914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0.3727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length of Spleen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-0.0043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0.0032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-1.459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0.1446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The inner diameter of the splenic portal vein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-0.1193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0.0416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-3.1214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0.0018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WBC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-0.0004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0.0024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-0.6293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0.5292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NEUT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4.4556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0.6634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5.8625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Hb</w:t>
            </w:r>
            <w:proofErr w:type="spellEnd"/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-0.0094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0.0036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-2.2968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0.0216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PLT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-0.0012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0.0013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-0.7551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0.4502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AST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0.5578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0.577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lastRenderedPageBreak/>
              <w:t>ALT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0.6839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0.4941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CHE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1.9889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0.0467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ALB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-0.0404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0.0172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-2.0391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0.0414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TBil</w:t>
            </w:r>
            <w:proofErr w:type="spellEnd"/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0.0051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5.4975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DBil</w:t>
            </w:r>
            <w:proofErr w:type="spellEnd"/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-0.0052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0.0012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-4.4803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0.0021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2.1687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0.0301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BUN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0.0392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3.2571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0.0011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Na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0.0166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0.0113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1.4749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0.1402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PT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0.0168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0.0095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1.7241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0.0847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INR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-0.0143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0.0746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-0.1914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0.8482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Fib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0.0072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0.1711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0.0303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0.9758</w:t>
            </w:r>
          </w:p>
        </w:tc>
      </w:tr>
      <w:tr w:rsidR="005A68AA" w:rsidTr="005A68AA">
        <w:trPr>
          <w:trHeight w:val="270"/>
          <w:jc w:val="center"/>
        </w:trPr>
        <w:tc>
          <w:tcPr>
            <w:tcW w:w="14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PTA</w:t>
            </w:r>
          </w:p>
        </w:tc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-0.0523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0.0116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-3.7101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0.0002</w:t>
            </w:r>
          </w:p>
        </w:tc>
      </w:tr>
    </w:tbl>
    <w:p w:rsidR="005A68AA" w:rsidRDefault="005A68AA" w:rsidP="005A68AA">
      <w:pPr>
        <w:widowControl/>
        <w:shd w:val="clear" w:color="auto" w:fill="FFFFFF"/>
        <w:jc w:val="left"/>
        <w:rPr>
          <w:rFonts w:cs="Times New Roman"/>
          <w:b/>
        </w:rPr>
      </w:pPr>
      <w:r w:rsidRPr="005A68AA">
        <w:rPr>
          <w:rFonts w:cs="Times New Roman"/>
          <w:b/>
          <w:bCs/>
        </w:rPr>
        <w:t>T</w:t>
      </w:r>
      <w:r w:rsidRPr="005A68AA">
        <w:rPr>
          <w:rFonts w:cs="Times New Roman"/>
          <w:b/>
        </w:rPr>
        <w:t xml:space="preserve">able S1 </w:t>
      </w:r>
    </w:p>
    <w:p w:rsidR="005A68AA" w:rsidRPr="00A0106B" w:rsidRDefault="005A68AA" w:rsidP="005A68AA">
      <w:pPr>
        <w:widowControl/>
        <w:shd w:val="clear" w:color="auto" w:fill="FFFFFF"/>
        <w:jc w:val="left"/>
        <w:rPr>
          <w:bCs/>
        </w:rPr>
      </w:pPr>
      <w:r w:rsidRPr="00A0106B">
        <w:rPr>
          <w:bCs/>
        </w:rPr>
        <w:t xml:space="preserve">As seen in the above table, the variables that satisfied the P &lt; 0.05 screening were 'gender', 'hepatic encephalopathy', 'age', 'the splenic portal vein', 'neutrophil percentage', 'hemoglobin concentration',' cholinesterase', 'albumin', 'total bilirubin', 'direct </w:t>
      </w:r>
      <w:proofErr w:type="spellStart"/>
      <w:r w:rsidRPr="00A0106B">
        <w:rPr>
          <w:bCs/>
        </w:rPr>
        <w:t>erythrocyanin</w:t>
      </w:r>
      <w:proofErr w:type="spellEnd"/>
      <w:r w:rsidRPr="00A0106B">
        <w:rPr>
          <w:bCs/>
        </w:rPr>
        <w:t>', 'creatinine (enzyme assay)', 'urea nitrogen', and 'prothrombin activity'.</w:t>
      </w:r>
    </w:p>
    <w:p w:rsidR="005A68AA" w:rsidRPr="005A68AA" w:rsidRDefault="005A68AA" w:rsidP="005A68AA">
      <w:pPr>
        <w:spacing w:line="360" w:lineRule="auto"/>
        <w:rPr>
          <w:rFonts w:cs="Times New Roman"/>
        </w:rPr>
      </w:pPr>
    </w:p>
    <w:p w:rsidR="005A68AA" w:rsidRPr="005A68AA" w:rsidRDefault="005A68AA" w:rsidP="005A68AA">
      <w:pPr>
        <w:spacing w:line="360" w:lineRule="auto"/>
        <w:jc w:val="center"/>
        <w:rPr>
          <w:rFonts w:cs="Times New Roman"/>
          <w:b/>
        </w:rPr>
      </w:pPr>
      <w:r w:rsidRPr="005A68AA">
        <w:rPr>
          <w:rFonts w:cs="Times New Roman"/>
          <w:b/>
        </w:rPr>
        <w:t xml:space="preserve">Table S2 The results of stepwise selected for </w:t>
      </w:r>
      <w:r w:rsidRPr="005A68AA">
        <w:rPr>
          <w:rFonts w:eastAsia="等线" w:cs="Times New Roman"/>
          <w:b/>
        </w:rPr>
        <w:t>Cox proportional hazards model</w:t>
      </w:r>
    </w:p>
    <w:tbl>
      <w:tblPr>
        <w:tblW w:w="7621" w:type="dxa"/>
        <w:tblInd w:w="93" w:type="dxa"/>
        <w:tblLook w:val="04A0" w:firstRow="1" w:lastRow="0" w:firstColumn="1" w:lastColumn="0" w:noHBand="0" w:noVBand="1"/>
      </w:tblPr>
      <w:tblGrid>
        <w:gridCol w:w="1951"/>
        <w:gridCol w:w="1515"/>
        <w:gridCol w:w="1515"/>
        <w:gridCol w:w="1515"/>
        <w:gridCol w:w="1125"/>
      </w:tblGrid>
      <w:tr w:rsidR="005A68AA" w:rsidTr="005A68AA">
        <w:trPr>
          <w:trHeight w:val="270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Cs w:val="21"/>
              </w:rPr>
              <w:t>Varible</w:t>
            </w:r>
            <w:proofErr w:type="spellEnd"/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coef</w:t>
            </w:r>
            <w:proofErr w:type="spellEnd"/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std</w:t>
            </w:r>
            <w:proofErr w:type="spellEnd"/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z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p.value</w:t>
            </w:r>
            <w:proofErr w:type="spellEnd"/>
          </w:p>
        </w:tc>
      </w:tr>
      <w:tr w:rsidR="005A68AA" w:rsidTr="005A68AA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0.5085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0.2054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2.4756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0.0133</w:t>
            </w:r>
          </w:p>
        </w:tc>
      </w:tr>
      <w:tr w:rsidR="005A68AA" w:rsidTr="005A68AA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6.1694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Hepatic encephalopathy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0.1272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4.8322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-0.0483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-7.8105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TBil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&lt;0.0001</w:t>
            </w:r>
          </w:p>
        </w:tc>
      </w:tr>
      <w:tr w:rsidR="005A68AA" w:rsidTr="005A68AA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BUN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4.6361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&lt;0.0001</w:t>
            </w:r>
          </w:p>
        </w:tc>
      </w:tr>
    </w:tbl>
    <w:p w:rsidR="005A68AA" w:rsidRPr="005A68AA" w:rsidRDefault="005A68AA" w:rsidP="005A68AA">
      <w:pPr>
        <w:widowControl/>
        <w:shd w:val="clear" w:color="auto" w:fill="FFFFFF"/>
        <w:jc w:val="left"/>
        <w:rPr>
          <w:b/>
          <w:bCs/>
        </w:rPr>
      </w:pPr>
      <w:r w:rsidRPr="005A68AA">
        <w:rPr>
          <w:b/>
          <w:bCs/>
        </w:rPr>
        <w:t>Table S2</w:t>
      </w:r>
    </w:p>
    <w:p w:rsidR="005A68AA" w:rsidRPr="00A0106B" w:rsidRDefault="005A68AA" w:rsidP="005A68AA">
      <w:pPr>
        <w:widowControl/>
        <w:shd w:val="clear" w:color="auto" w:fill="FFFFFF"/>
        <w:jc w:val="left"/>
        <w:rPr>
          <w:bCs/>
        </w:rPr>
      </w:pPr>
      <w:r w:rsidRPr="00A0106B">
        <w:rPr>
          <w:bCs/>
        </w:rPr>
        <w:t xml:space="preserve">Sex, age and hepatic encephalopathy were time-invariant covariates that were directly included in the Cox model. </w:t>
      </w:r>
      <w:proofErr w:type="spellStart"/>
      <w:r w:rsidRPr="00A0106B">
        <w:rPr>
          <w:bCs/>
        </w:rPr>
        <w:t>TBbil</w:t>
      </w:r>
      <w:proofErr w:type="spellEnd"/>
      <w:r w:rsidRPr="00A0106B">
        <w:rPr>
          <w:bCs/>
        </w:rPr>
        <w:t xml:space="preserve">, PTA and BUN were time-varying covariates, and continuously recorded </w:t>
      </w:r>
      <w:proofErr w:type="spellStart"/>
      <w:r w:rsidRPr="00A0106B">
        <w:rPr>
          <w:bCs/>
        </w:rPr>
        <w:t>TBil</w:t>
      </w:r>
      <w:proofErr w:type="spellEnd"/>
      <w:r w:rsidRPr="00A0106B">
        <w:rPr>
          <w:bCs/>
        </w:rPr>
        <w:t>, BUN and PTA were included in the multivariate generalized linear mixed model.</w:t>
      </w:r>
    </w:p>
    <w:p w:rsidR="005A68AA" w:rsidRPr="005A68AA" w:rsidRDefault="005A68AA" w:rsidP="005A68AA">
      <w:pPr>
        <w:spacing w:line="360" w:lineRule="auto"/>
        <w:rPr>
          <w:rFonts w:cs="Times New Roman" w:hint="eastAsia"/>
        </w:rPr>
      </w:pPr>
    </w:p>
    <w:p w:rsidR="005A68AA" w:rsidRPr="005A68AA" w:rsidRDefault="005A68AA" w:rsidP="005A68AA">
      <w:pPr>
        <w:spacing w:line="360" w:lineRule="auto"/>
        <w:jc w:val="center"/>
        <w:rPr>
          <w:rFonts w:cs="Times New Roman"/>
          <w:b/>
        </w:rPr>
      </w:pPr>
      <w:r w:rsidRPr="005A68AA">
        <w:rPr>
          <w:rFonts w:cs="Times New Roman"/>
          <w:b/>
        </w:rPr>
        <w:lastRenderedPageBreak/>
        <w:t>Table S3 Coefficients, standard error of coefficients</w:t>
      </w:r>
      <w:r w:rsidRPr="005A68AA">
        <w:rPr>
          <w:rFonts w:eastAsia="等线" w:cs="Times New Roman"/>
          <w:b/>
        </w:rPr>
        <w:t xml:space="preserve"> and</w:t>
      </w:r>
    </w:p>
    <w:p w:rsidR="005A68AA" w:rsidRPr="005A68AA" w:rsidRDefault="005A68AA" w:rsidP="005A68AA">
      <w:pPr>
        <w:spacing w:line="360" w:lineRule="auto"/>
        <w:jc w:val="center"/>
        <w:rPr>
          <w:rFonts w:cs="Times New Roman"/>
          <w:b/>
        </w:rPr>
      </w:pPr>
      <w:r w:rsidRPr="005A68AA">
        <w:rPr>
          <w:rFonts w:cs="Times New Roman"/>
          <w:b/>
        </w:rPr>
        <w:t>p-values for the mixed-effects model</w:t>
      </w:r>
    </w:p>
    <w:tbl>
      <w:tblPr>
        <w:tblW w:w="83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6"/>
        <w:gridCol w:w="996"/>
        <w:gridCol w:w="881"/>
        <w:gridCol w:w="956"/>
        <w:gridCol w:w="3130"/>
      </w:tblGrid>
      <w:tr w:rsidR="005A68AA" w:rsidTr="002D0943">
        <w:trPr>
          <w:jc w:val="center"/>
        </w:trPr>
        <w:tc>
          <w:tcPr>
            <w:tcW w:w="2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coef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std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p.value</w:t>
            </w:r>
            <w:proofErr w:type="spellEnd"/>
          </w:p>
        </w:tc>
        <w:tc>
          <w:tcPr>
            <w:tcW w:w="3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831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proofErr w:type="spellStart"/>
            <w:r>
              <w:rPr>
                <w:rFonts w:cs="Times New Roman"/>
                <w:szCs w:val="21"/>
              </w:rPr>
              <w:t>boxcox</w:t>
            </w:r>
            <w:proofErr w:type="spellEnd"/>
            <w:r>
              <w:rPr>
                <w:rFonts w:cs="Times New Roman"/>
                <w:szCs w:val="21"/>
              </w:rPr>
              <w:t>(</w:t>
            </w:r>
            <w:proofErr w:type="spellStart"/>
            <w:r>
              <w:rPr>
                <w:rFonts w:cs="Times New Roman"/>
                <w:szCs w:val="21"/>
              </w:rPr>
              <w:t>TBil</w:t>
            </w:r>
            <w:proofErr w:type="spellEnd"/>
            <w:r>
              <w:rPr>
                <w:rFonts w:cs="Times New Roman"/>
                <w:szCs w:val="21"/>
              </w:rPr>
              <w:t>)</w:t>
            </w: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(Intercept)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37.6883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2.3855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-0.6565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0.1869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7.6983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1.2483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-0.1074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0.0501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0.033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Hepatic encephalopathy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3.6748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1.0207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 xml:space="preserve">day: 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0.0130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0.0043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sigma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4.7199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0.1315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83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left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boxcox</w:t>
            </w:r>
            <w:proofErr w:type="spellEnd"/>
            <w:r>
              <w:rPr>
                <w:rFonts w:cs="Times New Roman"/>
                <w:szCs w:val="21"/>
              </w:rPr>
              <w:t>(BUN)</w:t>
            </w: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(Intercept)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0.4418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0.0868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0.0033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0.0026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0.191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0.1682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0.0444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0.0098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Hepatic encephalopathy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0.0452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0.0345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0.183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sigma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0.1748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0.0047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831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left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log(PTA)</w:t>
            </w: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(Intercept)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3.3559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0.1652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0.0368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0.0112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0.0295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0.0813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0.7167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0.0029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0.0027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0.2773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Hepatic encephalopathy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-0.2923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0.0437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 xml:space="preserve">day: 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-0.0056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0.0055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0.3013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 xml:space="preserve">day: 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-0.0008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0.0002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5A68AA" w:rsidTr="002D0943">
        <w:trPr>
          <w:jc w:val="center"/>
        </w:trPr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lastRenderedPageBreak/>
              <w:t>sigma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0.1854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0.0052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&lt;0.001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68AA" w:rsidRDefault="005A68AA" w:rsidP="002D0943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</w:tbl>
    <w:p w:rsidR="00D23025" w:rsidRDefault="00D23025"/>
    <w:sectPr w:rsidR="00D230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8AA"/>
    <w:rsid w:val="005A68AA"/>
    <w:rsid w:val="00D2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A30B2"/>
  <w15:chartTrackingRefBased/>
  <w15:docId w15:val="{05632985-331F-465D-A30A-DC882839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5A68AA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487</Words>
  <Characters>2777</Characters>
  <Application>Microsoft Office Word</Application>
  <DocSecurity>0</DocSecurity>
  <Lines>23</Lines>
  <Paragraphs>6</Paragraphs>
  <ScaleCrop>false</ScaleCrop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a073117673606799@outlook.com</dc:creator>
  <cp:keywords/>
  <dc:description/>
  <cp:lastModifiedBy>a073117673606799@outlook.com</cp:lastModifiedBy>
  <cp:revision>1</cp:revision>
  <dcterms:created xsi:type="dcterms:W3CDTF">2023-07-17T06:51:00Z</dcterms:created>
  <dcterms:modified xsi:type="dcterms:W3CDTF">2023-07-17T07:00:00Z</dcterms:modified>
</cp:coreProperties>
</file>