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27C" w:rsidRPr="00E33414" w:rsidRDefault="003F027C" w:rsidP="003F027C">
      <w:pPr>
        <w:pBdr>
          <w:bottom w:val="single" w:sz="6" w:space="1" w:color="auto"/>
        </w:pBdr>
        <w:spacing w:before="240" w:after="0" w:line="240" w:lineRule="auto"/>
        <w:jc w:val="both"/>
        <w:rPr>
          <w:rFonts w:ascii="Cambria" w:hAnsi="Cambria"/>
          <w:b/>
          <w:color w:val="000000" w:themeColor="text1"/>
          <w:sz w:val="28"/>
        </w:rPr>
      </w:pPr>
      <w:r w:rsidRPr="002752FA">
        <w:rPr>
          <w:rFonts w:ascii="Cambria" w:hAnsi="Cambria"/>
          <w:b/>
          <w:color w:val="000000" w:themeColor="text1"/>
          <w:sz w:val="28"/>
        </w:rPr>
        <w:t>Supplementary Information</w:t>
      </w:r>
      <w:r>
        <w:rPr>
          <w:rFonts w:ascii="Cambria" w:hAnsi="Cambria"/>
          <w:b/>
          <w:color w:val="000000" w:themeColor="text1"/>
          <w:sz w:val="28"/>
        </w:rPr>
        <w:t xml:space="preserve"> </w:t>
      </w:r>
      <w:r>
        <w:rPr>
          <w:rFonts w:ascii="Cambria" w:hAnsi="Cambria" w:hint="eastAsia"/>
          <w:b/>
          <w:color w:val="000000" w:themeColor="text1"/>
          <w:sz w:val="28"/>
          <w:lang w:eastAsia="zh-CN"/>
        </w:rPr>
        <w:t>Figure S</w:t>
      </w:r>
      <w:r>
        <w:rPr>
          <w:rFonts w:ascii="Cambria" w:hAnsi="Cambria"/>
          <w:b/>
          <w:color w:val="000000" w:themeColor="text1"/>
          <w:sz w:val="28"/>
          <w:lang w:eastAsia="zh-CN"/>
        </w:rPr>
        <w:t>1-</w:t>
      </w:r>
      <w:r>
        <w:rPr>
          <w:rFonts w:ascii="Cambria" w:hAnsi="Cambria" w:hint="eastAsia"/>
          <w:b/>
          <w:color w:val="000000" w:themeColor="text1"/>
          <w:sz w:val="28"/>
          <w:lang w:eastAsia="zh-CN"/>
        </w:rPr>
        <w:t>S</w:t>
      </w:r>
      <w:r>
        <w:rPr>
          <w:rFonts w:ascii="Cambria" w:hAnsi="Cambria"/>
          <w:b/>
          <w:color w:val="000000" w:themeColor="text1"/>
          <w:sz w:val="28"/>
          <w:lang w:eastAsia="zh-CN"/>
        </w:rPr>
        <w:t>6</w:t>
      </w:r>
    </w:p>
    <w:p w:rsidR="003F027C" w:rsidRDefault="003F027C" w:rsidP="003F027C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Cambria" w:eastAsia="手札体-简" w:hAnsi="Cambria"/>
          <w:sz w:val="22"/>
        </w:rPr>
      </w:pPr>
    </w:p>
    <w:p w:rsidR="003F027C" w:rsidRPr="005C566E" w:rsidRDefault="003F027C" w:rsidP="003F027C">
      <w:pPr>
        <w:pStyle w:val="1"/>
        <w:shd w:val="clear" w:color="auto" w:fill="FFFFFF"/>
        <w:spacing w:before="300" w:after="240" w:line="480" w:lineRule="auto"/>
        <w:jc w:val="both"/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</w:pPr>
      <w:r w:rsidRPr="00312BC7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 xml:space="preserve">Fig. </w:t>
      </w:r>
      <w:r>
        <w:rPr>
          <w:rFonts w:ascii="Cambria" w:eastAsia="手札体-简" w:hAnsi="Cambria" w:cs="Times New Roman" w:hint="eastAsia"/>
          <w:b/>
          <w:bCs/>
          <w:color w:val="222222"/>
          <w:sz w:val="22"/>
          <w:szCs w:val="22"/>
          <w:lang w:val="en-GB" w:eastAsia="zh-CN"/>
        </w:rPr>
        <w:t>S</w:t>
      </w:r>
      <w:r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 w:eastAsia="zh-CN"/>
        </w:rPr>
        <w:t>1</w:t>
      </w:r>
      <w:r w:rsidRPr="005C566E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>: Model Initialization and Lithospheric Rheological Structure</w:t>
      </w:r>
    </w:p>
    <w:p w:rsidR="003F027C" w:rsidRDefault="003F027C" w:rsidP="003F027C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150F3658" wp14:editId="03A4923C">
            <wp:extent cx="5239031" cy="4554385"/>
            <wp:effectExtent l="0" t="0" r="6350" b="5080"/>
            <wp:docPr id="341058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05888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031" cy="455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27C" w:rsidRPr="001E78A0" w:rsidRDefault="003F027C" w:rsidP="003F027C">
      <w:pPr>
        <w:pStyle w:val="a3"/>
        <w:shd w:val="clear" w:color="auto" w:fill="FFFFFF"/>
        <w:spacing w:after="0" w:line="360" w:lineRule="auto"/>
        <w:jc w:val="both"/>
        <w:rPr>
          <w:rFonts w:ascii="Cambria" w:eastAsia="手札体-简" w:hAnsi="Cambria"/>
          <w:sz w:val="22"/>
          <w:szCs w:val="22"/>
          <w:lang w:val="en-GB"/>
        </w:rPr>
      </w:pPr>
      <w:r w:rsidRPr="001E78A0">
        <w:rPr>
          <w:rFonts w:ascii="Cambria" w:eastAsia="手札体-简" w:hAnsi="Cambria"/>
          <w:sz w:val="22"/>
          <w:szCs w:val="22"/>
          <w:lang w:val="en-GB"/>
        </w:rPr>
        <w:t>a,</w:t>
      </w:r>
      <w:r w:rsidRPr="005C566E">
        <w:rPr>
          <w:rFonts w:ascii="Cambria" w:eastAsia="手札体-简" w:hAnsi="Cambria"/>
          <w:sz w:val="22"/>
          <w:szCs w:val="22"/>
          <w:lang w:val="en-GB"/>
        </w:rPr>
        <w:t xml:space="preserve"> Model's initial configuration is depicted, with the compositional field of the Model indicated above the 50 km, while the temperature field is represented below. The 1300°C isotherm is delineated by the white contour line. A comprehensive palette for distinct materials is illustrated at the lower left corner, while the temperature spectrum is depicted via the </w:t>
      </w:r>
      <w:proofErr w:type="spellStart"/>
      <w:r w:rsidRPr="005C566E">
        <w:rPr>
          <w:rFonts w:ascii="Cambria" w:eastAsia="手札体-简" w:hAnsi="Cambria"/>
          <w:sz w:val="22"/>
          <w:szCs w:val="22"/>
          <w:lang w:val="en-GB"/>
        </w:rPr>
        <w:t>color</w:t>
      </w:r>
      <w:proofErr w:type="spellEnd"/>
      <w:r w:rsidRPr="005C566E">
        <w:rPr>
          <w:rFonts w:ascii="Cambria" w:eastAsia="手札体-简" w:hAnsi="Cambria"/>
          <w:sz w:val="22"/>
          <w:szCs w:val="22"/>
          <w:lang w:val="en-GB"/>
        </w:rPr>
        <w:t xml:space="preserve"> bar at the lower right. The directional velocity is symbolized by the white arrow.</w:t>
      </w:r>
      <w:r>
        <w:rPr>
          <w:rFonts w:ascii="Cambria" w:eastAsia="手札体-简" w:hAnsi="Cambria"/>
          <w:sz w:val="22"/>
          <w:szCs w:val="22"/>
          <w:lang w:val="en-GB"/>
        </w:rPr>
        <w:t xml:space="preserve"> </w:t>
      </w:r>
      <w:r>
        <w:rPr>
          <w:rFonts w:ascii="Cambria" w:eastAsia="手札体-简" w:hAnsi="Cambria" w:hint="eastAsia"/>
          <w:sz w:val="22"/>
          <w:szCs w:val="22"/>
          <w:lang w:val="en-GB"/>
        </w:rPr>
        <w:t>b</w:t>
      </w:r>
      <w:r w:rsidRPr="001E78A0">
        <w:rPr>
          <w:rFonts w:ascii="Cambria" w:eastAsia="手札体-简" w:hAnsi="Cambria"/>
          <w:sz w:val="22"/>
          <w:szCs w:val="22"/>
          <w:lang w:val="en-GB"/>
        </w:rPr>
        <w:t>,</w:t>
      </w:r>
      <w:r w:rsidRPr="005C566E">
        <w:rPr>
          <w:rFonts w:ascii="Cambria" w:eastAsia="手札体-简" w:hAnsi="Cambria"/>
          <w:sz w:val="22"/>
          <w:szCs w:val="22"/>
          <w:lang w:val="en-GB"/>
        </w:rPr>
        <w:t xml:space="preserve"> The Lithospheric Rheological </w:t>
      </w:r>
      <w:r>
        <w:rPr>
          <w:rFonts w:ascii="Cambria" w:eastAsia="手札体-简" w:hAnsi="Cambria"/>
          <w:sz w:val="22"/>
          <w:szCs w:val="22"/>
          <w:lang w:val="en-GB"/>
        </w:rPr>
        <w:t>Strength</w:t>
      </w:r>
      <w:r w:rsidRPr="005C566E">
        <w:rPr>
          <w:rFonts w:ascii="Cambria" w:eastAsia="手札体-简" w:hAnsi="Cambria"/>
          <w:sz w:val="22"/>
          <w:szCs w:val="22"/>
          <w:lang w:val="en-GB"/>
        </w:rPr>
        <w:t xml:space="preserve"> is analysed along the profile a-a', revealing variations at different</w:t>
      </w:r>
      <w:r w:rsidRPr="002752FA">
        <w:rPr>
          <w:rFonts w:ascii="Cambria" w:eastAsia="手札体-简" w:hAnsi="Cambria"/>
          <w:i/>
          <w:iCs/>
          <w:sz w:val="22"/>
          <w:szCs w:val="22"/>
          <w:lang w:val="en-GB"/>
        </w:rPr>
        <w:t xml:space="preserve"> </w:t>
      </w:r>
      <w:proofErr w:type="spellStart"/>
      <w:r w:rsidRPr="002752FA">
        <w:rPr>
          <w:rFonts w:ascii="Cambria" w:eastAsia="手札体-简" w:hAnsi="Cambria" w:hint="eastAsia"/>
          <w:i/>
          <w:iCs/>
          <w:sz w:val="22"/>
          <w:szCs w:val="22"/>
          <w:lang w:val="en-GB"/>
        </w:rPr>
        <w:t>T</w:t>
      </w:r>
      <w:r w:rsidRPr="002752FA">
        <w:rPr>
          <w:rFonts w:ascii="Cambria" w:eastAsia="手札体-简" w:hAnsi="Cambria" w:hint="eastAsia"/>
          <w:i/>
          <w:iCs/>
          <w:sz w:val="22"/>
          <w:szCs w:val="22"/>
          <w:vertAlign w:val="subscript"/>
          <w:lang w:val="en-GB"/>
        </w:rPr>
        <w:t>p</w:t>
      </w:r>
      <w:proofErr w:type="spellEnd"/>
      <w:r w:rsidRPr="005C566E">
        <w:rPr>
          <w:rFonts w:ascii="Cambria" w:eastAsia="手札体-简" w:hAnsi="Cambria"/>
          <w:sz w:val="22"/>
          <w:szCs w:val="22"/>
          <w:lang w:val="en-GB"/>
        </w:rPr>
        <w:t xml:space="preserve"> values.</w:t>
      </w:r>
    </w:p>
    <w:p w:rsidR="003F027C" w:rsidRPr="00E87153" w:rsidRDefault="003F027C" w:rsidP="003F027C">
      <w:pPr>
        <w:pStyle w:val="1"/>
        <w:shd w:val="clear" w:color="auto" w:fill="FFFFFF"/>
        <w:spacing w:before="300" w:after="240" w:line="480" w:lineRule="auto"/>
        <w:jc w:val="both"/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 w:eastAsia="zh-CN"/>
        </w:rPr>
      </w:pPr>
      <w:r w:rsidRPr="00312BC7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lastRenderedPageBreak/>
        <w:t xml:space="preserve">Fig. </w:t>
      </w:r>
      <w:r>
        <w:rPr>
          <w:rFonts w:ascii="Cambria" w:eastAsia="手札体-简" w:hAnsi="Cambria" w:cs="Times New Roman" w:hint="eastAsia"/>
          <w:b/>
          <w:bCs/>
          <w:color w:val="222222"/>
          <w:sz w:val="22"/>
          <w:szCs w:val="22"/>
          <w:lang w:val="en-GB" w:eastAsia="zh-CN"/>
        </w:rPr>
        <w:t>S</w:t>
      </w:r>
      <w:r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 w:eastAsia="zh-CN"/>
        </w:rPr>
        <w:t>2</w:t>
      </w:r>
      <w:r w:rsidRPr="00312BC7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>:</w:t>
      </w:r>
      <w:r w:rsidRPr="00E87153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 xml:space="preserve"> </w:t>
      </w:r>
      <w:r w:rsidRPr="001E78A0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 xml:space="preserve">Long-term </w:t>
      </w:r>
      <w:r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>E</w:t>
      </w:r>
      <w:r w:rsidRPr="001E78A0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 xml:space="preserve">volution of the </w:t>
      </w:r>
      <w:r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>Different M</w:t>
      </w:r>
      <w:r w:rsidRPr="005C566E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 xml:space="preserve">odels and </w:t>
      </w:r>
      <w:r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 w:eastAsia="zh-CN"/>
        </w:rPr>
        <w:t>T</w:t>
      </w:r>
      <w:r w:rsidRPr="005C566E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>heir Initial Rheological Structures</w:t>
      </w:r>
      <w:r w:rsidRPr="001E78A0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>.</w:t>
      </w:r>
    </w:p>
    <w:p w:rsidR="003F027C" w:rsidRDefault="003F027C" w:rsidP="003F027C">
      <w:pPr>
        <w:jc w:val="center"/>
        <w:rPr>
          <w:lang w:val="en-GB"/>
        </w:rPr>
      </w:pPr>
      <w:r w:rsidRPr="00977B95">
        <w:rPr>
          <w:noProof/>
          <w:lang w:val="en-GB"/>
        </w:rPr>
        <w:drawing>
          <wp:inline distT="0" distB="0" distL="0" distR="0" wp14:anchorId="5B8AA71E" wp14:editId="713A00E3">
            <wp:extent cx="4764570" cy="4492308"/>
            <wp:effectExtent l="0" t="0" r="0" b="0"/>
            <wp:docPr id="166021843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218434" name="图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570" cy="449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27C" w:rsidRDefault="003F027C" w:rsidP="003F027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mbria" w:eastAsia="手札体-简" w:hAnsi="Cambria"/>
          <w:lang w:val="en-GB"/>
        </w:rPr>
      </w:pPr>
      <w:r w:rsidRPr="00A2762E">
        <w:rPr>
          <w:rFonts w:ascii="Cambria" w:eastAsia="手札体-简" w:hAnsi="Cambria"/>
          <w:b/>
          <w:bCs/>
          <w:lang w:val="en-GB"/>
        </w:rPr>
        <w:t>a,</w:t>
      </w:r>
      <w:r w:rsidRPr="00A2762E">
        <w:rPr>
          <w:rFonts w:ascii="Cambria" w:eastAsia="手札体-简" w:hAnsi="Cambria"/>
          <w:lang w:val="en-GB"/>
        </w:rPr>
        <w:t xml:space="preserve"> Model 1: the drip-delamination model.</w:t>
      </w:r>
      <w:r w:rsidRPr="00A2762E">
        <w:rPr>
          <w:rFonts w:ascii="Cambria" w:eastAsia="手札体-简" w:hAnsi="Cambria"/>
          <w:b/>
          <w:bCs/>
          <w:lang w:val="en-GB"/>
        </w:rPr>
        <w:t xml:space="preserve"> b, </w:t>
      </w:r>
      <w:r w:rsidRPr="00A2762E">
        <w:rPr>
          <w:rFonts w:ascii="Cambria" w:eastAsia="手札体-简" w:hAnsi="Cambria"/>
          <w:lang w:val="en-GB"/>
        </w:rPr>
        <w:t xml:space="preserve">Model 2: double-subduction model. </w:t>
      </w:r>
      <w:r w:rsidRPr="00A2762E">
        <w:rPr>
          <w:rFonts w:ascii="Cambria" w:eastAsia="手札体-简" w:hAnsi="Cambria"/>
          <w:b/>
          <w:bCs/>
          <w:lang w:val="en-GB"/>
        </w:rPr>
        <w:t xml:space="preserve">c, </w:t>
      </w:r>
      <w:r w:rsidRPr="00A2762E">
        <w:rPr>
          <w:rFonts w:ascii="Cambria" w:eastAsia="手札体-简" w:hAnsi="Cambria"/>
          <w:lang w:val="en-GB"/>
        </w:rPr>
        <w:t xml:space="preserve">Model 3: steep-subduction model. </w:t>
      </w:r>
      <w:r w:rsidRPr="00A2762E">
        <w:rPr>
          <w:rFonts w:ascii="Cambria" w:eastAsia="手札体-简" w:hAnsi="Cambria"/>
          <w:b/>
          <w:bCs/>
          <w:lang w:val="en-GB"/>
        </w:rPr>
        <w:t>d,</w:t>
      </w:r>
      <w:r w:rsidRPr="00A2762E">
        <w:rPr>
          <w:rFonts w:ascii="Cambria" w:eastAsia="手札体-简" w:hAnsi="Cambria"/>
          <w:lang w:val="en-GB"/>
        </w:rPr>
        <w:t xml:space="preserve"> Model 4: flat-subduction model. </w:t>
      </w:r>
      <w:r w:rsidRPr="00A2762E">
        <w:rPr>
          <w:rFonts w:ascii="Cambria" w:eastAsia="手札体-简" w:hAnsi="Cambria"/>
          <w:b/>
          <w:bCs/>
          <w:lang w:val="en-GB"/>
        </w:rPr>
        <w:t>e,</w:t>
      </w:r>
      <w:r w:rsidRPr="00A2762E">
        <w:rPr>
          <w:rFonts w:ascii="Cambria" w:eastAsia="手札体-简" w:hAnsi="Cambria"/>
          <w:lang w:val="en-GB"/>
        </w:rPr>
        <w:t xml:space="preserve"> Model 5: transition-model model</w:t>
      </w:r>
      <w:r>
        <w:rPr>
          <w:rFonts w:ascii="Cambria" w:eastAsia="手札体-简" w:hAnsi="Cambria"/>
          <w:lang w:val="en-GB"/>
        </w:rPr>
        <w:t xml:space="preserve">. </w:t>
      </w:r>
      <w:r w:rsidRPr="00A2762E">
        <w:rPr>
          <w:rFonts w:ascii="Cambria" w:eastAsia="手札体-简" w:hAnsi="Cambria"/>
          <w:b/>
          <w:bCs/>
          <w:lang w:val="en-GB"/>
        </w:rPr>
        <w:t>(a-e</w:t>
      </w:r>
      <w:r w:rsidRPr="00A2762E">
        <w:rPr>
          <w:rFonts w:ascii="Cambria" w:eastAsia="手札体-简" w:hAnsi="Cambria" w:hint="eastAsia"/>
          <w:b/>
          <w:bCs/>
          <w:lang w:val="en-GB"/>
        </w:rPr>
        <w:t>)</w:t>
      </w:r>
      <w:r w:rsidRPr="00A2762E">
        <w:rPr>
          <w:rFonts w:ascii="Cambria" w:eastAsia="手札体-简" w:hAnsi="Cambria"/>
          <w:b/>
          <w:bCs/>
          <w:lang w:val="en-GB"/>
        </w:rPr>
        <w:t xml:space="preserve"> </w:t>
      </w:r>
      <w:r w:rsidRPr="005C566E">
        <w:rPr>
          <w:rFonts w:ascii="Cambria" w:eastAsia="手札体-简" w:hAnsi="Cambria"/>
          <w:lang w:val="en-GB"/>
        </w:rPr>
        <w:t xml:space="preserve">(a-e) On the left-hand side, the foundational rheological structure of each model is depicted. The 1D rheological composition of the continental (orange lines) and oceanic (green lines) </w:t>
      </w:r>
      <w:r>
        <w:rPr>
          <w:rFonts w:ascii="Cambria" w:eastAsia="手札体-简" w:hAnsi="Cambria"/>
          <w:lang w:val="en-GB"/>
        </w:rPr>
        <w:t>domain</w:t>
      </w:r>
      <w:r w:rsidRPr="005C566E">
        <w:rPr>
          <w:rFonts w:ascii="Cambria" w:eastAsia="手札体-简" w:hAnsi="Cambria"/>
          <w:lang w:val="en-GB"/>
        </w:rPr>
        <w:t>s is presented</w:t>
      </w:r>
      <w:r>
        <w:rPr>
          <w:rFonts w:ascii="Cambria" w:eastAsia="手札体-简" w:hAnsi="Cambria"/>
        </w:rPr>
        <w:t>.</w:t>
      </w:r>
      <w:r w:rsidRPr="0016418C">
        <w:t xml:space="preserve"> </w:t>
      </w:r>
      <w:r w:rsidRPr="0016418C">
        <w:rPr>
          <w:rFonts w:ascii="Cambria" w:eastAsia="手札体-简" w:hAnsi="Cambria"/>
        </w:rPr>
        <w:t>The 1D lithospheric strength is computed by taking the minimum value between the linear Mohr–Coulomb yielding stress and the power-law dislocation creep stress under a constant strain rate (1.6 × 10</w:t>
      </w:r>
      <w:r w:rsidRPr="00A75E55">
        <w:rPr>
          <w:rFonts w:ascii="Cambria" w:eastAsia="手札体-简" w:hAnsi="Cambria"/>
          <w:vertAlign w:val="superscript"/>
        </w:rPr>
        <w:t>−15</w:t>
      </w:r>
      <w:r w:rsidRPr="0016418C">
        <w:rPr>
          <w:rFonts w:ascii="Cambria" w:eastAsia="手札体-简" w:hAnsi="Cambria"/>
        </w:rPr>
        <w:t xml:space="preserve"> s</w:t>
      </w:r>
      <w:r w:rsidRPr="0016418C">
        <w:rPr>
          <w:rFonts w:ascii="Cambria" w:eastAsia="手札体-简" w:hAnsi="Cambria"/>
          <w:vertAlign w:val="superscript"/>
        </w:rPr>
        <w:t>−1</w:t>
      </w:r>
      <w:r w:rsidRPr="0016418C">
        <w:rPr>
          <w:rFonts w:ascii="Cambria" w:eastAsia="手札体-简" w:hAnsi="Cambria"/>
        </w:rPr>
        <w:t xml:space="preserve">). Related parameters are listed in Table </w:t>
      </w:r>
      <w:r w:rsidR="006C2FFD">
        <w:rPr>
          <w:rFonts w:ascii="Cambria" w:eastAsia="手札体-简" w:hAnsi="Cambria"/>
        </w:rPr>
        <w:t>S2</w:t>
      </w:r>
      <w:r w:rsidRPr="0016418C">
        <w:rPr>
          <w:rFonts w:ascii="Cambria" w:eastAsia="手札体-简" w:hAnsi="Cambria"/>
        </w:rPr>
        <w:t>.</w:t>
      </w:r>
      <w:r w:rsidRPr="005C566E">
        <w:rPr>
          <w:rFonts w:ascii="Cambria" w:eastAsia="手札体-简" w:hAnsi="Cambria"/>
          <w:lang w:val="en-GB"/>
        </w:rPr>
        <w:t xml:space="preserve"> Divergences in the ocean-continent rheological strengths are indicated by the bars, where green signifies positive values (</w:t>
      </w:r>
      <w:r>
        <w:rPr>
          <w:rFonts w:ascii="Cambria" w:eastAsia="手札体-简" w:hAnsi="Cambria"/>
          <w:lang w:val="en-GB"/>
        </w:rPr>
        <w:t xml:space="preserve">the </w:t>
      </w:r>
      <w:r w:rsidRPr="005C566E">
        <w:rPr>
          <w:rFonts w:ascii="Cambria" w:eastAsia="手札体-简" w:hAnsi="Cambria"/>
          <w:lang w:val="en-GB"/>
        </w:rPr>
        <w:t>ocean</w:t>
      </w:r>
      <w:r>
        <w:rPr>
          <w:rFonts w:ascii="Cambria" w:eastAsia="手札体-简" w:hAnsi="Cambria"/>
          <w:lang w:val="en-GB"/>
        </w:rPr>
        <w:t>ic lithospheric</w:t>
      </w:r>
      <w:r w:rsidRPr="005C566E">
        <w:rPr>
          <w:rFonts w:ascii="Cambria" w:eastAsia="手札体-简" w:hAnsi="Cambria"/>
          <w:lang w:val="en-GB"/>
        </w:rPr>
        <w:t xml:space="preserve"> strength surpassing </w:t>
      </w:r>
      <w:r>
        <w:rPr>
          <w:rFonts w:ascii="Cambria" w:eastAsia="手札体-简" w:hAnsi="Cambria"/>
          <w:lang w:val="en-GB"/>
        </w:rPr>
        <w:t xml:space="preserve">the </w:t>
      </w:r>
      <w:r w:rsidRPr="005C566E">
        <w:rPr>
          <w:rFonts w:ascii="Cambria" w:eastAsia="手札体-简" w:hAnsi="Cambria"/>
          <w:lang w:val="en-GB"/>
        </w:rPr>
        <w:t>continent</w:t>
      </w:r>
      <w:r>
        <w:rPr>
          <w:rFonts w:ascii="Cambria" w:eastAsia="手札体-简" w:hAnsi="Cambria"/>
          <w:lang w:val="en-GB"/>
        </w:rPr>
        <w:t>al one</w:t>
      </w:r>
      <w:r w:rsidRPr="005C566E">
        <w:rPr>
          <w:rFonts w:ascii="Cambria" w:eastAsia="手札体-简" w:hAnsi="Cambria"/>
          <w:lang w:val="en-GB"/>
        </w:rPr>
        <w:t xml:space="preserve"> at identical depths), and orange signifies negative values (</w:t>
      </w:r>
      <w:r>
        <w:rPr>
          <w:rFonts w:ascii="Cambria" w:eastAsia="手札体-简" w:hAnsi="Cambria"/>
          <w:lang w:val="en-GB"/>
        </w:rPr>
        <w:t xml:space="preserve">the </w:t>
      </w:r>
      <w:r w:rsidRPr="005C566E">
        <w:rPr>
          <w:rFonts w:ascii="Cambria" w:eastAsia="手札体-简" w:hAnsi="Cambria"/>
          <w:lang w:val="en-GB"/>
        </w:rPr>
        <w:t xml:space="preserve">continents with </w:t>
      </w:r>
      <w:r>
        <w:rPr>
          <w:rFonts w:ascii="Cambria" w:eastAsia="手札体-简" w:hAnsi="Cambria"/>
          <w:lang w:val="en-GB"/>
        </w:rPr>
        <w:t xml:space="preserve">a </w:t>
      </w:r>
      <w:r w:rsidRPr="005C566E">
        <w:rPr>
          <w:rFonts w:ascii="Cambria" w:eastAsia="手札体-简" w:hAnsi="Cambria"/>
          <w:lang w:val="en-GB"/>
        </w:rPr>
        <w:t>comparatively weaker rheology). The temperature gradient of the model is expressed through the blue line</w:t>
      </w:r>
      <w:r w:rsidRPr="00A2762E">
        <w:rPr>
          <w:rFonts w:ascii="Cambria" w:eastAsia="手札体-简" w:hAnsi="Cambria"/>
          <w:lang w:val="en-GB"/>
        </w:rPr>
        <w:t xml:space="preserve">. </w:t>
      </w:r>
      <w:r w:rsidRPr="00A2762E">
        <w:rPr>
          <w:rFonts w:ascii="Cambria" w:eastAsia="手札体-简" w:hAnsi="Cambria"/>
          <w:b/>
          <w:bCs/>
          <w:lang w:val="en-GB"/>
        </w:rPr>
        <w:t>f,</w:t>
      </w:r>
      <w:r w:rsidRPr="00A2762E">
        <w:rPr>
          <w:rFonts w:ascii="Cambria" w:eastAsia="手札体-简" w:hAnsi="Cambria"/>
          <w:lang w:val="en-GB"/>
        </w:rPr>
        <w:t xml:space="preserve"> The colour key for different materials.</w:t>
      </w:r>
    </w:p>
    <w:p w:rsidR="003F027C" w:rsidRPr="00A2762E" w:rsidRDefault="003F027C" w:rsidP="003F027C">
      <w:pPr>
        <w:pStyle w:val="1"/>
        <w:shd w:val="clear" w:color="auto" w:fill="FFFFFF"/>
        <w:spacing w:before="300" w:after="240" w:line="480" w:lineRule="auto"/>
        <w:jc w:val="both"/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 w:eastAsia="zh-CN"/>
        </w:rPr>
      </w:pPr>
      <w:r w:rsidRPr="00312BC7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lastRenderedPageBreak/>
        <w:t xml:space="preserve">Fig. </w:t>
      </w:r>
      <w:r>
        <w:rPr>
          <w:rFonts w:ascii="Cambria" w:eastAsia="手札体-简" w:hAnsi="Cambria" w:cs="Times New Roman" w:hint="eastAsia"/>
          <w:b/>
          <w:bCs/>
          <w:color w:val="222222"/>
          <w:sz w:val="22"/>
          <w:szCs w:val="22"/>
          <w:lang w:val="en-GB" w:eastAsia="zh-CN"/>
        </w:rPr>
        <w:t>S</w:t>
      </w:r>
      <w:r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 w:eastAsia="zh-CN"/>
        </w:rPr>
        <w:t>3</w:t>
      </w:r>
      <w:r w:rsidRPr="00312BC7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>:</w:t>
      </w:r>
      <w:r w:rsidRPr="00E87153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 xml:space="preserve"> </w:t>
      </w:r>
      <w:r w:rsidRPr="00A2762E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 xml:space="preserve">The </w:t>
      </w:r>
      <w:r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>M</w:t>
      </w:r>
      <w:r w:rsidRPr="00A2762E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 xml:space="preserve">odel </w:t>
      </w:r>
      <w:r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>E</w:t>
      </w:r>
      <w:r w:rsidRPr="00A2762E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 xml:space="preserve">volution as a </w:t>
      </w:r>
      <w:r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>F</w:t>
      </w:r>
      <w:r w:rsidRPr="00A2762E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 xml:space="preserve">unction of </w:t>
      </w:r>
      <w:r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>C</w:t>
      </w:r>
      <w:r w:rsidRPr="00A2762E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 xml:space="preserve">ontinental </w:t>
      </w:r>
      <w:r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>C</w:t>
      </w:r>
      <w:r w:rsidRPr="00A2762E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 xml:space="preserve">rustal </w:t>
      </w:r>
      <w:r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>T</w:t>
      </w:r>
      <w:r w:rsidRPr="00A2762E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 xml:space="preserve">hickness and </w:t>
      </w:r>
      <w:proofErr w:type="spellStart"/>
      <w:r w:rsidRPr="00A2762E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>ΔTp</w:t>
      </w:r>
      <w:proofErr w:type="spellEnd"/>
      <w:r w:rsidRPr="00A2762E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>.</w:t>
      </w:r>
    </w:p>
    <w:p w:rsidR="003F027C" w:rsidRDefault="003F027C" w:rsidP="003F027C">
      <w:pPr>
        <w:jc w:val="center"/>
        <w:rPr>
          <w:rFonts w:ascii="Cambria" w:eastAsia="手札体-简" w:hAnsi="Cambria" w:cs="Times New Roman"/>
          <w:lang w:val="en-GB" w:eastAsia="zh-CN"/>
        </w:rPr>
      </w:pPr>
      <w:r>
        <w:rPr>
          <w:noProof/>
          <w:lang w:val="en-GB"/>
        </w:rPr>
        <w:drawing>
          <wp:inline distT="0" distB="0" distL="0" distR="0" wp14:anchorId="5941003F" wp14:editId="2DB34D6D">
            <wp:extent cx="4452916" cy="3210105"/>
            <wp:effectExtent l="0" t="0" r="5080" b="3175"/>
            <wp:docPr id="7115270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527014" name="图片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2916" cy="321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27C" w:rsidRDefault="003F027C" w:rsidP="003F027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mbria" w:eastAsia="手札体-简" w:hAnsi="Cambria"/>
          <w:lang w:val="en-GB"/>
        </w:rPr>
      </w:pPr>
      <w:r w:rsidRPr="00A2762E">
        <w:rPr>
          <w:rFonts w:ascii="Cambria" w:eastAsia="手札体-简" w:hAnsi="Cambria"/>
          <w:b/>
          <w:bCs/>
          <w:lang w:val="en-GB"/>
        </w:rPr>
        <w:t>a,</w:t>
      </w:r>
      <w:r w:rsidRPr="00A2762E">
        <w:rPr>
          <w:rFonts w:ascii="Cambria" w:eastAsia="手札体-简" w:hAnsi="Cambria"/>
          <w:lang w:val="en-GB"/>
        </w:rPr>
        <w:t xml:space="preserve"> </w:t>
      </w:r>
      <w:r w:rsidRPr="005C566E">
        <w:rPr>
          <w:rFonts w:ascii="Cambria" w:eastAsia="手札体-简" w:hAnsi="Cambria"/>
          <w:color w:val="000000" w:themeColor="text1"/>
          <w:shd w:val="clear" w:color="auto" w:fill="FFFFFF"/>
          <w:lang w:val="en-GB"/>
        </w:rPr>
        <w:t xml:space="preserve">Depiction of the disparity in Lithospheric Rheological </w:t>
      </w:r>
      <w:r>
        <w:rPr>
          <w:rFonts w:ascii="Cambria" w:eastAsia="手札体-简" w:hAnsi="Cambria" w:hint="eastAsia"/>
          <w:color w:val="000000" w:themeColor="text1"/>
          <w:shd w:val="clear" w:color="auto" w:fill="FFFFFF"/>
          <w:lang w:val="en-GB"/>
        </w:rPr>
        <w:t>Strength</w:t>
      </w:r>
      <w:r w:rsidRPr="005C566E">
        <w:rPr>
          <w:rFonts w:ascii="Cambria" w:eastAsia="手札体-简" w:hAnsi="Cambria"/>
          <w:color w:val="000000" w:themeColor="text1"/>
          <w:shd w:val="clear" w:color="auto" w:fill="FFFFFF"/>
          <w:lang w:val="en-GB"/>
        </w:rPr>
        <w:t xml:space="preserve">, as represented by </w:t>
      </w:r>
      <w:r w:rsidRPr="000534B5">
        <w:rPr>
          <w:rFonts w:ascii="Cambria" w:eastAsia="手札体-简" w:hAnsi="Cambria"/>
          <w:color w:val="000000" w:themeColor="text1"/>
          <w:shd w:val="clear" w:color="auto" w:fill="FFFFFF"/>
          <w:lang w:val="en-GB"/>
        </w:rPr>
        <w:t xml:space="preserve">strength contrast between </w:t>
      </w:r>
      <w:r>
        <w:rPr>
          <w:rFonts w:ascii="Cambria" w:eastAsia="手札体-简" w:hAnsi="Cambria"/>
          <w:color w:val="000000" w:themeColor="text1"/>
          <w:shd w:val="clear" w:color="auto" w:fill="FFFFFF"/>
          <w:lang w:val="en-GB"/>
        </w:rPr>
        <w:t>oceanic and continent lithosphere</w:t>
      </w:r>
      <w:r w:rsidRPr="005C566E">
        <w:rPr>
          <w:rFonts w:ascii="Cambria" w:eastAsia="手札体-简" w:hAnsi="Cambria"/>
          <w:color w:val="000000" w:themeColor="text1"/>
          <w:shd w:val="clear" w:color="auto" w:fill="FFFFFF"/>
          <w:lang w:val="en-GB"/>
        </w:rPr>
        <w:t xml:space="preserve"> between continents and oceans</w:t>
      </w:r>
      <w:r w:rsidRPr="00A2762E">
        <w:rPr>
          <w:rFonts w:ascii="Cambria" w:eastAsia="手札体-简" w:hAnsi="Cambria"/>
          <w:lang w:val="en-GB"/>
        </w:rPr>
        <w:t xml:space="preserve">. </w:t>
      </w:r>
      <w:r>
        <w:rPr>
          <w:rFonts w:ascii="Cambria" w:eastAsia="手札体-简" w:hAnsi="Cambria" w:hint="eastAsia"/>
          <w:b/>
          <w:bCs/>
          <w:lang w:val="en-GB"/>
        </w:rPr>
        <w:t>b</w:t>
      </w:r>
      <w:r w:rsidRPr="00A2762E">
        <w:rPr>
          <w:rFonts w:ascii="Cambria" w:eastAsia="手札体-简" w:hAnsi="Cambria"/>
          <w:b/>
          <w:bCs/>
          <w:lang w:val="en-GB"/>
        </w:rPr>
        <w:t>,</w:t>
      </w:r>
      <w:r w:rsidRPr="00A2762E">
        <w:rPr>
          <w:rFonts w:ascii="Cambria" w:eastAsia="手札体-简" w:hAnsi="Cambria"/>
          <w:lang w:val="en-GB"/>
        </w:rPr>
        <w:t xml:space="preserve"> </w:t>
      </w:r>
      <w:r w:rsidRPr="005C566E">
        <w:rPr>
          <w:rFonts w:ascii="Cambria" w:eastAsia="手札体-简" w:hAnsi="Cambria"/>
          <w:lang w:val="en-GB"/>
        </w:rPr>
        <w:t>Exploration of the parameter</w:t>
      </w:r>
      <w:r w:rsidRPr="00192F28">
        <w:rPr>
          <w:rFonts w:ascii="Cambria" w:eastAsia="手札体-简" w:hAnsi="Cambria"/>
          <w:i/>
          <w:iCs/>
          <w:lang w:val="en-GB"/>
        </w:rPr>
        <w:t xml:space="preserve"> ϕ</w:t>
      </w:r>
      <w:r w:rsidRPr="005C566E">
        <w:rPr>
          <w:rFonts w:ascii="Cambria" w:eastAsia="手札体-简" w:hAnsi="Cambria"/>
          <w:lang w:val="en-GB"/>
        </w:rPr>
        <w:t xml:space="preserve">, denoting a crucial factor in </w:t>
      </w:r>
      <w:r>
        <w:rPr>
          <w:rFonts w:ascii="Cambria" w:eastAsia="手札体-简" w:hAnsi="Cambria"/>
          <w:lang w:val="en-GB"/>
        </w:rPr>
        <w:t xml:space="preserve">the </w:t>
      </w:r>
      <w:r w:rsidRPr="005C566E">
        <w:rPr>
          <w:rFonts w:ascii="Cambria" w:eastAsia="手札体-简" w:hAnsi="Cambria"/>
          <w:lang w:val="en-GB"/>
        </w:rPr>
        <w:t>Earth's geological processes</w:t>
      </w:r>
      <w:r w:rsidRPr="00A2762E">
        <w:rPr>
          <w:rFonts w:ascii="Cambria" w:eastAsia="手札体-简" w:hAnsi="Cambria"/>
          <w:lang w:val="en-GB"/>
        </w:rPr>
        <w:t xml:space="preserve">. </w:t>
      </w:r>
      <w:r w:rsidRPr="005C566E">
        <w:rPr>
          <w:rFonts w:ascii="Cambria" w:eastAsia="手札体-简" w:hAnsi="Cambria"/>
          <w:lang w:val="en-GB"/>
        </w:rPr>
        <w:t>The diversity of evolutionary paradigms is symbolized by distinct white silhouettes, embodying various models: drip-delamination (fork sign), double-subduction (diamond), steep-subduction (triangle), flat-subduction (circle), transition-model (rectangle), and death-model (rectangle).</w:t>
      </w:r>
    </w:p>
    <w:p w:rsidR="00564FFF" w:rsidRDefault="00564FFF" w:rsidP="003F027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mbria" w:eastAsia="手札体-简" w:hAnsi="Cambria"/>
          <w:lang w:val="en-GB"/>
        </w:rPr>
      </w:pPr>
    </w:p>
    <w:p w:rsidR="00564FFF" w:rsidRDefault="00564FFF" w:rsidP="003F027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mbria" w:eastAsia="手札体-简" w:hAnsi="Cambria"/>
          <w:lang w:val="en-GB"/>
        </w:rPr>
      </w:pPr>
    </w:p>
    <w:p w:rsidR="00564FFF" w:rsidRDefault="00564FFF" w:rsidP="003F027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mbria" w:eastAsia="手札体-简" w:hAnsi="Cambria"/>
          <w:lang w:val="en-GB"/>
        </w:rPr>
      </w:pPr>
    </w:p>
    <w:p w:rsidR="00564FFF" w:rsidRDefault="00564FFF" w:rsidP="003F027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mbria" w:eastAsia="手札体-简" w:hAnsi="Cambria"/>
          <w:lang w:val="en-GB"/>
        </w:rPr>
      </w:pPr>
    </w:p>
    <w:p w:rsidR="00564FFF" w:rsidRPr="00564FFF" w:rsidRDefault="00564FFF" w:rsidP="003F027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mbria" w:eastAsia="手札体-简" w:hAnsi="Cambria" w:hint="eastAsia"/>
          <w:lang w:val="en-GB"/>
        </w:rPr>
      </w:pPr>
    </w:p>
    <w:p w:rsidR="003F027C" w:rsidRPr="00DC37C3" w:rsidRDefault="003F027C" w:rsidP="003F027C">
      <w:pPr>
        <w:pStyle w:val="1"/>
        <w:shd w:val="clear" w:color="auto" w:fill="FFFFFF"/>
        <w:spacing w:before="300" w:after="240" w:line="480" w:lineRule="auto"/>
        <w:jc w:val="both"/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 w:eastAsia="zh-CN"/>
        </w:rPr>
      </w:pPr>
      <w:r w:rsidRPr="00312BC7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lastRenderedPageBreak/>
        <w:t xml:space="preserve">Fig. </w:t>
      </w:r>
      <w:r>
        <w:rPr>
          <w:rFonts w:ascii="Cambria" w:eastAsia="手札体-简" w:hAnsi="Cambria" w:cs="Times New Roman" w:hint="eastAsia"/>
          <w:b/>
          <w:bCs/>
          <w:color w:val="222222"/>
          <w:sz w:val="22"/>
          <w:szCs w:val="22"/>
          <w:lang w:val="en-GB" w:eastAsia="zh-CN"/>
        </w:rPr>
        <w:t>S</w:t>
      </w:r>
      <w:r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 w:eastAsia="zh-CN"/>
        </w:rPr>
        <w:t>4</w:t>
      </w:r>
      <w:r w:rsidRPr="00312BC7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>:</w:t>
      </w:r>
      <w:r w:rsidRPr="00E87153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 xml:space="preserve"> </w:t>
      </w:r>
      <w:r w:rsidRPr="005C566E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>Model Input Parameters and Extrapolation</w:t>
      </w:r>
      <w:r>
        <w:rPr>
          <w:rFonts w:ascii="Cambria" w:eastAsia="手札体-简" w:hAnsi="Cambria" w:cs="Times New Roman" w:hint="eastAsia"/>
          <w:b/>
          <w:bCs/>
          <w:color w:val="222222"/>
          <w:sz w:val="22"/>
          <w:szCs w:val="22"/>
          <w:lang w:val="en-GB" w:eastAsia="zh-CN"/>
        </w:rPr>
        <w:t>.</w:t>
      </w:r>
    </w:p>
    <w:p w:rsidR="003F027C" w:rsidRDefault="003F027C" w:rsidP="003F027C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52AE0E96" wp14:editId="7A726EF9">
            <wp:extent cx="5023857" cy="1932252"/>
            <wp:effectExtent l="0" t="0" r="0" b="0"/>
            <wp:docPr id="164889354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893548" name="图片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3857" cy="193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27C" w:rsidRDefault="003F027C" w:rsidP="003F027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mbria" w:eastAsia="手札体-简" w:hAnsi="Cambria"/>
          <w:lang w:val="en-GB"/>
        </w:rPr>
      </w:pPr>
      <w:r w:rsidRPr="00A2762E">
        <w:rPr>
          <w:rFonts w:ascii="Cambria" w:eastAsia="手札体-简" w:hAnsi="Cambria"/>
          <w:b/>
          <w:bCs/>
          <w:lang w:val="en-GB"/>
        </w:rPr>
        <w:t>a,</w:t>
      </w:r>
      <w:r w:rsidRPr="00A2762E">
        <w:rPr>
          <w:rFonts w:ascii="Cambria" w:eastAsia="手札体-简" w:hAnsi="Cambria"/>
          <w:lang w:val="en-GB"/>
        </w:rPr>
        <w:t xml:space="preserve"> </w:t>
      </w:r>
      <w:r w:rsidRPr="005C566E">
        <w:rPr>
          <w:rFonts w:ascii="Cambria" w:eastAsia="手札体-简" w:hAnsi="Cambria"/>
          <w:lang w:val="en-GB"/>
        </w:rPr>
        <w:t>the continental crustal thickness and mantle potential temperature (</w:t>
      </w:r>
      <w:proofErr w:type="spellStart"/>
      <w:r w:rsidRPr="002752FA">
        <w:rPr>
          <w:rFonts w:ascii="Cambria" w:eastAsia="手札体-简" w:hAnsi="Cambria" w:hint="eastAsia"/>
          <w:i/>
          <w:iCs/>
          <w:sz w:val="22"/>
          <w:szCs w:val="22"/>
          <w:lang w:val="en-GB"/>
        </w:rPr>
        <w:t>T</w:t>
      </w:r>
      <w:r w:rsidRPr="002752FA">
        <w:rPr>
          <w:rFonts w:ascii="Cambria" w:eastAsia="手札体-简" w:hAnsi="Cambria" w:hint="eastAsia"/>
          <w:i/>
          <w:iCs/>
          <w:sz w:val="22"/>
          <w:szCs w:val="22"/>
          <w:vertAlign w:val="subscript"/>
          <w:lang w:val="en-GB"/>
        </w:rPr>
        <w:t>p</w:t>
      </w:r>
      <w:proofErr w:type="spellEnd"/>
      <w:r w:rsidRPr="005C566E">
        <w:rPr>
          <w:rFonts w:ascii="Cambria" w:eastAsia="手札体-简" w:hAnsi="Cambria"/>
          <w:lang w:val="en-GB"/>
        </w:rPr>
        <w:t xml:space="preserve">) employed for constructing the model, as illustrated in Figure </w:t>
      </w:r>
      <w:r w:rsidRPr="007C4354">
        <w:rPr>
          <w:rFonts w:ascii="Cambria" w:eastAsia="手札体-简" w:hAnsi="Cambria"/>
          <w:lang w:val="en-GB"/>
        </w:rPr>
        <w:t>S</w:t>
      </w:r>
      <w:r w:rsidRPr="005C566E">
        <w:rPr>
          <w:rFonts w:ascii="Cambria" w:eastAsia="手札体-简" w:hAnsi="Cambria"/>
          <w:lang w:val="en-GB"/>
        </w:rPr>
        <w:t xml:space="preserve">4, are derived. The temporal framework utilized for this analysis is referenced from </w:t>
      </w:r>
      <w:proofErr w:type="spellStart"/>
      <w:r w:rsidRPr="007C4354">
        <w:rPr>
          <w:rFonts w:ascii="Cambria" w:eastAsia="手札体-简" w:hAnsi="Cambria"/>
          <w:lang w:val="en-GB"/>
        </w:rPr>
        <w:t>Dhuime</w:t>
      </w:r>
      <w:proofErr w:type="spellEnd"/>
      <w:r w:rsidRPr="007C4354">
        <w:rPr>
          <w:rFonts w:ascii="Cambria" w:eastAsia="手札体-简" w:hAnsi="Cambria"/>
          <w:lang w:val="en-GB"/>
        </w:rPr>
        <w:t xml:space="preserve"> et al. (2015)</w:t>
      </w:r>
      <w:r w:rsidRPr="005C566E">
        <w:rPr>
          <w:rFonts w:ascii="Cambria" w:eastAsia="手札体-简" w:hAnsi="Cambria"/>
          <w:lang w:val="en-GB"/>
        </w:rPr>
        <w:t xml:space="preserve"> and </w:t>
      </w:r>
      <w:r w:rsidRPr="007C4354">
        <w:rPr>
          <w:rFonts w:ascii="Cambria" w:eastAsia="手札体-简" w:hAnsi="Cambria"/>
          <w:lang w:val="en-GB"/>
        </w:rPr>
        <w:t>Herzberg et al. (2010)</w:t>
      </w:r>
      <w:r w:rsidRPr="005C566E">
        <w:rPr>
          <w:rFonts w:ascii="Cambria" w:eastAsia="手札体-简" w:hAnsi="Cambria"/>
          <w:lang w:val="en-GB"/>
        </w:rPr>
        <w:t>. These sources contribute pivotal data points for the present context.</w:t>
      </w:r>
      <w:r>
        <w:rPr>
          <w:rFonts w:ascii="Cambria" w:eastAsia="手札体-简" w:hAnsi="Cambria" w:hint="eastAsia"/>
          <w:lang w:val="en-GB"/>
        </w:rPr>
        <w:t xml:space="preserve"> </w:t>
      </w:r>
      <w:r w:rsidRPr="005C566E">
        <w:rPr>
          <w:rFonts w:ascii="Cambria" w:eastAsia="手札体-简" w:hAnsi="Cambria"/>
          <w:lang w:val="en-GB"/>
        </w:rPr>
        <w:t>In the context of future predictions, the forthcoming continental crustal thickness is vividly indicated by the blue bar, held consistently at a value of 30 km. The projection of future mantle potential temperature (</w:t>
      </w:r>
      <w:proofErr w:type="spellStart"/>
      <w:r w:rsidRPr="002752FA">
        <w:rPr>
          <w:rFonts w:ascii="Cambria" w:eastAsia="手札体-简" w:hAnsi="Cambria" w:hint="eastAsia"/>
          <w:i/>
          <w:iCs/>
          <w:sz w:val="22"/>
          <w:szCs w:val="22"/>
          <w:lang w:val="en-GB"/>
        </w:rPr>
        <w:t>T</w:t>
      </w:r>
      <w:r w:rsidRPr="002752FA">
        <w:rPr>
          <w:rFonts w:ascii="Cambria" w:eastAsia="手札体-简" w:hAnsi="Cambria" w:hint="eastAsia"/>
          <w:i/>
          <w:iCs/>
          <w:sz w:val="22"/>
          <w:szCs w:val="22"/>
          <w:vertAlign w:val="subscript"/>
          <w:lang w:val="en-GB"/>
        </w:rPr>
        <w:t>p</w:t>
      </w:r>
      <w:proofErr w:type="spellEnd"/>
      <w:r w:rsidRPr="005C566E">
        <w:rPr>
          <w:rFonts w:ascii="Cambria" w:eastAsia="手札体-简" w:hAnsi="Cambria"/>
          <w:lang w:val="en-GB"/>
        </w:rPr>
        <w:t xml:space="preserve">) is represented by the brown dashed line. This forecasted </w:t>
      </w:r>
      <w:proofErr w:type="spellStart"/>
      <w:r w:rsidRPr="002752FA">
        <w:rPr>
          <w:rFonts w:ascii="Cambria" w:eastAsia="手札体-简" w:hAnsi="Cambria" w:hint="eastAsia"/>
          <w:i/>
          <w:iCs/>
          <w:sz w:val="22"/>
          <w:szCs w:val="22"/>
          <w:lang w:val="en-GB"/>
        </w:rPr>
        <w:t>T</w:t>
      </w:r>
      <w:r w:rsidRPr="002752FA">
        <w:rPr>
          <w:rFonts w:ascii="Cambria" w:eastAsia="手札体-简" w:hAnsi="Cambria" w:hint="eastAsia"/>
          <w:i/>
          <w:iCs/>
          <w:sz w:val="22"/>
          <w:szCs w:val="22"/>
          <w:vertAlign w:val="subscript"/>
          <w:lang w:val="en-GB"/>
        </w:rPr>
        <w:t>p</w:t>
      </w:r>
      <w:proofErr w:type="spellEnd"/>
      <w:r w:rsidRPr="005C566E">
        <w:rPr>
          <w:rFonts w:ascii="Cambria" w:eastAsia="手札体-简" w:hAnsi="Cambria"/>
          <w:lang w:val="en-GB"/>
        </w:rPr>
        <w:t xml:space="preserve"> value is ascertained through calculations based on quadratic linear fitting techniques.</w:t>
      </w:r>
      <w:r w:rsidRPr="00C0141E">
        <w:rPr>
          <w:rFonts w:ascii="Cambria" w:eastAsia="手札体-简" w:hAnsi="Cambria"/>
          <w:b/>
          <w:bCs/>
          <w:lang w:val="en-GB"/>
        </w:rPr>
        <w:t xml:space="preserve"> </w:t>
      </w:r>
      <w:r>
        <w:rPr>
          <w:rFonts w:ascii="Cambria" w:eastAsia="手札体-简" w:hAnsi="Cambria" w:hint="eastAsia"/>
          <w:b/>
          <w:bCs/>
          <w:lang w:val="en-GB"/>
        </w:rPr>
        <w:t>b</w:t>
      </w:r>
      <w:r w:rsidRPr="00A2762E">
        <w:rPr>
          <w:rFonts w:ascii="Cambria" w:eastAsia="手札体-简" w:hAnsi="Cambria"/>
          <w:b/>
          <w:bCs/>
          <w:lang w:val="en-GB"/>
        </w:rPr>
        <w:t>,</w:t>
      </w:r>
      <w:r>
        <w:rPr>
          <w:rFonts w:ascii="Cambria" w:eastAsia="手札体-简" w:hAnsi="Cambria"/>
          <w:b/>
          <w:bCs/>
          <w:lang w:val="en-GB"/>
        </w:rPr>
        <w:t xml:space="preserve"> </w:t>
      </w:r>
      <w:r>
        <w:rPr>
          <w:rFonts w:ascii="Cambria" w:eastAsia="手札体-简" w:hAnsi="Cambria"/>
          <w:lang w:val="en-GB"/>
        </w:rPr>
        <w:t>t</w:t>
      </w:r>
      <w:r w:rsidRPr="00C0141E">
        <w:rPr>
          <w:rFonts w:ascii="Cambria" w:eastAsia="手札体-简" w:hAnsi="Cambria"/>
          <w:lang w:val="en-GB"/>
        </w:rPr>
        <w:t xml:space="preserve">he reciprocal interplay between the Earth's cooling processes and the concomitant amplification of the continental thickness drives the temporal variation in the </w:t>
      </w:r>
      <w:r>
        <w:rPr>
          <w:rFonts w:ascii="Cambria" w:eastAsia="手札体-简" w:hAnsi="Cambria"/>
          <w:lang w:val="en-GB"/>
        </w:rPr>
        <w:t xml:space="preserve">lithospheric </w:t>
      </w:r>
      <w:r w:rsidRPr="00C0141E">
        <w:rPr>
          <w:rFonts w:ascii="Cambria" w:eastAsia="手札体-简" w:hAnsi="Cambria"/>
          <w:lang w:val="en-GB"/>
        </w:rPr>
        <w:t>rheological strength. In this context, the strong yield strength envelope (YSE) values of the oceanic (</w:t>
      </w:r>
      <w:r>
        <w:t>yellow</w:t>
      </w:r>
      <w:r w:rsidRPr="00C0141E">
        <w:rPr>
          <w:rFonts w:ascii="Cambria" w:eastAsia="手札体-简" w:hAnsi="Cambria"/>
          <w:lang w:val="en-GB"/>
        </w:rPr>
        <w:t>) and continental (grey) compositions are different, representing the culmination of the lithospheric strengths.</w:t>
      </w:r>
    </w:p>
    <w:p w:rsidR="00564FFF" w:rsidRDefault="00564FFF" w:rsidP="003F027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mbria" w:eastAsia="手札体-简" w:hAnsi="Cambria"/>
          <w:lang w:val="en-GB"/>
        </w:rPr>
      </w:pPr>
    </w:p>
    <w:p w:rsidR="00564FFF" w:rsidRDefault="00564FFF" w:rsidP="003F027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mbria" w:eastAsia="手札体-简" w:hAnsi="Cambria"/>
          <w:lang w:val="en-GB"/>
        </w:rPr>
      </w:pPr>
    </w:p>
    <w:p w:rsidR="00564FFF" w:rsidRDefault="00564FFF" w:rsidP="003F027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mbria" w:eastAsia="手札体-简" w:hAnsi="Cambria"/>
          <w:lang w:val="en-GB"/>
        </w:rPr>
      </w:pPr>
    </w:p>
    <w:p w:rsidR="00564FFF" w:rsidRPr="002752FA" w:rsidRDefault="00564FFF" w:rsidP="003F027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mbria" w:eastAsia="手札体-简" w:hAnsi="Cambria" w:hint="eastAsia"/>
          <w:lang w:val="en-GB"/>
        </w:rPr>
      </w:pPr>
    </w:p>
    <w:p w:rsidR="003F027C" w:rsidRPr="00A2762E" w:rsidRDefault="003F027C" w:rsidP="003F027C">
      <w:pPr>
        <w:pStyle w:val="1"/>
        <w:shd w:val="clear" w:color="auto" w:fill="FFFFFF"/>
        <w:spacing w:before="300" w:after="240" w:line="480" w:lineRule="auto"/>
        <w:jc w:val="both"/>
        <w:rPr>
          <w:lang w:val="en-GB"/>
        </w:rPr>
      </w:pPr>
      <w:r w:rsidRPr="00312BC7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lastRenderedPageBreak/>
        <w:t xml:space="preserve">Fig. </w:t>
      </w:r>
      <w:r>
        <w:rPr>
          <w:rFonts w:ascii="Cambria" w:eastAsia="手札体-简" w:hAnsi="Cambria" w:cs="Times New Roman" w:hint="eastAsia"/>
          <w:b/>
          <w:bCs/>
          <w:color w:val="222222"/>
          <w:sz w:val="22"/>
          <w:szCs w:val="22"/>
          <w:lang w:val="en-GB" w:eastAsia="zh-CN"/>
        </w:rPr>
        <w:t>S</w:t>
      </w:r>
      <w:r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 w:eastAsia="zh-CN"/>
        </w:rPr>
        <w:t>5</w:t>
      </w:r>
      <w:r w:rsidRPr="00312BC7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>:</w:t>
      </w:r>
      <w:r w:rsidRPr="00E87153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 xml:space="preserve"> </w:t>
      </w:r>
      <w:r w:rsidRPr="00D95EE4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>Subduction Forces and Morphodynamical Evolution</w:t>
      </w:r>
      <w:r w:rsidRPr="00A2762E">
        <w:rPr>
          <w:rFonts w:ascii="Cambria" w:eastAsia="手札体-简" w:hAnsi="Cambria" w:cs="Times New Roman"/>
          <w:b/>
          <w:bCs/>
          <w:color w:val="222222"/>
          <w:sz w:val="22"/>
          <w:szCs w:val="22"/>
          <w:lang w:val="en-GB"/>
        </w:rPr>
        <w:t>.</w:t>
      </w:r>
    </w:p>
    <w:p w:rsidR="003F027C" w:rsidRPr="006C0751" w:rsidRDefault="003F027C" w:rsidP="003F027C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13184889" wp14:editId="25A36FD6">
            <wp:extent cx="4802540" cy="2056845"/>
            <wp:effectExtent l="0" t="0" r="0" b="635"/>
            <wp:docPr id="108420033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200330" name="图片 108420033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5647" cy="206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27C" w:rsidRPr="00192F28" w:rsidRDefault="003F027C" w:rsidP="003F027C">
      <w:pPr>
        <w:spacing w:line="360" w:lineRule="auto"/>
        <w:jc w:val="both"/>
        <w:rPr>
          <w:rFonts w:ascii="Cambria" w:eastAsia="手札体-简" w:hAnsi="Cambria"/>
          <w:sz w:val="24"/>
          <w:szCs w:val="24"/>
          <w:lang w:val="en-GB"/>
        </w:rPr>
      </w:pPr>
      <w:r w:rsidRPr="00192F28">
        <w:rPr>
          <w:rFonts w:ascii="Cambria" w:eastAsia="手札体-简" w:hAnsi="Cambria"/>
          <w:sz w:val="24"/>
          <w:szCs w:val="24"/>
          <w:lang w:val="en-GB"/>
        </w:rPr>
        <w:t xml:space="preserve">a, </w:t>
      </w:r>
      <w:r w:rsidRPr="00192F28">
        <w:rPr>
          <w:rFonts w:ascii="Cambria" w:eastAsia="手札体-简" w:hAnsi="Cambria"/>
          <w:sz w:val="24"/>
          <w:szCs w:val="24"/>
          <w:lang w:val="en-GB" w:eastAsia="zh-CN"/>
        </w:rPr>
        <w:t xml:space="preserve">the </w:t>
      </w:r>
      <w:r w:rsidRPr="00192F28">
        <w:rPr>
          <w:rFonts w:ascii="Cambria" w:eastAsia="手札体-简" w:hAnsi="Cambria"/>
          <w:sz w:val="24"/>
          <w:szCs w:val="24"/>
          <w:lang w:val="en-GB"/>
        </w:rPr>
        <w:t xml:space="preserve">examination of subduction forces across diverse temporal epochs is undertaken. The distinct </w:t>
      </w:r>
      <w:proofErr w:type="spellStart"/>
      <w:r w:rsidRPr="00192F28">
        <w:rPr>
          <w:rFonts w:ascii="Cambria" w:eastAsia="手札体-简" w:hAnsi="Cambria"/>
          <w:sz w:val="24"/>
          <w:szCs w:val="24"/>
          <w:lang w:val="en-GB"/>
        </w:rPr>
        <w:t>colored</w:t>
      </w:r>
      <w:proofErr w:type="spellEnd"/>
      <w:r w:rsidRPr="00192F28">
        <w:rPr>
          <w:rFonts w:ascii="Cambria" w:eastAsia="手札体-简" w:hAnsi="Cambria"/>
          <w:sz w:val="24"/>
          <w:szCs w:val="24"/>
          <w:lang w:val="en-GB"/>
        </w:rPr>
        <w:t xml:space="preserve"> lines signify the stress states along subduction zones corresponding to different geological periods: Archean (red), Paleogene (orange), present (grey), and future (blue). b, A visual elucidation of extensive-scale crustal fold deformation during the Archean period is presented, modified from </w:t>
      </w:r>
      <w:r w:rsidRPr="007C4354">
        <w:rPr>
          <w:rFonts w:ascii="Cambria" w:eastAsia="手札体-简" w:hAnsi="Cambria"/>
          <w:sz w:val="24"/>
          <w:szCs w:val="24"/>
          <w:lang w:val="en-GB"/>
        </w:rPr>
        <w:t>Burov</w:t>
      </w:r>
      <w:r>
        <w:rPr>
          <w:rFonts w:ascii="Cambria" w:eastAsia="手札体-简" w:hAnsi="Cambria"/>
          <w:sz w:val="24"/>
          <w:szCs w:val="24"/>
          <w:lang w:val="en-GB"/>
        </w:rPr>
        <w:t xml:space="preserve"> </w:t>
      </w:r>
      <w:r w:rsidRPr="007C4354">
        <w:rPr>
          <w:rFonts w:ascii="Cambria" w:eastAsia="手札体-简" w:hAnsi="Cambria"/>
          <w:sz w:val="24"/>
          <w:szCs w:val="24"/>
          <w:lang w:val="en-GB"/>
        </w:rPr>
        <w:t>(2011)</w:t>
      </w:r>
      <w:r w:rsidRPr="00192F28">
        <w:rPr>
          <w:rFonts w:ascii="Cambria" w:eastAsia="手札体-简" w:hAnsi="Cambria"/>
          <w:sz w:val="24"/>
          <w:szCs w:val="24"/>
          <w:lang w:val="en-GB"/>
        </w:rPr>
        <w:t>. Subduction plate sheet drag forces fail easily, making it difficult to form continuous subduction. c, an insightful portrayal of the contemporary subduction scenario is showcased.</w:t>
      </w:r>
    </w:p>
    <w:p w:rsidR="003F027C" w:rsidRPr="002752FA" w:rsidRDefault="003F027C" w:rsidP="003F027C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Cambria" w:eastAsia="手札体-简" w:hAnsi="Cambria"/>
          <w:sz w:val="22"/>
          <w:lang w:val="en-GB"/>
        </w:rPr>
      </w:pPr>
    </w:p>
    <w:p w:rsidR="008847B3" w:rsidRPr="003F027C" w:rsidRDefault="008847B3" w:rsidP="003F027C">
      <w:pPr>
        <w:rPr>
          <w:lang w:val="en-GB"/>
        </w:rPr>
      </w:pPr>
    </w:p>
    <w:sectPr w:rsidR="008847B3" w:rsidRPr="003F027C" w:rsidSect="00312BC7">
      <w:footerReference w:type="default" r:id="rId12"/>
      <w:pgSz w:w="12240" w:h="15840"/>
      <w:pgMar w:top="720" w:right="720" w:bottom="720" w:left="72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48DC" w:rsidRDefault="004048DC">
      <w:pPr>
        <w:spacing w:after="0" w:line="240" w:lineRule="auto"/>
      </w:pPr>
      <w:r>
        <w:separator/>
      </w:r>
    </w:p>
  </w:endnote>
  <w:endnote w:type="continuationSeparator" w:id="0">
    <w:p w:rsidR="004048DC" w:rsidRDefault="0040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手札体-简">
    <w:altName w:val="宋体"/>
    <w:panose1 w:val="03000500000000000000"/>
    <w:charset w:val="86"/>
    <w:family w:val="script"/>
    <w:pitch w:val="variable"/>
    <w:sig w:usb0="A00002FF" w:usb1="7ACF7CFB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4782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65CE" w:rsidRDefault="0000000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165CE" w:rsidRDefault="002165C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48DC" w:rsidRDefault="004048DC">
      <w:pPr>
        <w:spacing w:after="0" w:line="240" w:lineRule="auto"/>
      </w:pPr>
      <w:r>
        <w:separator/>
      </w:r>
    </w:p>
  </w:footnote>
  <w:footnote w:type="continuationSeparator" w:id="0">
    <w:p w:rsidR="004048DC" w:rsidRDefault="00404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A0A58"/>
    <w:multiLevelType w:val="hybridMultilevel"/>
    <w:tmpl w:val="7D78EB64"/>
    <w:lvl w:ilvl="0" w:tplc="0B52C4A4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lowerLetter"/>
      <w:lvlText w:val="%5)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lowerLetter"/>
      <w:lvlText w:val="%8)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1" w15:restartNumberingAfterBreak="0">
    <w:nsid w:val="573D0957"/>
    <w:multiLevelType w:val="hybridMultilevel"/>
    <w:tmpl w:val="9140DA50"/>
    <w:lvl w:ilvl="0" w:tplc="AD589F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50361801">
    <w:abstractNumId w:val="0"/>
  </w:num>
  <w:num w:numId="2" w16cid:durableId="351613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B3"/>
    <w:rsid w:val="00174BD2"/>
    <w:rsid w:val="001E3E3B"/>
    <w:rsid w:val="001E78A0"/>
    <w:rsid w:val="002165CE"/>
    <w:rsid w:val="00272B53"/>
    <w:rsid w:val="00295464"/>
    <w:rsid w:val="002D2517"/>
    <w:rsid w:val="00350772"/>
    <w:rsid w:val="003747B4"/>
    <w:rsid w:val="003905BE"/>
    <w:rsid w:val="00392284"/>
    <w:rsid w:val="00396CE4"/>
    <w:rsid w:val="003F027C"/>
    <w:rsid w:val="004048DC"/>
    <w:rsid w:val="00432080"/>
    <w:rsid w:val="004567FA"/>
    <w:rsid w:val="0052262E"/>
    <w:rsid w:val="00564FFF"/>
    <w:rsid w:val="005905E9"/>
    <w:rsid w:val="00597D2F"/>
    <w:rsid w:val="005A16BD"/>
    <w:rsid w:val="005C566E"/>
    <w:rsid w:val="005D733B"/>
    <w:rsid w:val="006C2FFD"/>
    <w:rsid w:val="007A46ED"/>
    <w:rsid w:val="008847B3"/>
    <w:rsid w:val="008C017F"/>
    <w:rsid w:val="00947081"/>
    <w:rsid w:val="00977B95"/>
    <w:rsid w:val="009F158B"/>
    <w:rsid w:val="00A2762E"/>
    <w:rsid w:val="00A9413E"/>
    <w:rsid w:val="00AF72B9"/>
    <w:rsid w:val="00C67D9F"/>
    <w:rsid w:val="00D918A0"/>
    <w:rsid w:val="00D95EE4"/>
    <w:rsid w:val="00DC37C3"/>
    <w:rsid w:val="00DD4A74"/>
    <w:rsid w:val="00DF1499"/>
    <w:rsid w:val="00E87153"/>
    <w:rsid w:val="00EB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1531C"/>
  <w15:chartTrackingRefBased/>
  <w15:docId w15:val="{8EAA191D-02D0-C748-A28D-D0E9FE26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7B3"/>
    <w:pPr>
      <w:spacing w:after="160" w:line="259" w:lineRule="auto"/>
    </w:pPr>
    <w:rPr>
      <w:rFonts w:eastAsia="宋体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47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8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7B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</w:rPr>
  </w:style>
  <w:style w:type="paragraph" w:styleId="a3">
    <w:name w:val="Normal (Web)"/>
    <w:basedOn w:val="a"/>
    <w:uiPriority w:val="99"/>
    <w:unhideWhenUsed/>
    <w:rsid w:val="00884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footer"/>
    <w:basedOn w:val="a"/>
    <w:link w:val="a5"/>
    <w:uiPriority w:val="99"/>
    <w:unhideWhenUsed/>
    <w:rsid w:val="00884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页脚 字符"/>
    <w:basedOn w:val="a0"/>
    <w:link w:val="a4"/>
    <w:uiPriority w:val="99"/>
    <w:rsid w:val="008847B3"/>
    <w:rPr>
      <w:rFonts w:eastAsia="宋体"/>
      <w:kern w:val="0"/>
      <w:sz w:val="22"/>
      <w:szCs w:val="22"/>
      <w:lang w:eastAsia="en-US"/>
      <w14:ligatures w14:val="none"/>
    </w:rPr>
  </w:style>
  <w:style w:type="character" w:styleId="a6">
    <w:name w:val="line number"/>
    <w:basedOn w:val="a0"/>
    <w:uiPriority w:val="99"/>
    <w:semiHidden/>
    <w:unhideWhenUsed/>
    <w:rsid w:val="008847B3"/>
  </w:style>
  <w:style w:type="character" w:customStyle="1" w:styleId="30">
    <w:name w:val="标题 3 字符"/>
    <w:basedOn w:val="a0"/>
    <w:link w:val="3"/>
    <w:uiPriority w:val="9"/>
    <w:semiHidden/>
    <w:rsid w:val="001E78A0"/>
    <w:rPr>
      <w:rFonts w:eastAsia="宋体"/>
      <w:b/>
      <w:bCs/>
      <w:kern w:val="0"/>
      <w:sz w:val="32"/>
      <w:szCs w:val="3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1553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0972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7299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3861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8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1642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15088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2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098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86110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0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5043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12158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715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4724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3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5725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56704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亮亮</dc:creator>
  <cp:keywords/>
  <dc:description/>
  <cp:lastModifiedBy>亮亮 王</cp:lastModifiedBy>
  <cp:revision>10</cp:revision>
  <dcterms:created xsi:type="dcterms:W3CDTF">2023-08-15T16:42:00Z</dcterms:created>
  <dcterms:modified xsi:type="dcterms:W3CDTF">2023-09-12T03:16:00Z</dcterms:modified>
</cp:coreProperties>
</file>