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B1" w:rsidRPr="00CE678D" w:rsidRDefault="002E73B1" w:rsidP="002E73B1">
      <w:pPr>
        <w:spacing w:line="360" w:lineRule="auto"/>
        <w:jc w:val="both"/>
        <w:rPr>
          <w:rFonts w:eastAsia="Calibri" w:cstheme="minorHAnsi"/>
          <w:sz w:val="24"/>
          <w:szCs w:val="24"/>
        </w:rPr>
      </w:pPr>
      <w:r w:rsidRPr="00CE678D">
        <w:rPr>
          <w:rFonts w:eastAsia="Calibri" w:cstheme="minorHAnsi"/>
          <w:sz w:val="24"/>
          <w:szCs w:val="24"/>
        </w:rPr>
        <w:t>Appendix</w:t>
      </w:r>
    </w:p>
    <w:p w:rsidR="002E73B1" w:rsidRPr="00CE678D" w:rsidRDefault="002E73B1" w:rsidP="002E73B1">
      <w:pPr>
        <w:spacing w:line="360" w:lineRule="auto"/>
        <w:jc w:val="both"/>
        <w:rPr>
          <w:rFonts w:eastAsia="Calibri" w:cstheme="minorHAnsi"/>
          <w:sz w:val="24"/>
          <w:szCs w:val="24"/>
          <w:lang w:val="en-US"/>
        </w:rPr>
      </w:pPr>
    </w:p>
    <w:p w:rsidR="002E73B1" w:rsidRPr="00CE678D" w:rsidRDefault="002E73B1" w:rsidP="002E73B1">
      <w:pPr>
        <w:keepNext/>
        <w:spacing w:line="360" w:lineRule="auto"/>
        <w:jc w:val="center"/>
        <w:rPr>
          <w:rFonts w:eastAsia="Calibri" w:cstheme="minorHAnsi"/>
          <w:sz w:val="24"/>
          <w:szCs w:val="24"/>
        </w:rPr>
      </w:pPr>
      <w:r w:rsidRPr="00CE678D">
        <w:rPr>
          <w:rFonts w:eastAsia="Calibri" w:cstheme="minorHAnsi"/>
          <w:noProof/>
          <w:sz w:val="24"/>
          <w:szCs w:val="24"/>
          <w:lang w:val="en-US"/>
        </w:rPr>
        <w:drawing>
          <wp:inline distT="0" distB="0" distL="0" distR="0">
            <wp:extent cx="5114925" cy="4419600"/>
            <wp:effectExtent l="0" t="0" r="9525" b="0"/>
            <wp:docPr id="2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B1" w:rsidRPr="00CE678D" w:rsidRDefault="002E73B1" w:rsidP="002E73B1">
      <w:pPr>
        <w:spacing w:after="200" w:line="240" w:lineRule="auto"/>
        <w:jc w:val="both"/>
        <w:rPr>
          <w:rFonts w:eastAsia="Calibri" w:cstheme="minorHAnsi"/>
          <w:iCs/>
          <w:sz w:val="24"/>
          <w:szCs w:val="24"/>
          <w:lang w:val="en-US"/>
        </w:rPr>
      </w:pPr>
      <w:bookmarkStart w:id="0" w:name="_Toc523197804"/>
      <w:r w:rsidRPr="00CE678D">
        <w:rPr>
          <w:rFonts w:eastAsia="Calibri" w:cstheme="minorHAnsi"/>
          <w:b/>
          <w:bCs/>
          <w:iCs/>
          <w:sz w:val="24"/>
          <w:szCs w:val="24"/>
        </w:rPr>
        <w:t>Appendix I</w:t>
      </w:r>
      <w:r w:rsidRPr="00CE678D">
        <w:rPr>
          <w:rFonts w:eastAsia="Calibri" w:cstheme="minorHAnsi"/>
          <w:iCs/>
          <w:sz w:val="24"/>
          <w:szCs w:val="24"/>
        </w:rPr>
        <w:t xml:space="preserve">: An SRTM DEM image of the 57,758.034km2 study area, cropped to Area of Interest </w:t>
      </w:r>
      <w:r w:rsidRPr="00CE678D">
        <w:rPr>
          <w:rFonts w:eastAsia="Calibri" w:cstheme="minorHAnsi"/>
          <w:iCs/>
          <w:sz w:val="24"/>
          <w:szCs w:val="24"/>
          <w:lang w:val="en-US"/>
        </w:rPr>
        <w:t>green colour represents low elevation.</w:t>
      </w:r>
      <w:bookmarkEnd w:id="0"/>
    </w:p>
    <w:p w:rsidR="002E73B1" w:rsidRPr="00CE678D" w:rsidRDefault="002E73B1" w:rsidP="002E73B1">
      <w:pPr>
        <w:spacing w:line="360" w:lineRule="auto"/>
        <w:jc w:val="both"/>
        <w:rPr>
          <w:rFonts w:eastAsia="Calibri" w:cstheme="minorHAnsi"/>
          <w:sz w:val="24"/>
          <w:szCs w:val="24"/>
          <w:lang w:val="en-US"/>
        </w:rPr>
      </w:pPr>
      <w:r w:rsidRPr="00CE678D">
        <w:rPr>
          <w:rFonts w:eastAsia="Calibri" w:cstheme="minorHAns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05350" cy="3686175"/>
            <wp:effectExtent l="0" t="0" r="0" b="9525"/>
            <wp:docPr id="2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B1" w:rsidRPr="00CE678D" w:rsidRDefault="002E73B1" w:rsidP="002E73B1">
      <w:pPr>
        <w:spacing w:after="200" w:line="240" w:lineRule="auto"/>
        <w:jc w:val="both"/>
        <w:rPr>
          <w:rFonts w:eastAsia="Calibri" w:cstheme="minorHAnsi"/>
          <w:iCs/>
          <w:sz w:val="24"/>
          <w:szCs w:val="24"/>
          <w:lang w:val="en-US"/>
        </w:rPr>
      </w:pPr>
      <w:bookmarkStart w:id="1" w:name="_Toc523197805"/>
      <w:r w:rsidRPr="00CE678D">
        <w:rPr>
          <w:rFonts w:eastAsia="Calibri" w:cstheme="minorHAnsi"/>
          <w:iCs/>
          <w:sz w:val="24"/>
          <w:szCs w:val="24"/>
        </w:rPr>
        <w:t xml:space="preserve">Appendix II: Maximum slope map of the study area shown as a degree gradient </w:t>
      </w:r>
      <w:r w:rsidRPr="00CE678D">
        <w:rPr>
          <w:rFonts w:eastAsia="Calibri" w:cstheme="minorHAnsi"/>
          <w:iCs/>
          <w:sz w:val="24"/>
          <w:szCs w:val="24"/>
          <w:lang w:val="en-US"/>
        </w:rPr>
        <w:t>(flat areas have 0 – 10, 10 - 20</w:t>
      </w:r>
      <w:r w:rsidRPr="00CE678D">
        <w:rPr>
          <w:rFonts w:eastAsia="Calibri" w:cstheme="minorHAnsi"/>
          <w:iCs/>
          <w:sz w:val="24"/>
          <w:szCs w:val="24"/>
          <w:vertAlign w:val="superscript"/>
          <w:lang w:val="en-US"/>
        </w:rPr>
        <w:t>0</w:t>
      </w:r>
      <w:r w:rsidRPr="00CE678D">
        <w:rPr>
          <w:rFonts w:eastAsia="Calibri" w:cstheme="minorHAnsi"/>
          <w:iCs/>
          <w:sz w:val="24"/>
          <w:szCs w:val="24"/>
          <w:lang w:val="en-US"/>
        </w:rPr>
        <w:t xml:space="preserve"> gentle slope and 20</w:t>
      </w:r>
      <w:r w:rsidRPr="00CE678D">
        <w:rPr>
          <w:rFonts w:eastAsia="Calibri" w:cstheme="minorHAnsi"/>
          <w:iCs/>
          <w:sz w:val="24"/>
          <w:szCs w:val="24"/>
          <w:vertAlign w:val="superscript"/>
          <w:lang w:val="en-US"/>
        </w:rPr>
        <w:t>0</w:t>
      </w:r>
      <w:r w:rsidRPr="00CE678D">
        <w:rPr>
          <w:rFonts w:eastAsia="Calibri" w:cstheme="minorHAnsi"/>
          <w:iCs/>
          <w:sz w:val="24"/>
          <w:szCs w:val="24"/>
          <w:lang w:val="en-US"/>
        </w:rPr>
        <w:t xml:space="preserve"> and greater are higher).</w:t>
      </w:r>
      <w:bookmarkEnd w:id="1"/>
    </w:p>
    <w:p w:rsidR="002E73B1" w:rsidRPr="00CE678D" w:rsidRDefault="002E73B1" w:rsidP="002E73B1">
      <w:pPr>
        <w:keepNext/>
        <w:spacing w:line="360" w:lineRule="auto"/>
        <w:jc w:val="center"/>
        <w:rPr>
          <w:rFonts w:eastAsia="Calibri" w:cstheme="minorHAnsi"/>
          <w:sz w:val="24"/>
          <w:szCs w:val="24"/>
        </w:rPr>
      </w:pPr>
      <w:r w:rsidRPr="00CE678D">
        <w:rPr>
          <w:rFonts w:eastAsia="Calibri" w:cstheme="minorHAns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19675" cy="4486275"/>
            <wp:effectExtent l="0" t="0" r="9525" b="9525"/>
            <wp:docPr id="235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B1" w:rsidRPr="00CE678D" w:rsidRDefault="002E73B1" w:rsidP="002E73B1">
      <w:pPr>
        <w:spacing w:after="200" w:line="240" w:lineRule="auto"/>
        <w:jc w:val="both"/>
        <w:rPr>
          <w:rFonts w:eastAsia="Calibri" w:cstheme="minorHAnsi"/>
          <w:iCs/>
          <w:sz w:val="24"/>
          <w:szCs w:val="24"/>
          <w:lang w:val="en-US"/>
        </w:rPr>
      </w:pPr>
      <w:bookmarkStart w:id="2" w:name="_Toc523197807"/>
      <w:r w:rsidRPr="00CE678D">
        <w:rPr>
          <w:rFonts w:eastAsia="Calibri" w:cstheme="minorHAnsi"/>
          <w:iCs/>
          <w:sz w:val="24"/>
          <w:szCs w:val="24"/>
        </w:rPr>
        <w:t>Appendix III: Aspect map overlayed by the gully points observed gully shapefiles and gully points</w:t>
      </w:r>
      <w:r w:rsidRPr="00CE678D">
        <w:rPr>
          <w:rFonts w:eastAsia="Calibri" w:cstheme="minorHAnsi"/>
          <w:iCs/>
          <w:sz w:val="24"/>
          <w:szCs w:val="24"/>
          <w:lang w:val="en-US"/>
        </w:rPr>
        <w:t>. Flat, N(0 -22.5), NE (22.5 – 67.5), E (67.5 – 112.5), SE (112.5 – 157.5), S (157.5 – 202.5), SW (202.5 – 247.5), W (247.5 – 292.5), NW (292.5 – 337.5 and N (337.5 - 360)</w:t>
      </w:r>
      <w:bookmarkEnd w:id="2"/>
    </w:p>
    <w:p w:rsidR="002E73B1" w:rsidRPr="00CE678D" w:rsidRDefault="002E73B1" w:rsidP="002E73B1">
      <w:pPr>
        <w:spacing w:line="360" w:lineRule="auto"/>
        <w:jc w:val="both"/>
        <w:rPr>
          <w:rFonts w:eastAsia="Calibri" w:cstheme="minorHAnsi"/>
          <w:sz w:val="24"/>
          <w:szCs w:val="24"/>
        </w:rPr>
      </w:pPr>
    </w:p>
    <w:p w:rsidR="002E73B1" w:rsidRPr="00CE678D" w:rsidRDefault="002E73B1" w:rsidP="002E73B1">
      <w:pPr>
        <w:keepNext/>
        <w:spacing w:line="360" w:lineRule="auto"/>
        <w:jc w:val="both"/>
        <w:rPr>
          <w:rFonts w:eastAsia="Calibri" w:cstheme="minorHAnsi"/>
          <w:sz w:val="24"/>
          <w:szCs w:val="24"/>
        </w:rPr>
      </w:pPr>
      <w:r w:rsidRPr="00CE678D">
        <w:rPr>
          <w:rFonts w:eastAsia="Calibri" w:cstheme="minorHAns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29250" cy="3619500"/>
            <wp:effectExtent l="0" t="0" r="19050" b="19050"/>
            <wp:docPr id="236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CE678D">
        <w:rPr>
          <w:rFonts w:eastAsia="Calibri" w:cstheme="minorHAnsi"/>
          <w:noProof/>
          <w:sz w:val="24"/>
          <w:szCs w:val="24"/>
          <w:lang w:val="en-US"/>
        </w:rPr>
        <w:drawing>
          <wp:inline distT="0" distB="0" distL="0" distR="0">
            <wp:extent cx="5429250" cy="3371850"/>
            <wp:effectExtent l="0" t="0" r="19050" b="19050"/>
            <wp:docPr id="23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E73B1" w:rsidRPr="00CE678D" w:rsidRDefault="002E73B1" w:rsidP="002E73B1">
      <w:pPr>
        <w:spacing w:after="200" w:line="240" w:lineRule="auto"/>
        <w:jc w:val="both"/>
        <w:rPr>
          <w:rFonts w:eastAsia="Calibri" w:cstheme="minorHAnsi"/>
          <w:iCs/>
          <w:sz w:val="24"/>
          <w:szCs w:val="24"/>
        </w:rPr>
      </w:pPr>
      <w:bookmarkStart w:id="3" w:name="_Toc523197814"/>
      <w:r w:rsidRPr="00CE678D">
        <w:rPr>
          <w:rFonts w:eastAsia="Calibri" w:cstheme="minorHAnsi"/>
          <w:b/>
          <w:bCs/>
          <w:iCs/>
          <w:sz w:val="24"/>
          <w:szCs w:val="24"/>
        </w:rPr>
        <w:t>Appendix IV</w:t>
      </w:r>
      <w:r w:rsidRPr="00CE678D">
        <w:rPr>
          <w:rFonts w:eastAsia="Calibri" w:cstheme="minorHAnsi"/>
          <w:iCs/>
          <w:sz w:val="24"/>
          <w:szCs w:val="24"/>
        </w:rPr>
        <w:t xml:space="preserve">: Figure </w:t>
      </w:r>
      <w:r w:rsidRPr="00CE678D">
        <w:rPr>
          <w:rFonts w:eastAsia="Calibri" w:cstheme="minorHAnsi"/>
          <w:iCs/>
          <w:noProof/>
          <w:sz w:val="24"/>
          <w:szCs w:val="24"/>
        </w:rPr>
        <w:fldChar w:fldCharType="begin"/>
      </w:r>
      <w:r w:rsidRPr="00CE678D">
        <w:rPr>
          <w:rFonts w:eastAsia="Calibri" w:cstheme="minorHAnsi"/>
          <w:iCs/>
          <w:noProof/>
          <w:sz w:val="24"/>
          <w:szCs w:val="24"/>
        </w:rPr>
        <w:instrText xml:space="preserve"> SEQ Figure \* ARABIC </w:instrText>
      </w:r>
      <w:r w:rsidRPr="00CE678D">
        <w:rPr>
          <w:rFonts w:eastAsia="Calibri" w:cstheme="minorHAnsi"/>
          <w:iCs/>
          <w:noProof/>
          <w:sz w:val="24"/>
          <w:szCs w:val="24"/>
        </w:rPr>
        <w:fldChar w:fldCharType="separate"/>
      </w:r>
      <w:r w:rsidRPr="00CE678D">
        <w:rPr>
          <w:rFonts w:eastAsia="Calibri" w:cstheme="minorHAnsi"/>
          <w:iCs/>
          <w:noProof/>
          <w:sz w:val="24"/>
          <w:szCs w:val="24"/>
        </w:rPr>
        <w:t>59</w:t>
      </w:r>
      <w:r w:rsidRPr="00CE678D">
        <w:rPr>
          <w:rFonts w:eastAsia="Calibri" w:cstheme="minorHAnsi"/>
          <w:iCs/>
          <w:noProof/>
          <w:sz w:val="24"/>
          <w:szCs w:val="24"/>
        </w:rPr>
        <w:fldChar w:fldCharType="end"/>
      </w:r>
      <w:r w:rsidRPr="00CE678D">
        <w:rPr>
          <w:rFonts w:eastAsia="Calibri" w:cstheme="minorHAnsi"/>
          <w:iCs/>
          <w:sz w:val="24"/>
          <w:szCs w:val="24"/>
        </w:rPr>
        <w:t>: (Top) Pixel based (pixel count) change over time of Gully/open-land showing from 1986 to 2015 (observed images are in blue circle points while interpolated points are in red circle points). (b): (Bottom) OBIA Area changes over time of Gully/open land. Pixel size is equivalent to 300m</w:t>
      </w:r>
      <w:r w:rsidRPr="00CE678D">
        <w:rPr>
          <w:rFonts w:eastAsia="Calibri" w:cstheme="minorHAnsi"/>
          <w:iCs/>
          <w:sz w:val="24"/>
          <w:szCs w:val="24"/>
          <w:vertAlign w:val="superscript"/>
        </w:rPr>
        <w:t>2</w:t>
      </w:r>
      <w:r w:rsidRPr="00CE678D">
        <w:rPr>
          <w:rFonts w:eastAsia="Calibri" w:cstheme="minorHAnsi"/>
          <w:iCs/>
          <w:sz w:val="24"/>
          <w:szCs w:val="24"/>
        </w:rPr>
        <w:t>.</w:t>
      </w:r>
      <w:bookmarkEnd w:id="3"/>
    </w:p>
    <w:p w:rsidR="002E73B1" w:rsidRPr="00CE678D" w:rsidRDefault="002E73B1" w:rsidP="002E73B1">
      <w:pPr>
        <w:spacing w:line="360" w:lineRule="auto"/>
        <w:jc w:val="both"/>
        <w:rPr>
          <w:rFonts w:eastAsia="Calibri" w:cstheme="minorHAnsi"/>
          <w:sz w:val="24"/>
          <w:szCs w:val="24"/>
          <w:lang w:val="en-US"/>
        </w:rPr>
      </w:pPr>
    </w:p>
    <w:p w:rsidR="002E73B1" w:rsidRPr="00CE678D" w:rsidRDefault="002E73B1" w:rsidP="002E73B1">
      <w:pPr>
        <w:keepNext/>
        <w:spacing w:line="360" w:lineRule="auto"/>
        <w:jc w:val="center"/>
        <w:rPr>
          <w:rFonts w:eastAsia="Calibri" w:cstheme="minorHAnsi"/>
          <w:sz w:val="24"/>
          <w:szCs w:val="24"/>
        </w:rPr>
      </w:pPr>
      <w:r w:rsidRPr="00CE678D">
        <w:rPr>
          <w:rFonts w:eastAsia="Calibri" w:cstheme="minorHAnsi"/>
          <w:noProof/>
          <w:sz w:val="24"/>
          <w:szCs w:val="24"/>
          <w:lang w:val="en-US"/>
        </w:rPr>
        <w:drawing>
          <wp:inline distT="0" distB="0" distL="0" distR="0">
            <wp:extent cx="4962525" cy="5505450"/>
            <wp:effectExtent l="0" t="0" r="9525" b="0"/>
            <wp:docPr id="23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B1" w:rsidRPr="00CE678D" w:rsidRDefault="002E73B1" w:rsidP="002E73B1">
      <w:pPr>
        <w:spacing w:after="200" w:line="240" w:lineRule="auto"/>
        <w:jc w:val="both"/>
        <w:rPr>
          <w:rFonts w:eastAsia="Calibri" w:cstheme="minorHAnsi"/>
          <w:iCs/>
          <w:sz w:val="24"/>
          <w:szCs w:val="24"/>
        </w:rPr>
      </w:pPr>
      <w:bookmarkStart w:id="4" w:name="_Toc523197811"/>
      <w:r w:rsidRPr="00CE678D">
        <w:rPr>
          <w:rFonts w:eastAsia="Calibri" w:cstheme="minorHAnsi"/>
          <w:b/>
          <w:bCs/>
          <w:iCs/>
          <w:sz w:val="24"/>
          <w:szCs w:val="24"/>
        </w:rPr>
        <w:t>Appendix</w:t>
      </w:r>
      <w:r>
        <w:rPr>
          <w:rFonts w:eastAsia="Calibri" w:cstheme="minorHAnsi"/>
          <w:b/>
          <w:bCs/>
          <w:iCs/>
          <w:sz w:val="24"/>
          <w:szCs w:val="24"/>
        </w:rPr>
        <w:t>V</w:t>
      </w:r>
      <w:r w:rsidRPr="00CE678D">
        <w:rPr>
          <w:rFonts w:eastAsia="Calibri" w:cstheme="minorHAnsi"/>
          <w:b/>
          <w:bCs/>
          <w:iCs/>
          <w:sz w:val="24"/>
          <w:szCs w:val="24"/>
        </w:rPr>
        <w:t>:</w:t>
      </w:r>
      <w:r w:rsidRPr="00CE678D">
        <w:rPr>
          <w:rFonts w:eastAsia="Calibri" w:cstheme="minorHAnsi"/>
          <w:iCs/>
          <w:sz w:val="24"/>
          <w:szCs w:val="24"/>
        </w:rPr>
        <w:t xml:space="preserve"> The Strahler stream order Drainage pattern of the study area overlaid by the gully points. From 1 to 12 are </w:t>
      </w:r>
      <w:r w:rsidRPr="00CE678D">
        <w:rPr>
          <w:rFonts w:eastAsia="Calibri" w:cstheme="minorHAnsi"/>
          <w:iCs/>
          <w:sz w:val="24"/>
          <w:szCs w:val="24"/>
          <w:lang w:val="en-US"/>
        </w:rPr>
        <w:t>stream sizes based on a hierarchy of tributaries in the study area.</w:t>
      </w:r>
      <w:r w:rsidRPr="00CE678D">
        <w:rPr>
          <w:rFonts w:eastAsia="Calibri" w:cstheme="minorHAnsi"/>
          <w:iCs/>
          <w:sz w:val="24"/>
          <w:szCs w:val="24"/>
        </w:rPr>
        <w:t xml:space="preserve"> The cell value shows that stream 1 are more in number than others</w:t>
      </w:r>
      <w:bookmarkEnd w:id="4"/>
    </w:p>
    <w:p w:rsidR="001D5361" w:rsidRDefault="001D5361"/>
    <w:sectPr w:rsidR="001D5361" w:rsidSect="001D53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2E73B1"/>
    <w:rsid w:val="001D5361"/>
    <w:rsid w:val="002E7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B1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B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Pixel Gully/openland count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Sheet1!$B$80</c:f>
              <c:strCache>
                <c:ptCount val="1"/>
                <c:pt idx="0">
                  <c:v>Gully/openland count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8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0-2659-46EA-8B23-1F4313819BB8}"/>
              </c:ext>
            </c:extLst>
          </c:dPt>
          <c:dPt>
            <c:idx val="9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1-2659-46EA-8B23-1F4313819BB8}"/>
              </c:ext>
            </c:extLst>
          </c:dPt>
          <c:dPt>
            <c:idx val="10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2-2659-46EA-8B23-1F4313819BB8}"/>
              </c:ext>
            </c:extLst>
          </c:dPt>
          <c:dPt>
            <c:idx val="11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3-2659-46EA-8B23-1F4313819BB8}"/>
              </c:ext>
            </c:extLst>
          </c:dPt>
          <c:dPt>
            <c:idx val="12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4-2659-46EA-8B23-1F4313819BB8}"/>
              </c:ext>
            </c:extLst>
          </c:dPt>
          <c:dPt>
            <c:idx val="13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5-2659-46EA-8B23-1F4313819BB8}"/>
              </c:ext>
            </c:extLst>
          </c:dPt>
          <c:cat>
            <c:numRef>
              <c:f>Sheet1!$A$81:$A$110</c:f>
              <c:numCache>
                <c:formatCode>General</c:formatCode>
                <c:ptCount val="30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</c:numCache>
            </c:numRef>
          </c:cat>
          <c:val>
            <c:numRef>
              <c:f>Sheet1!$B$81:$B$110</c:f>
              <c:numCache>
                <c:formatCode>General</c:formatCode>
                <c:ptCount val="30"/>
                <c:pt idx="0">
                  <c:v>1012176</c:v>
                </c:pt>
                <c:pt idx="1">
                  <c:v>1012176</c:v>
                </c:pt>
                <c:pt idx="2">
                  <c:v>1715029</c:v>
                </c:pt>
                <c:pt idx="3">
                  <c:v>2992213</c:v>
                </c:pt>
                <c:pt idx="4" formatCode="0">
                  <c:v>3659366.3333333302</c:v>
                </c:pt>
                <c:pt idx="5">
                  <c:v>3200445</c:v>
                </c:pt>
                <c:pt idx="6">
                  <c:v>4993673</c:v>
                </c:pt>
                <c:pt idx="7">
                  <c:v>4790330</c:v>
                </c:pt>
                <c:pt idx="8">
                  <c:v>5115003</c:v>
                </c:pt>
                <c:pt idx="9" formatCode="0">
                  <c:v>5386682.142857139</c:v>
                </c:pt>
                <c:pt idx="10" formatCode="0">
                  <c:v>5633767.1224489799</c:v>
                </c:pt>
                <c:pt idx="11" formatCode="0">
                  <c:v>5959894.2478134073</c:v>
                </c:pt>
                <c:pt idx="12" formatCode="0">
                  <c:v>6111007.6409829175</c:v>
                </c:pt>
                <c:pt idx="13" formatCode="0">
                  <c:v>6379416.5494139297</c:v>
                </c:pt>
                <c:pt idx="14">
                  <c:v>7063041</c:v>
                </c:pt>
                <c:pt idx="15">
                  <c:v>7016757</c:v>
                </c:pt>
                <c:pt idx="16">
                  <c:v>7116277</c:v>
                </c:pt>
                <c:pt idx="17">
                  <c:v>7916657</c:v>
                </c:pt>
                <c:pt idx="18">
                  <c:v>7017688</c:v>
                </c:pt>
                <c:pt idx="19">
                  <c:v>7989870</c:v>
                </c:pt>
                <c:pt idx="20">
                  <c:v>7296029</c:v>
                </c:pt>
                <c:pt idx="21">
                  <c:v>7307654</c:v>
                </c:pt>
                <c:pt idx="22">
                  <c:v>7346429</c:v>
                </c:pt>
                <c:pt idx="23">
                  <c:v>7878384</c:v>
                </c:pt>
                <c:pt idx="24">
                  <c:v>7276026</c:v>
                </c:pt>
                <c:pt idx="25">
                  <c:v>7767368</c:v>
                </c:pt>
                <c:pt idx="26">
                  <c:v>8064697</c:v>
                </c:pt>
                <c:pt idx="27">
                  <c:v>9276909</c:v>
                </c:pt>
                <c:pt idx="28">
                  <c:v>9686547</c:v>
                </c:pt>
                <c:pt idx="29">
                  <c:v>9986433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659-46EA-8B23-1F4313819BB8}"/>
            </c:ext>
          </c:extLst>
        </c:ser>
        <c:marker val="1"/>
        <c:axId val="76361728"/>
        <c:axId val="76363648"/>
      </c:lineChart>
      <c:catAx>
        <c:axId val="76361728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ysClr val="windowText" lastClr="000000"/>
                    </a:solidFill>
                  </a:rPr>
                  <a:t>No</a:t>
                </a:r>
                <a:r>
                  <a:rPr lang="en-GB" baseline="0">
                    <a:solidFill>
                      <a:sysClr val="windowText" lastClr="000000"/>
                    </a:solidFill>
                  </a:rPr>
                  <a:t> of Years</a:t>
                </a:r>
                <a:endParaRPr lang="en-GB">
                  <a:solidFill>
                    <a:sysClr val="windowText" lastClr="000000"/>
                  </a:solidFill>
                </a:endParaRP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363648"/>
        <c:crosses val="autoZero"/>
        <c:auto val="1"/>
        <c:lblAlgn val="ctr"/>
        <c:lblOffset val="100"/>
      </c:catAx>
      <c:valAx>
        <c:axId val="76363648"/>
        <c:scaling>
          <c:orientation val="minMax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ysClr val="windowText" lastClr="000000"/>
                    </a:solidFill>
                  </a:rPr>
                  <a:t>Tottal pixel count covered by Gully/openland 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361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OBIA Gully/openland count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Sheet1!$B$38</c:f>
              <c:strCache>
                <c:ptCount val="1"/>
                <c:pt idx="0">
                  <c:v>Gully/openland count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8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0-0B11-40BA-AE87-A9014C1769E3}"/>
              </c:ext>
            </c:extLst>
          </c:dPt>
          <c:dPt>
            <c:idx val="9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1-0B11-40BA-AE87-A9014C1769E3}"/>
              </c:ext>
            </c:extLst>
          </c:dPt>
          <c:dPt>
            <c:idx val="10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2-0B11-40BA-AE87-A9014C1769E3}"/>
              </c:ext>
            </c:extLst>
          </c:dPt>
          <c:dPt>
            <c:idx val="11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3-0B11-40BA-AE87-A9014C1769E3}"/>
              </c:ext>
            </c:extLst>
          </c:dPt>
          <c:dPt>
            <c:idx val="12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4-0B11-40BA-AE87-A9014C1769E3}"/>
              </c:ext>
            </c:extLst>
          </c:dPt>
          <c:dPt>
            <c:idx val="13"/>
            <c:marker>
              <c:spPr>
                <a:solidFill>
                  <a:schemeClr val="accent2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5-0B11-40BA-AE87-A9014C1769E3}"/>
              </c:ext>
            </c:extLst>
          </c:dPt>
          <c:cat>
            <c:numRef>
              <c:f>Sheet1!$A$39:$A$68</c:f>
              <c:numCache>
                <c:formatCode>General</c:formatCode>
                <c:ptCount val="30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1992</c:v>
                </c:pt>
                <c:pt idx="7">
                  <c:v>1993</c:v>
                </c:pt>
                <c:pt idx="8">
                  <c:v>1994</c:v>
                </c:pt>
                <c:pt idx="9">
                  <c:v>1995</c:v>
                </c:pt>
                <c:pt idx="10">
                  <c:v>1996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</c:numCache>
            </c:numRef>
          </c:cat>
          <c:val>
            <c:numRef>
              <c:f>Sheet1!$B$39:$B$68</c:f>
              <c:numCache>
                <c:formatCode>General</c:formatCode>
                <c:ptCount val="30"/>
                <c:pt idx="0">
                  <c:v>2653360</c:v>
                </c:pt>
                <c:pt idx="1">
                  <c:v>3279894</c:v>
                </c:pt>
                <c:pt idx="2">
                  <c:v>3849040</c:v>
                </c:pt>
                <c:pt idx="3">
                  <c:v>4124678</c:v>
                </c:pt>
                <c:pt idx="4">
                  <c:v>4236986</c:v>
                </c:pt>
                <c:pt idx="5">
                  <c:v>4676316</c:v>
                </c:pt>
                <c:pt idx="6">
                  <c:v>4676526</c:v>
                </c:pt>
                <c:pt idx="7">
                  <c:v>5344361</c:v>
                </c:pt>
                <c:pt idx="8">
                  <c:v>5439796</c:v>
                </c:pt>
                <c:pt idx="9">
                  <c:v>5426162.4285714282</c:v>
                </c:pt>
                <c:pt idx="10">
                  <c:v>5446156.7959183631</c:v>
                </c:pt>
                <c:pt idx="11">
                  <c:v>5464594.8250728818</c:v>
                </c:pt>
                <c:pt idx="12">
                  <c:v>5542853.70720533</c:v>
                </c:pt>
                <c:pt idx="13">
                  <c:v>5705367.6061759973</c:v>
                </c:pt>
                <c:pt idx="14">
                  <c:v>6012406</c:v>
                </c:pt>
                <c:pt idx="15">
                  <c:v>5344361</c:v>
                </c:pt>
                <c:pt idx="16">
                  <c:v>5566123</c:v>
                </c:pt>
                <c:pt idx="17">
                  <c:v>5575223</c:v>
                </c:pt>
                <c:pt idx="18">
                  <c:v>6012407</c:v>
                </c:pt>
                <c:pt idx="19">
                  <c:v>6680451</c:v>
                </c:pt>
                <c:pt idx="20">
                  <c:v>6682816</c:v>
                </c:pt>
                <c:pt idx="21">
                  <c:v>7348497</c:v>
                </c:pt>
                <c:pt idx="22">
                  <c:v>5344361</c:v>
                </c:pt>
                <c:pt idx="23">
                  <c:v>5344361</c:v>
                </c:pt>
                <c:pt idx="24">
                  <c:v>7279418</c:v>
                </c:pt>
                <c:pt idx="25">
                  <c:v>8016542</c:v>
                </c:pt>
                <c:pt idx="26">
                  <c:v>8016752</c:v>
                </c:pt>
                <c:pt idx="27">
                  <c:v>8684587</c:v>
                </c:pt>
                <c:pt idx="28">
                  <c:v>8999346</c:v>
                </c:pt>
                <c:pt idx="29">
                  <c:v>9074653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B11-40BA-AE87-A9014C1769E3}"/>
            </c:ext>
          </c:extLst>
        </c:ser>
        <c:marker val="1"/>
        <c:axId val="108951808"/>
        <c:axId val="75395072"/>
      </c:lineChart>
      <c:catAx>
        <c:axId val="108951808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ysClr val="windowText" lastClr="000000"/>
                    </a:solidFill>
                  </a:rPr>
                  <a:t>No</a:t>
                </a:r>
                <a:r>
                  <a:rPr lang="en-GB" baseline="0">
                    <a:solidFill>
                      <a:sysClr val="windowText" lastClr="000000"/>
                    </a:solidFill>
                  </a:rPr>
                  <a:t> of Years</a:t>
                </a:r>
                <a:endParaRPr lang="en-GB">
                  <a:solidFill>
                    <a:sysClr val="windowText" lastClr="000000"/>
                  </a:solidFill>
                </a:endParaRP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395072"/>
        <c:crosses val="autoZero"/>
        <c:auto val="1"/>
        <c:lblAlgn val="ctr"/>
        <c:lblOffset val="100"/>
      </c:catAx>
      <c:valAx>
        <c:axId val="75395072"/>
        <c:scaling>
          <c:orientation val="minMax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ysClr val="windowText" lastClr="000000"/>
                    </a:solidFill>
                  </a:rPr>
                  <a:t>Total pixel count covered by Gully/openland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951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Ruchi</dc:creator>
  <cp:lastModifiedBy>Ruchi</cp:lastModifiedBy>
  <cp:revision>1</cp:revision>
  <dcterms:created xsi:type="dcterms:W3CDTF">2020-06-25T15:04:00Z</dcterms:created>
  <dcterms:modified xsi:type="dcterms:W3CDTF">2020-06-25T15:05:00Z</dcterms:modified>
</cp:coreProperties>
</file>