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80679" w14:textId="77777777" w:rsidR="000477F6" w:rsidRPr="00B22455" w:rsidRDefault="000477F6" w:rsidP="000477F6">
      <w:pPr>
        <w:jc w:val="both"/>
        <w:rPr>
          <w:rFonts w:ascii="Gellix" w:hAnsi="Gellix" w:cstheme="minorHAnsi"/>
          <w:b/>
          <w:bCs/>
          <w:sz w:val="24"/>
          <w:szCs w:val="24"/>
          <w:lang w:val="en-CA"/>
        </w:rPr>
      </w:pPr>
      <w:bookmarkStart w:id="0" w:name="_Hlk126161002"/>
      <w:bookmarkStart w:id="1" w:name="_Hlk126223527"/>
      <w:bookmarkEnd w:id="0"/>
      <w:r w:rsidRPr="00B22455">
        <w:rPr>
          <w:rFonts w:ascii="Gellix" w:hAnsi="Gellix" w:cstheme="minorHAnsi"/>
          <w:b/>
          <w:bCs/>
          <w:sz w:val="24"/>
          <w:szCs w:val="24"/>
          <w:lang w:val="en-CA"/>
        </w:rPr>
        <w:t xml:space="preserve">Biodiversity of </w:t>
      </w:r>
      <w:r w:rsidRPr="00B22455">
        <w:rPr>
          <w:rFonts w:ascii="Gellix" w:hAnsi="Gellix" w:cstheme="minorHAnsi"/>
          <w:b/>
          <w:bCs/>
          <w:i/>
          <w:iCs/>
          <w:sz w:val="24"/>
          <w:szCs w:val="24"/>
          <w:lang w:val="en-CA"/>
        </w:rPr>
        <w:t xml:space="preserve">Morchella </w:t>
      </w:r>
      <w:r w:rsidRPr="00B22455">
        <w:rPr>
          <w:rFonts w:ascii="Gellix" w:hAnsi="Gellix" w:cstheme="minorHAnsi"/>
          <w:b/>
          <w:bCs/>
          <w:sz w:val="24"/>
          <w:szCs w:val="24"/>
          <w:lang w:val="en-CA"/>
        </w:rPr>
        <w:t xml:space="preserve">in Switzerland: a study highlighting </w:t>
      </w:r>
      <w:r>
        <w:rPr>
          <w:rFonts w:ascii="Gellix" w:hAnsi="Gellix" w:cstheme="minorHAnsi"/>
          <w:b/>
          <w:bCs/>
          <w:sz w:val="24"/>
          <w:szCs w:val="24"/>
          <w:lang w:val="en-CA"/>
        </w:rPr>
        <w:t>the</w:t>
      </w:r>
      <w:r w:rsidRPr="00B22455">
        <w:rPr>
          <w:rFonts w:ascii="Gellix" w:hAnsi="Gellix" w:cstheme="minorHAnsi"/>
          <w:b/>
          <w:bCs/>
          <w:sz w:val="24"/>
          <w:szCs w:val="24"/>
          <w:lang w:val="en-CA"/>
        </w:rPr>
        <w:t xml:space="preserve"> diversity </w:t>
      </w:r>
      <w:r>
        <w:rPr>
          <w:rFonts w:ascii="Gellix" w:hAnsi="Gellix" w:cstheme="minorHAnsi"/>
          <w:b/>
          <w:bCs/>
          <w:sz w:val="24"/>
          <w:szCs w:val="24"/>
          <w:lang w:val="en-CA"/>
        </w:rPr>
        <w:t>of native</w:t>
      </w:r>
      <w:r w:rsidRPr="00B22455">
        <w:rPr>
          <w:rFonts w:ascii="Gellix" w:hAnsi="Gellix" w:cstheme="minorHAnsi"/>
          <w:b/>
          <w:bCs/>
          <w:sz w:val="24"/>
          <w:szCs w:val="24"/>
          <w:lang w:val="en-CA"/>
        </w:rPr>
        <w:t xml:space="preserve"> black morels </w:t>
      </w:r>
      <w:r>
        <w:rPr>
          <w:rFonts w:ascii="Gellix" w:hAnsi="Gellix" w:cstheme="minorHAnsi"/>
          <w:b/>
          <w:bCs/>
          <w:sz w:val="24"/>
          <w:szCs w:val="24"/>
          <w:lang w:val="en-CA"/>
        </w:rPr>
        <w:t>and</w:t>
      </w:r>
      <w:r w:rsidRPr="00B22455">
        <w:rPr>
          <w:rFonts w:ascii="Gellix" w:hAnsi="Gellix" w:cstheme="minorHAnsi"/>
          <w:b/>
          <w:bCs/>
          <w:sz w:val="24"/>
          <w:szCs w:val="24"/>
          <w:lang w:val="en-CA"/>
        </w:rPr>
        <w:t xml:space="preserve"> the discovery of five new phylogenetic lineages</w:t>
      </w:r>
    </w:p>
    <w:bookmarkEnd w:id="1"/>
    <w:p w14:paraId="37DE299C" w14:textId="39E97925" w:rsidR="008A5437" w:rsidRPr="0052435B" w:rsidRDefault="0052435B">
      <w:pPr>
        <w:rPr>
          <w:rFonts w:ascii="Gellix" w:hAnsi="Gellix"/>
          <w:lang w:val="en-CA"/>
        </w:rPr>
      </w:pPr>
      <w:r w:rsidRPr="0052435B">
        <w:rPr>
          <w:rFonts w:ascii="Gellix" w:hAnsi="Gellix"/>
          <w:lang w:val="en-CA"/>
        </w:rPr>
        <w:t>SUPPLEMENTARY S</w:t>
      </w:r>
      <w:r w:rsidR="00C4081B">
        <w:rPr>
          <w:rFonts w:ascii="Gellix" w:hAnsi="Gellix"/>
          <w:lang w:val="en-CA"/>
        </w:rPr>
        <w:t>2</w:t>
      </w:r>
      <w:r w:rsidR="000477F6">
        <w:rPr>
          <w:rFonts w:ascii="Gellix" w:hAnsi="Gellix"/>
          <w:lang w:val="en-CA"/>
        </w:rPr>
        <w:t xml:space="preserve"> – PRIMER SEQUENCES</w:t>
      </w:r>
    </w:p>
    <w:p w14:paraId="784F706C" w14:textId="617A9DAB" w:rsidR="0052435B" w:rsidRPr="0052435B" w:rsidRDefault="0052435B">
      <w:pPr>
        <w:rPr>
          <w:rFonts w:ascii="Gellix" w:hAnsi="Gellix"/>
          <w:sz w:val="20"/>
          <w:szCs w:val="20"/>
          <w:lang w:val="en-CA"/>
        </w:rPr>
      </w:pPr>
    </w:p>
    <w:p w14:paraId="37FF9ED6" w14:textId="5D8CAEFC" w:rsidR="0052435B" w:rsidRPr="00C0046B" w:rsidRDefault="0052435B">
      <w:pPr>
        <w:rPr>
          <w:rFonts w:ascii="Gellix" w:hAnsi="Gellix"/>
          <w:i/>
          <w:iCs/>
          <w:sz w:val="18"/>
          <w:szCs w:val="18"/>
          <w:lang w:val="en-CA"/>
        </w:rPr>
      </w:pPr>
      <w:r w:rsidRPr="00C0046B">
        <w:rPr>
          <w:rFonts w:ascii="Gellix" w:hAnsi="Gellix"/>
          <w:b/>
          <w:bCs/>
          <w:i/>
          <w:iCs/>
          <w:sz w:val="18"/>
          <w:szCs w:val="18"/>
          <w:lang w:val="en-CA"/>
        </w:rPr>
        <w:t xml:space="preserve">Supplementary </w:t>
      </w:r>
      <w:r w:rsidR="009214B1" w:rsidRPr="00C0046B">
        <w:rPr>
          <w:rFonts w:ascii="Gellix" w:hAnsi="Gellix"/>
          <w:b/>
          <w:bCs/>
          <w:i/>
          <w:iCs/>
          <w:sz w:val="18"/>
          <w:szCs w:val="18"/>
          <w:lang w:val="en-CA"/>
        </w:rPr>
        <w:t xml:space="preserve">Table </w:t>
      </w:r>
      <w:r w:rsidRPr="00C0046B">
        <w:rPr>
          <w:rFonts w:ascii="Gellix" w:hAnsi="Gellix"/>
          <w:b/>
          <w:bCs/>
          <w:i/>
          <w:iCs/>
          <w:sz w:val="18"/>
          <w:szCs w:val="18"/>
          <w:lang w:val="en-CA"/>
        </w:rPr>
        <w:t xml:space="preserve">S1. </w:t>
      </w:r>
      <w:r w:rsidRPr="00C0046B">
        <w:rPr>
          <w:rFonts w:ascii="Gellix" w:hAnsi="Gellix"/>
          <w:i/>
          <w:iCs/>
          <w:sz w:val="18"/>
          <w:szCs w:val="18"/>
          <w:lang w:val="en-CA"/>
        </w:rPr>
        <w:t>Primer sequences</w:t>
      </w:r>
      <w:r w:rsidR="00421928">
        <w:rPr>
          <w:rFonts w:ascii="Gellix" w:hAnsi="Gellix"/>
          <w:i/>
          <w:iCs/>
          <w:sz w:val="18"/>
          <w:szCs w:val="18"/>
          <w:lang w:val="en-CA"/>
        </w:rPr>
        <w:t xml:space="preserve"> that were used.</w:t>
      </w:r>
    </w:p>
    <w:tbl>
      <w:tblPr>
        <w:tblStyle w:val="Grilledutableau"/>
        <w:tblW w:w="9747" w:type="dxa"/>
        <w:tblLook w:val="04A0" w:firstRow="1" w:lastRow="0" w:firstColumn="1" w:lastColumn="0" w:noHBand="0" w:noVBand="1"/>
      </w:tblPr>
      <w:tblGrid>
        <w:gridCol w:w="1411"/>
        <w:gridCol w:w="1277"/>
        <w:gridCol w:w="3378"/>
        <w:gridCol w:w="988"/>
        <w:gridCol w:w="2693"/>
      </w:tblGrid>
      <w:tr w:rsidR="008A5437" w:rsidRPr="0052435B" w14:paraId="733BF675" w14:textId="77777777" w:rsidTr="004E0A68">
        <w:tc>
          <w:tcPr>
            <w:tcW w:w="1411" w:type="dxa"/>
          </w:tcPr>
          <w:p w14:paraId="15F487FF" w14:textId="77777777" w:rsidR="008A5437" w:rsidRPr="0052435B" w:rsidRDefault="008A5437" w:rsidP="0052435B">
            <w:pPr>
              <w:spacing w:after="160" w:line="259" w:lineRule="auto"/>
              <w:rPr>
                <w:rFonts w:ascii="Gellix" w:hAnsi="Gellix"/>
                <w:b/>
                <w:bCs/>
                <w:sz w:val="20"/>
                <w:szCs w:val="20"/>
              </w:rPr>
            </w:pPr>
            <w:r w:rsidRPr="0052435B">
              <w:rPr>
                <w:rFonts w:ascii="Gellix" w:hAnsi="Gellix"/>
                <w:b/>
                <w:bCs/>
                <w:sz w:val="20"/>
                <w:szCs w:val="20"/>
              </w:rPr>
              <w:t>Primer</w:t>
            </w:r>
          </w:p>
        </w:tc>
        <w:tc>
          <w:tcPr>
            <w:tcW w:w="1277" w:type="dxa"/>
          </w:tcPr>
          <w:p w14:paraId="61120080" w14:textId="77777777" w:rsidR="008A5437" w:rsidRPr="0052435B" w:rsidRDefault="008A5437" w:rsidP="0052435B">
            <w:pPr>
              <w:spacing w:after="160" w:line="259" w:lineRule="auto"/>
              <w:rPr>
                <w:rFonts w:ascii="Gellix" w:hAnsi="Gellix"/>
                <w:b/>
                <w:bCs/>
                <w:sz w:val="20"/>
                <w:szCs w:val="20"/>
              </w:rPr>
            </w:pPr>
            <w:r w:rsidRPr="0052435B">
              <w:rPr>
                <w:rFonts w:ascii="Gellix" w:hAnsi="Gellix"/>
                <w:b/>
                <w:bCs/>
                <w:sz w:val="20"/>
                <w:szCs w:val="20"/>
              </w:rPr>
              <w:t>Orientation</w:t>
            </w:r>
          </w:p>
        </w:tc>
        <w:tc>
          <w:tcPr>
            <w:tcW w:w="3378" w:type="dxa"/>
          </w:tcPr>
          <w:p w14:paraId="0AAA178E" w14:textId="77777777" w:rsidR="008A5437" w:rsidRPr="0052435B" w:rsidRDefault="008A5437" w:rsidP="0052435B">
            <w:pPr>
              <w:spacing w:after="160" w:line="259" w:lineRule="auto"/>
              <w:rPr>
                <w:rFonts w:ascii="Gellix" w:hAnsi="Gellix"/>
                <w:b/>
                <w:bCs/>
                <w:sz w:val="20"/>
                <w:szCs w:val="20"/>
              </w:rPr>
            </w:pPr>
            <w:r w:rsidRPr="0052435B">
              <w:rPr>
                <w:rFonts w:ascii="Gellix" w:hAnsi="Gellix"/>
                <w:b/>
                <w:bCs/>
                <w:sz w:val="20"/>
                <w:szCs w:val="20"/>
              </w:rPr>
              <w:t>Sequence</w:t>
            </w:r>
          </w:p>
        </w:tc>
        <w:tc>
          <w:tcPr>
            <w:tcW w:w="988" w:type="dxa"/>
          </w:tcPr>
          <w:p w14:paraId="3A564906" w14:textId="77777777" w:rsidR="008A5437" w:rsidRPr="0052435B" w:rsidRDefault="008A5437" w:rsidP="0052435B">
            <w:pPr>
              <w:spacing w:after="160" w:line="259" w:lineRule="auto"/>
              <w:rPr>
                <w:rFonts w:ascii="Gellix" w:hAnsi="Gellix"/>
                <w:b/>
                <w:bCs/>
                <w:sz w:val="20"/>
                <w:szCs w:val="20"/>
              </w:rPr>
            </w:pPr>
            <w:r w:rsidRPr="0052435B">
              <w:rPr>
                <w:rFonts w:ascii="Gellix" w:hAnsi="Gellix"/>
                <w:b/>
                <w:bCs/>
                <w:sz w:val="20"/>
                <w:szCs w:val="20"/>
              </w:rPr>
              <w:t>Target region</w:t>
            </w:r>
          </w:p>
        </w:tc>
        <w:tc>
          <w:tcPr>
            <w:tcW w:w="2693" w:type="dxa"/>
          </w:tcPr>
          <w:p w14:paraId="1B3C4BFD" w14:textId="77777777" w:rsidR="008A5437" w:rsidRPr="0052435B" w:rsidRDefault="008A5437" w:rsidP="0052435B">
            <w:pPr>
              <w:spacing w:after="160" w:line="259" w:lineRule="auto"/>
              <w:rPr>
                <w:rFonts w:ascii="Gellix" w:hAnsi="Gellix"/>
                <w:b/>
                <w:bCs/>
                <w:sz w:val="20"/>
                <w:szCs w:val="20"/>
              </w:rPr>
            </w:pPr>
            <w:r w:rsidRPr="0052435B">
              <w:rPr>
                <w:rFonts w:ascii="Gellix" w:hAnsi="Gellix"/>
                <w:b/>
                <w:bCs/>
                <w:sz w:val="20"/>
                <w:szCs w:val="20"/>
              </w:rPr>
              <w:t>Reference</w:t>
            </w:r>
          </w:p>
        </w:tc>
      </w:tr>
      <w:tr w:rsidR="008A5437" w:rsidRPr="0052435B" w14:paraId="50A1E267" w14:textId="77777777" w:rsidTr="004E0A68">
        <w:tc>
          <w:tcPr>
            <w:tcW w:w="1411" w:type="dxa"/>
          </w:tcPr>
          <w:p w14:paraId="5E6AE6A1"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sz w:val="20"/>
                <w:szCs w:val="20"/>
              </w:rPr>
              <w:t>ITS1</w:t>
            </w:r>
          </w:p>
        </w:tc>
        <w:tc>
          <w:tcPr>
            <w:tcW w:w="1277" w:type="dxa"/>
          </w:tcPr>
          <w:p w14:paraId="461E9FB4" w14:textId="77777777" w:rsidR="008A5437" w:rsidRPr="0052435B" w:rsidRDefault="008A5437" w:rsidP="0052435B">
            <w:pPr>
              <w:spacing w:after="160" w:line="259" w:lineRule="auto"/>
              <w:rPr>
                <w:rFonts w:ascii="Gellix" w:hAnsi="Gellix"/>
                <w:sz w:val="20"/>
                <w:szCs w:val="20"/>
              </w:rPr>
            </w:pPr>
            <w:r w:rsidRPr="0052435B">
              <w:rPr>
                <w:rFonts w:ascii="Gellix" w:hAnsi="Gellix"/>
                <w:sz w:val="20"/>
                <w:szCs w:val="20"/>
              </w:rPr>
              <w:t>Forward</w:t>
            </w:r>
          </w:p>
        </w:tc>
        <w:tc>
          <w:tcPr>
            <w:tcW w:w="3378" w:type="dxa"/>
          </w:tcPr>
          <w:p w14:paraId="1FE1A7D7"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sz w:val="20"/>
                <w:szCs w:val="20"/>
              </w:rPr>
              <w:t>TCCGTAGGTGAACCTGCGG</w:t>
            </w:r>
          </w:p>
        </w:tc>
        <w:tc>
          <w:tcPr>
            <w:tcW w:w="988" w:type="dxa"/>
          </w:tcPr>
          <w:p w14:paraId="2EF0A8B7"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sz w:val="20"/>
                <w:szCs w:val="20"/>
              </w:rPr>
              <w:t>ITS 5.8S</w:t>
            </w:r>
          </w:p>
        </w:tc>
        <w:tc>
          <w:tcPr>
            <w:tcW w:w="2693" w:type="dxa"/>
          </w:tcPr>
          <w:p w14:paraId="61854481" w14:textId="46C42983" w:rsidR="008A5437" w:rsidRPr="0052435B" w:rsidRDefault="006A096A" w:rsidP="0052435B">
            <w:pPr>
              <w:spacing w:after="160" w:line="259" w:lineRule="auto"/>
              <w:rPr>
                <w:rFonts w:ascii="Gellix" w:hAnsi="Gellix"/>
                <w:sz w:val="20"/>
                <w:szCs w:val="20"/>
              </w:rPr>
            </w:pPr>
            <w:r>
              <w:rPr>
                <w:rFonts w:ascii="Gellix" w:hAnsi="Gellix"/>
                <w:sz w:val="20"/>
                <w:szCs w:val="20"/>
              </w:rPr>
              <w:fldChar w:fldCharType="begin"/>
            </w:r>
            <w:r>
              <w:rPr>
                <w:rFonts w:ascii="Gellix" w:hAnsi="Gellix"/>
                <w:sz w:val="20"/>
                <w:szCs w:val="20"/>
              </w:rPr>
              <w:instrText xml:space="preserve"> ADDIN ZOTERO_ITEM CSL_CITATION {"citationID":"xc4a6ek5","properties":{"formattedCitation":"(White et al. 1990)","plainCitation":"(White et al. 1990)","noteIndex":0},"citationItems":[{"id":26,"uris":["http://zotero.org/users/10899250/items/JEN4IQBK"],"itemData":{"id":26,"type":"chapter","container-title":"Pcr Protocols: a Guide to Methods and Applications,","note":"journalAbbreviation: Pcr Protocols: a Guide to Methods and Applications,","page":"315-322","source":"ResearchGate","title":"Amplification and Direct Sequencing of Fungal Ribosomal RNA Genes for Phylogenetics","volume":"31","author":[{"family":"White","given":"T"},{"family":"Bruns","given":"Tom"},{"family":"Lee","given":"Steven"},{"family":"Taylor","given":"John"},{"family":"Innis","given":"M"},{"family":"Gelfand","given":"D"},{"family":"Sninsky","given":"John"}],"issued":{"date-parts":[["1990",1,1]]}}}],"schema":"https://github.com/citation-style-language/schema/raw/master/csl-citation.json"} </w:instrText>
            </w:r>
            <w:r>
              <w:rPr>
                <w:rFonts w:ascii="Gellix" w:hAnsi="Gellix"/>
                <w:sz w:val="20"/>
                <w:szCs w:val="20"/>
              </w:rPr>
              <w:fldChar w:fldCharType="separate"/>
            </w:r>
            <w:r w:rsidRPr="006A096A">
              <w:rPr>
                <w:rFonts w:ascii="Gellix" w:hAnsi="Gellix"/>
                <w:sz w:val="20"/>
              </w:rPr>
              <w:t>(White et al. 1990)</w:t>
            </w:r>
            <w:r>
              <w:rPr>
                <w:rFonts w:ascii="Gellix" w:hAnsi="Gellix"/>
                <w:sz w:val="20"/>
                <w:szCs w:val="20"/>
              </w:rPr>
              <w:fldChar w:fldCharType="end"/>
            </w:r>
          </w:p>
        </w:tc>
      </w:tr>
      <w:tr w:rsidR="008A5437" w:rsidRPr="0052435B" w14:paraId="6251BB68" w14:textId="77777777" w:rsidTr="004E0A68">
        <w:tc>
          <w:tcPr>
            <w:tcW w:w="1411" w:type="dxa"/>
          </w:tcPr>
          <w:p w14:paraId="6D776594"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sz w:val="20"/>
                <w:szCs w:val="20"/>
              </w:rPr>
              <w:t>ITS4</w:t>
            </w:r>
          </w:p>
        </w:tc>
        <w:tc>
          <w:tcPr>
            <w:tcW w:w="1277" w:type="dxa"/>
          </w:tcPr>
          <w:p w14:paraId="1880C8A4" w14:textId="77777777" w:rsidR="008A5437" w:rsidRPr="0052435B" w:rsidRDefault="008A5437" w:rsidP="0052435B">
            <w:pPr>
              <w:spacing w:after="160" w:line="259" w:lineRule="auto"/>
              <w:rPr>
                <w:rFonts w:ascii="Gellix" w:hAnsi="Gellix"/>
                <w:sz w:val="20"/>
                <w:szCs w:val="20"/>
              </w:rPr>
            </w:pPr>
            <w:r w:rsidRPr="0052435B">
              <w:rPr>
                <w:rFonts w:ascii="Gellix" w:hAnsi="Gellix"/>
                <w:sz w:val="20"/>
                <w:szCs w:val="20"/>
              </w:rPr>
              <w:t>Reverse</w:t>
            </w:r>
          </w:p>
        </w:tc>
        <w:tc>
          <w:tcPr>
            <w:tcW w:w="3378" w:type="dxa"/>
          </w:tcPr>
          <w:p w14:paraId="1F9E0862"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sz w:val="20"/>
                <w:szCs w:val="20"/>
              </w:rPr>
              <w:t>TCCTCCGCTTATTGATATGC</w:t>
            </w:r>
          </w:p>
        </w:tc>
        <w:tc>
          <w:tcPr>
            <w:tcW w:w="988" w:type="dxa"/>
          </w:tcPr>
          <w:p w14:paraId="0CB4520D"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sz w:val="20"/>
                <w:szCs w:val="20"/>
              </w:rPr>
              <w:t>ITS 5.8S</w:t>
            </w:r>
          </w:p>
        </w:tc>
        <w:tc>
          <w:tcPr>
            <w:tcW w:w="2693" w:type="dxa"/>
          </w:tcPr>
          <w:p w14:paraId="7CBC63E8" w14:textId="0C13FD25" w:rsidR="008A5437" w:rsidRPr="0052435B" w:rsidRDefault="006A096A" w:rsidP="0052435B">
            <w:pPr>
              <w:spacing w:after="160" w:line="259" w:lineRule="auto"/>
              <w:rPr>
                <w:rFonts w:ascii="Gellix" w:hAnsi="Gellix"/>
                <w:sz w:val="20"/>
                <w:szCs w:val="20"/>
              </w:rPr>
            </w:pPr>
            <w:r>
              <w:rPr>
                <w:rFonts w:ascii="Gellix" w:hAnsi="Gellix"/>
                <w:sz w:val="20"/>
                <w:szCs w:val="20"/>
              </w:rPr>
              <w:fldChar w:fldCharType="begin"/>
            </w:r>
            <w:r>
              <w:rPr>
                <w:rFonts w:ascii="Gellix" w:hAnsi="Gellix"/>
                <w:sz w:val="20"/>
                <w:szCs w:val="20"/>
              </w:rPr>
              <w:instrText xml:space="preserve"> ADDIN ZOTERO_ITEM CSL_CITATION {"citationID":"7LuYHj16","properties":{"formattedCitation":"(Gardes and Bruns 1993)","plainCitation":"(Gardes and Bruns 1993)","noteIndex":0},"citationItems":[{"id":29,"uris":["http://zotero.org/users/10899250/items/DMEN84SV"],"itemData":{"id":29,"type":"article-journal","abstract":"We have designed two taxon-selective primers for the internal transcribed spacer (ITS) region in the nuclear ribosomal repeat unit. These primers, ITS1-F and ITS4-B, were intended to be specific to fungi and basidiomycetes, respectively. We have tested the specificity of these primers against 13 species of ascomycetes, 14 of basidiomycetes, and 15 of plants. Our results showed that ITS4-B, when paired with either a 'universal' primer ITS1 or the fungal-specific primer ITS1-F, efficiently amplified DNA from all basidiomycetes and discriminated against ascomycete DNAs. The results with plants were not as clearcut. The ITS1-F/ITS4-B primer pair produced a small amount of PCR product for certain plant species, but the quantity was in most cases less than that produced by the 'universal' ITS primers. However, under conditions where both plant and fungal DNAs were present, the fungal DNA was amplified to the apparent exclusion of plant DNA. ITS1-F/ITS4-B preferential amplification was shown to be particularly useful for detection and analysis of the basidiomycete component in ectomycorrhizae and in rust-infected tissues. These primers can be used to study the structure of ectomycorrhizal communities or the distribution of rusts on alternate hosts.","container-title":"Molecular Ecology","DOI":"10.1111/j.1365-294x.1993.tb00005.x","ISSN":"0962-1083","issue":"2","journalAbbreviation":"Mol Ecol","language":"eng","note":"PMID: 8180733","page":"113-118","source":"PubMed","title":"ITS primers with enhanced specificity for basidiomycetes--application to the identification of mycorrhizae and rusts","volume":"2","author":[{"family":"Gardes","given":"M."},{"family":"Bruns","given":"T. D."}],"issued":{"date-parts":[["1993",4]]}}}],"schema":"https://github.com/citation-style-language/schema/raw/master/csl-citation.json"} </w:instrText>
            </w:r>
            <w:r>
              <w:rPr>
                <w:rFonts w:ascii="Gellix" w:hAnsi="Gellix"/>
                <w:sz w:val="20"/>
                <w:szCs w:val="20"/>
              </w:rPr>
              <w:fldChar w:fldCharType="separate"/>
            </w:r>
            <w:r w:rsidRPr="006A096A">
              <w:rPr>
                <w:rFonts w:ascii="Gellix" w:hAnsi="Gellix"/>
                <w:sz w:val="20"/>
              </w:rPr>
              <w:t>(Gardes and Bruns 1993)</w:t>
            </w:r>
            <w:r>
              <w:rPr>
                <w:rFonts w:ascii="Gellix" w:hAnsi="Gellix"/>
                <w:sz w:val="20"/>
                <w:szCs w:val="20"/>
              </w:rPr>
              <w:fldChar w:fldCharType="end"/>
            </w:r>
          </w:p>
        </w:tc>
      </w:tr>
      <w:tr w:rsidR="008A5437" w:rsidRPr="0052435B" w14:paraId="01DF7D6C" w14:textId="77777777" w:rsidTr="004E0A68">
        <w:tc>
          <w:tcPr>
            <w:tcW w:w="1411" w:type="dxa"/>
          </w:tcPr>
          <w:p w14:paraId="748F75FF"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i/>
                <w:sz w:val="20"/>
                <w:szCs w:val="20"/>
              </w:rPr>
              <w:t>RPB1B-F</w:t>
            </w:r>
          </w:p>
        </w:tc>
        <w:tc>
          <w:tcPr>
            <w:tcW w:w="1277" w:type="dxa"/>
          </w:tcPr>
          <w:p w14:paraId="3EAEA316" w14:textId="77777777" w:rsidR="008A5437" w:rsidRPr="0052435B" w:rsidRDefault="008A5437" w:rsidP="0052435B">
            <w:pPr>
              <w:spacing w:after="160" w:line="259" w:lineRule="auto"/>
              <w:rPr>
                <w:rFonts w:ascii="Gellix" w:hAnsi="Gellix"/>
                <w:sz w:val="20"/>
                <w:szCs w:val="20"/>
              </w:rPr>
            </w:pPr>
            <w:r w:rsidRPr="0052435B">
              <w:rPr>
                <w:rFonts w:ascii="Gellix" w:hAnsi="Gellix"/>
                <w:sz w:val="20"/>
                <w:szCs w:val="20"/>
              </w:rPr>
              <w:t>Forward</w:t>
            </w:r>
          </w:p>
        </w:tc>
        <w:tc>
          <w:tcPr>
            <w:tcW w:w="3378" w:type="dxa"/>
          </w:tcPr>
          <w:p w14:paraId="4CB348C0"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sz w:val="20"/>
                <w:szCs w:val="20"/>
              </w:rPr>
              <w:t>AACCGGTATATCACGTYGGTAT</w:t>
            </w:r>
          </w:p>
        </w:tc>
        <w:tc>
          <w:tcPr>
            <w:tcW w:w="988" w:type="dxa"/>
          </w:tcPr>
          <w:p w14:paraId="14FACBB7"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i/>
                <w:sz w:val="20"/>
                <w:szCs w:val="20"/>
              </w:rPr>
              <w:t>RPB1</w:t>
            </w:r>
          </w:p>
        </w:tc>
        <w:tc>
          <w:tcPr>
            <w:tcW w:w="2693" w:type="dxa"/>
          </w:tcPr>
          <w:p w14:paraId="7465D669" w14:textId="6AD83BB5" w:rsidR="008A5437" w:rsidRPr="0052435B" w:rsidRDefault="008A5437" w:rsidP="0052435B">
            <w:pPr>
              <w:spacing w:after="160" w:line="259" w:lineRule="auto"/>
              <w:rPr>
                <w:rFonts w:ascii="Gellix" w:hAnsi="Gellix"/>
                <w:sz w:val="20"/>
                <w:szCs w:val="20"/>
              </w:rPr>
            </w:pPr>
            <w:r w:rsidRPr="0052435B">
              <w:rPr>
                <w:rFonts w:ascii="Gellix" w:hAnsi="Gellix"/>
                <w:sz w:val="20"/>
                <w:szCs w:val="20"/>
              </w:rPr>
              <w:fldChar w:fldCharType="begin"/>
            </w:r>
            <w:r w:rsidR="006A096A">
              <w:rPr>
                <w:rFonts w:ascii="Gellix" w:hAnsi="Gellix"/>
                <w:sz w:val="20"/>
                <w:szCs w:val="20"/>
              </w:rPr>
              <w:instrText xml:space="preserve"> ADDIN ZOTERO_ITEM CSL_CITATION {"citationID":"uoLcK6A6","properties":{"formattedCitation":"(Du et al. 2012)","plainCitation":"(Du et al. 2012)","noteIndex":0},"citationItems":[{"id":50,"uris":["http://zotero.org/users/local/dRa8qwC6/items/5KE6BNLS","http://zotero.org/users/10899250/items/5KE6BNLS"],"itemData":{"id":50,"type":"article-journal","abstract":"The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006A096A">
              <w:rPr>
                <w:rFonts w:ascii="Gellix" w:hAnsi="Gellix" w:hint="eastAsia"/>
                <w:sz w:val="20"/>
                <w:szCs w:val="20"/>
              </w:rPr>
              <w:instrText>α</w:instrText>
            </w:r>
            <w:r w:rsidR="006A096A">
              <w:rPr>
                <w:rFonts w:ascii="Gellix" w:hAnsi="Gellix"/>
                <w:sz w:val="20"/>
                <w:szCs w:val="20"/>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52435B">
              <w:rPr>
                <w:rFonts w:ascii="Gellix" w:hAnsi="Gellix"/>
                <w:sz w:val="20"/>
                <w:szCs w:val="20"/>
              </w:rPr>
              <w:fldChar w:fldCharType="separate"/>
            </w:r>
            <w:r w:rsidRPr="0052435B">
              <w:rPr>
                <w:rFonts w:ascii="Gellix" w:hAnsi="Gellix"/>
                <w:sz w:val="20"/>
              </w:rPr>
              <w:t>(Du et al. 2012)</w:t>
            </w:r>
            <w:r w:rsidRPr="0052435B">
              <w:rPr>
                <w:rFonts w:ascii="Gellix" w:hAnsi="Gellix"/>
                <w:sz w:val="20"/>
                <w:szCs w:val="20"/>
              </w:rPr>
              <w:fldChar w:fldCharType="end"/>
            </w:r>
          </w:p>
        </w:tc>
      </w:tr>
      <w:tr w:rsidR="008A5437" w:rsidRPr="0052435B" w14:paraId="06B510B2" w14:textId="77777777" w:rsidTr="004E0A68">
        <w:tc>
          <w:tcPr>
            <w:tcW w:w="1411" w:type="dxa"/>
          </w:tcPr>
          <w:p w14:paraId="75DB54B3"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i/>
                <w:sz w:val="20"/>
                <w:szCs w:val="20"/>
                <w:lang w:val="en-US"/>
              </w:rPr>
              <w:t>RPB1B-R</w:t>
            </w:r>
          </w:p>
        </w:tc>
        <w:tc>
          <w:tcPr>
            <w:tcW w:w="1277" w:type="dxa"/>
          </w:tcPr>
          <w:p w14:paraId="7A4D4745" w14:textId="77777777" w:rsidR="008A5437" w:rsidRPr="0052435B" w:rsidRDefault="008A5437" w:rsidP="0052435B">
            <w:pPr>
              <w:spacing w:after="160" w:line="259" w:lineRule="auto"/>
              <w:rPr>
                <w:rFonts w:ascii="Gellix" w:hAnsi="Gellix"/>
                <w:sz w:val="20"/>
                <w:szCs w:val="20"/>
              </w:rPr>
            </w:pPr>
            <w:r w:rsidRPr="0052435B">
              <w:rPr>
                <w:rFonts w:ascii="Gellix" w:hAnsi="Gellix"/>
                <w:sz w:val="20"/>
                <w:szCs w:val="20"/>
              </w:rPr>
              <w:t>Reverse</w:t>
            </w:r>
          </w:p>
        </w:tc>
        <w:tc>
          <w:tcPr>
            <w:tcW w:w="3378" w:type="dxa"/>
          </w:tcPr>
          <w:p w14:paraId="01B416BC"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sz w:val="20"/>
                <w:szCs w:val="20"/>
                <w:lang w:val="en-US"/>
              </w:rPr>
              <w:t>GCCTCRAATTCGTTGACRACGT</w:t>
            </w:r>
          </w:p>
        </w:tc>
        <w:tc>
          <w:tcPr>
            <w:tcW w:w="988" w:type="dxa"/>
          </w:tcPr>
          <w:p w14:paraId="74D8D6BA" w14:textId="77777777" w:rsidR="008A5437" w:rsidRPr="0052435B" w:rsidRDefault="008A5437" w:rsidP="0052435B">
            <w:pPr>
              <w:spacing w:after="160" w:line="259" w:lineRule="auto"/>
              <w:rPr>
                <w:rFonts w:ascii="Gellix" w:hAnsi="Gellix"/>
                <w:sz w:val="20"/>
                <w:szCs w:val="20"/>
              </w:rPr>
            </w:pPr>
            <w:r w:rsidRPr="0052435B">
              <w:rPr>
                <w:rFonts w:ascii="Gellix" w:hAnsi="Gellix" w:cs="Times New Roman"/>
                <w:i/>
                <w:sz w:val="20"/>
                <w:szCs w:val="20"/>
                <w:lang w:val="en-US"/>
              </w:rPr>
              <w:t>RPB1</w:t>
            </w:r>
          </w:p>
        </w:tc>
        <w:tc>
          <w:tcPr>
            <w:tcW w:w="2693" w:type="dxa"/>
          </w:tcPr>
          <w:p w14:paraId="3DB292C3" w14:textId="276748E6" w:rsidR="008A5437" w:rsidRPr="0052435B" w:rsidRDefault="008A5437" w:rsidP="0052435B">
            <w:pPr>
              <w:spacing w:after="160" w:line="259" w:lineRule="auto"/>
              <w:rPr>
                <w:rFonts w:ascii="Gellix" w:hAnsi="Gellix"/>
                <w:sz w:val="20"/>
                <w:szCs w:val="20"/>
              </w:rPr>
            </w:pPr>
            <w:r w:rsidRPr="0052435B">
              <w:rPr>
                <w:rFonts w:ascii="Gellix" w:hAnsi="Gellix"/>
                <w:sz w:val="20"/>
                <w:szCs w:val="20"/>
              </w:rPr>
              <w:fldChar w:fldCharType="begin"/>
            </w:r>
            <w:r w:rsidR="006A096A">
              <w:rPr>
                <w:rFonts w:ascii="Gellix" w:hAnsi="Gellix"/>
                <w:sz w:val="20"/>
                <w:szCs w:val="20"/>
              </w:rPr>
              <w:instrText xml:space="preserve"> ADDIN ZOTERO_ITEM CSL_CITATION {"citationID":"1gr4O3IT","properties":{"formattedCitation":"(Du et al. 2012)","plainCitation":"(Du et al. 2012)","noteIndex":0},"citationItems":[{"id":50,"uris":["http://zotero.org/users/local/dRa8qwC6/items/5KE6BNLS","http://zotero.org/users/10899250/items/5KE6BNLS"],"itemData":{"id":50,"type":"article-journal","abstract":"The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006A096A">
              <w:rPr>
                <w:rFonts w:ascii="Gellix" w:hAnsi="Gellix" w:hint="eastAsia"/>
                <w:sz w:val="20"/>
                <w:szCs w:val="20"/>
              </w:rPr>
              <w:instrText>α</w:instrText>
            </w:r>
            <w:r w:rsidR="006A096A">
              <w:rPr>
                <w:rFonts w:ascii="Gellix" w:hAnsi="Gellix"/>
                <w:sz w:val="20"/>
                <w:szCs w:val="20"/>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52435B">
              <w:rPr>
                <w:rFonts w:ascii="Gellix" w:hAnsi="Gellix"/>
                <w:sz w:val="20"/>
                <w:szCs w:val="20"/>
              </w:rPr>
              <w:fldChar w:fldCharType="separate"/>
            </w:r>
            <w:r w:rsidRPr="0052435B">
              <w:rPr>
                <w:rFonts w:ascii="Gellix" w:hAnsi="Gellix"/>
                <w:sz w:val="20"/>
              </w:rPr>
              <w:t>(Du et al. 2012)</w:t>
            </w:r>
            <w:r w:rsidRPr="0052435B">
              <w:rPr>
                <w:rFonts w:ascii="Gellix" w:hAnsi="Gellix"/>
                <w:sz w:val="20"/>
                <w:szCs w:val="20"/>
              </w:rPr>
              <w:fldChar w:fldCharType="end"/>
            </w:r>
          </w:p>
        </w:tc>
      </w:tr>
      <w:tr w:rsidR="008A5437" w:rsidRPr="0052435B" w14:paraId="45B5D2E7" w14:textId="77777777" w:rsidTr="004E0A68">
        <w:tc>
          <w:tcPr>
            <w:tcW w:w="1411" w:type="dxa"/>
          </w:tcPr>
          <w:p w14:paraId="236F6055" w14:textId="77777777" w:rsidR="008A5437" w:rsidRPr="0052435B" w:rsidRDefault="008A5437" w:rsidP="0052435B">
            <w:pPr>
              <w:spacing w:after="160" w:line="259" w:lineRule="auto"/>
              <w:rPr>
                <w:rFonts w:ascii="Gellix" w:hAnsi="Gellix" w:cs="Times New Roman"/>
                <w:i/>
                <w:sz w:val="20"/>
                <w:szCs w:val="20"/>
              </w:rPr>
            </w:pPr>
            <w:r w:rsidRPr="0052435B">
              <w:rPr>
                <w:rFonts w:ascii="Gellix" w:hAnsi="Gellix" w:cs="Times New Roman"/>
                <w:i/>
                <w:sz w:val="20"/>
                <w:szCs w:val="20"/>
              </w:rPr>
              <w:t>RPB2-9F</w:t>
            </w:r>
          </w:p>
        </w:tc>
        <w:tc>
          <w:tcPr>
            <w:tcW w:w="1277" w:type="dxa"/>
          </w:tcPr>
          <w:p w14:paraId="02CF6976" w14:textId="77777777" w:rsidR="008A5437" w:rsidRPr="0052435B" w:rsidRDefault="008A5437" w:rsidP="0052435B">
            <w:pPr>
              <w:spacing w:after="160" w:line="259" w:lineRule="auto"/>
              <w:rPr>
                <w:rFonts w:ascii="Gellix" w:hAnsi="Gellix"/>
                <w:sz w:val="20"/>
                <w:szCs w:val="20"/>
              </w:rPr>
            </w:pPr>
            <w:r w:rsidRPr="0052435B">
              <w:rPr>
                <w:rFonts w:ascii="Gellix" w:hAnsi="Gellix"/>
                <w:sz w:val="20"/>
                <w:szCs w:val="20"/>
              </w:rPr>
              <w:t>Forward</w:t>
            </w:r>
          </w:p>
        </w:tc>
        <w:tc>
          <w:tcPr>
            <w:tcW w:w="3378" w:type="dxa"/>
          </w:tcPr>
          <w:p w14:paraId="6A0D7967" w14:textId="10720F3D" w:rsidR="008A5437" w:rsidRPr="0052435B" w:rsidRDefault="00A30701" w:rsidP="0052435B">
            <w:pPr>
              <w:spacing w:after="160" w:line="259" w:lineRule="auto"/>
              <w:rPr>
                <w:rFonts w:ascii="Gellix" w:hAnsi="Gellix" w:cs="Times New Roman"/>
                <w:sz w:val="20"/>
                <w:szCs w:val="20"/>
              </w:rPr>
            </w:pPr>
            <w:r w:rsidRPr="0052435B">
              <w:rPr>
                <w:rFonts w:ascii="Gellix" w:hAnsi="Gellix" w:cs="Times New Roman"/>
                <w:sz w:val="20"/>
                <w:szCs w:val="20"/>
              </w:rPr>
              <w:t>CAAATGGGCRATTGTCATACG</w:t>
            </w:r>
          </w:p>
        </w:tc>
        <w:tc>
          <w:tcPr>
            <w:tcW w:w="988" w:type="dxa"/>
          </w:tcPr>
          <w:p w14:paraId="21F764B3" w14:textId="77777777" w:rsidR="008A5437" w:rsidRPr="0052435B" w:rsidRDefault="008A5437" w:rsidP="0052435B">
            <w:pPr>
              <w:spacing w:after="160" w:line="259" w:lineRule="auto"/>
              <w:rPr>
                <w:rFonts w:ascii="Gellix" w:hAnsi="Gellix" w:cs="Times New Roman"/>
                <w:i/>
                <w:sz w:val="20"/>
                <w:szCs w:val="20"/>
              </w:rPr>
            </w:pPr>
            <w:r w:rsidRPr="0052435B">
              <w:rPr>
                <w:rFonts w:ascii="Gellix" w:hAnsi="Gellix" w:cs="Times New Roman"/>
                <w:i/>
                <w:sz w:val="20"/>
                <w:szCs w:val="20"/>
              </w:rPr>
              <w:t>RPB2</w:t>
            </w:r>
          </w:p>
        </w:tc>
        <w:tc>
          <w:tcPr>
            <w:tcW w:w="2693" w:type="dxa"/>
          </w:tcPr>
          <w:p w14:paraId="2ADEF04F" w14:textId="6AC6F699" w:rsidR="008A5437" w:rsidRPr="0052435B" w:rsidRDefault="00A30701" w:rsidP="0052435B">
            <w:pPr>
              <w:spacing w:after="160" w:line="259" w:lineRule="auto"/>
              <w:rPr>
                <w:rFonts w:ascii="Gellix" w:hAnsi="Gellix" w:cs="Times New Roman"/>
                <w:sz w:val="20"/>
                <w:szCs w:val="20"/>
              </w:rPr>
            </w:pPr>
            <w:r w:rsidRPr="0052435B">
              <w:rPr>
                <w:rFonts w:ascii="Gellix" w:hAnsi="Gellix" w:cs="Times New Roman"/>
                <w:sz w:val="20"/>
                <w:szCs w:val="20"/>
              </w:rPr>
              <w:fldChar w:fldCharType="begin"/>
            </w:r>
            <w:r w:rsidR="006A096A">
              <w:rPr>
                <w:rFonts w:ascii="Gellix" w:hAnsi="Gellix" w:cs="Times New Roman"/>
                <w:sz w:val="20"/>
                <w:szCs w:val="20"/>
              </w:rPr>
              <w:instrText xml:space="preserve"> ADDIN ZOTERO_ITEM CSL_CITATION {"citationID":"i57cwkyC","properties":{"formattedCitation":"(Taskin et al. 2010)","plainCitation":"(Taskin et al. 2010)","noteIndex":0},"citationItems":[{"id":186,"uris":["http://zotero.org/users/local/dRa8qwC6/items/J2LF8UVG","http://zotero.org/users/10899250/items/J2LF8UVG"],"itemData":{"id":186,"type":"article-journal","container-title":"Fungal genetics and biology : FG &amp; B","DOI":"10.1016/j.fgb.2010.05.004","journalAbbreviation":"Fungal genetics and biology : FG &amp; B","page":"672-82","source":"ResearchGate","title":"A multigene molecular phylogenetic assessment of true morels (Morchella) in Turkey","volume":"47","author":[{"family":"Taskin","given":"Hatira"},{"family":"Büyükalaca","given":"Saadet"},{"family":"Dogan","given":"Hasan"},{"family":"Rehner","given":"Steve"},{"family":"O'Donnell","given":"K."}],"issued":{"date-parts":[["2010",8,1]]}}}],"schema":"https://github.com/citation-style-language/schema/raw/master/csl-citation.json"} </w:instrText>
            </w:r>
            <w:r w:rsidRPr="0052435B">
              <w:rPr>
                <w:rFonts w:ascii="Gellix" w:hAnsi="Gellix" w:cs="Times New Roman"/>
                <w:sz w:val="20"/>
                <w:szCs w:val="20"/>
              </w:rPr>
              <w:fldChar w:fldCharType="separate"/>
            </w:r>
            <w:r w:rsidRPr="0052435B">
              <w:rPr>
                <w:rFonts w:ascii="Gellix" w:hAnsi="Gellix"/>
                <w:sz w:val="20"/>
              </w:rPr>
              <w:t>(Taskin et al. 2010)</w:t>
            </w:r>
            <w:r w:rsidRPr="0052435B">
              <w:rPr>
                <w:rFonts w:ascii="Gellix" w:hAnsi="Gellix" w:cs="Times New Roman"/>
                <w:sz w:val="20"/>
                <w:szCs w:val="20"/>
              </w:rPr>
              <w:fldChar w:fldCharType="end"/>
            </w:r>
          </w:p>
        </w:tc>
      </w:tr>
      <w:tr w:rsidR="008A5437" w:rsidRPr="0052435B" w14:paraId="6349898E" w14:textId="77777777" w:rsidTr="004E0A68">
        <w:tc>
          <w:tcPr>
            <w:tcW w:w="1411" w:type="dxa"/>
          </w:tcPr>
          <w:p w14:paraId="6B68B757" w14:textId="77777777" w:rsidR="008A5437" w:rsidRPr="0052435B" w:rsidRDefault="008A5437" w:rsidP="0052435B">
            <w:pPr>
              <w:spacing w:after="160" w:line="259" w:lineRule="auto"/>
              <w:rPr>
                <w:rFonts w:ascii="Gellix" w:hAnsi="Gellix" w:cs="Times New Roman"/>
                <w:i/>
                <w:sz w:val="20"/>
                <w:szCs w:val="20"/>
              </w:rPr>
            </w:pPr>
            <w:r w:rsidRPr="0052435B">
              <w:rPr>
                <w:rFonts w:ascii="Gellix" w:hAnsi="Gellix" w:cs="Times New Roman"/>
                <w:i/>
                <w:sz w:val="20"/>
                <w:szCs w:val="20"/>
              </w:rPr>
              <w:t>RPB2-3R</w:t>
            </w:r>
          </w:p>
        </w:tc>
        <w:tc>
          <w:tcPr>
            <w:tcW w:w="1277" w:type="dxa"/>
          </w:tcPr>
          <w:p w14:paraId="2B4E7320" w14:textId="77777777" w:rsidR="008A5437" w:rsidRPr="0052435B" w:rsidRDefault="008A5437" w:rsidP="0052435B">
            <w:pPr>
              <w:spacing w:after="160" w:line="259" w:lineRule="auto"/>
              <w:rPr>
                <w:rFonts w:ascii="Gellix" w:hAnsi="Gellix"/>
                <w:sz w:val="20"/>
                <w:szCs w:val="20"/>
              </w:rPr>
            </w:pPr>
            <w:r w:rsidRPr="0052435B">
              <w:rPr>
                <w:rFonts w:ascii="Gellix" w:hAnsi="Gellix"/>
                <w:sz w:val="20"/>
                <w:szCs w:val="20"/>
              </w:rPr>
              <w:t>Reverse</w:t>
            </w:r>
          </w:p>
        </w:tc>
        <w:tc>
          <w:tcPr>
            <w:tcW w:w="3378" w:type="dxa"/>
          </w:tcPr>
          <w:p w14:paraId="7BA36977" w14:textId="6E9EE936" w:rsidR="008A5437" w:rsidRPr="0052435B" w:rsidRDefault="00A30701" w:rsidP="0052435B">
            <w:pPr>
              <w:spacing w:after="160" w:line="259" w:lineRule="auto"/>
              <w:rPr>
                <w:rFonts w:ascii="Gellix" w:hAnsi="Gellix" w:cs="Times New Roman"/>
                <w:sz w:val="20"/>
                <w:szCs w:val="20"/>
              </w:rPr>
            </w:pPr>
            <w:r w:rsidRPr="0052435B">
              <w:rPr>
                <w:rFonts w:ascii="Gellix" w:hAnsi="Gellix" w:cs="Times New Roman"/>
                <w:sz w:val="20"/>
                <w:szCs w:val="20"/>
              </w:rPr>
              <w:t>GCATYGGTATGCAGGTTGTGG</w:t>
            </w:r>
          </w:p>
        </w:tc>
        <w:tc>
          <w:tcPr>
            <w:tcW w:w="988" w:type="dxa"/>
          </w:tcPr>
          <w:p w14:paraId="4711E813" w14:textId="77777777" w:rsidR="008A5437" w:rsidRPr="0052435B" w:rsidRDefault="008A5437" w:rsidP="0052435B">
            <w:pPr>
              <w:spacing w:after="160" w:line="259" w:lineRule="auto"/>
              <w:rPr>
                <w:rFonts w:ascii="Gellix" w:hAnsi="Gellix" w:cs="Times New Roman"/>
                <w:i/>
                <w:sz w:val="20"/>
                <w:szCs w:val="20"/>
              </w:rPr>
            </w:pPr>
            <w:r w:rsidRPr="0052435B">
              <w:rPr>
                <w:rFonts w:ascii="Gellix" w:hAnsi="Gellix" w:cs="Times New Roman"/>
                <w:i/>
                <w:sz w:val="20"/>
                <w:szCs w:val="20"/>
              </w:rPr>
              <w:t>RPB2</w:t>
            </w:r>
          </w:p>
        </w:tc>
        <w:tc>
          <w:tcPr>
            <w:tcW w:w="2693" w:type="dxa"/>
          </w:tcPr>
          <w:p w14:paraId="150105D5" w14:textId="7C31582F" w:rsidR="008A5437" w:rsidRPr="0052435B" w:rsidRDefault="00A30701" w:rsidP="0052435B">
            <w:pPr>
              <w:spacing w:after="160" w:line="259" w:lineRule="auto"/>
              <w:rPr>
                <w:rFonts w:ascii="Gellix" w:hAnsi="Gellix" w:cs="Times New Roman"/>
                <w:sz w:val="20"/>
                <w:szCs w:val="20"/>
              </w:rPr>
            </w:pPr>
            <w:r w:rsidRPr="0052435B">
              <w:rPr>
                <w:rFonts w:ascii="Gellix" w:hAnsi="Gellix" w:cs="Times New Roman"/>
                <w:sz w:val="20"/>
                <w:szCs w:val="20"/>
              </w:rPr>
              <w:fldChar w:fldCharType="begin"/>
            </w:r>
            <w:r w:rsidR="006A096A">
              <w:rPr>
                <w:rFonts w:ascii="Gellix" w:hAnsi="Gellix" w:cs="Times New Roman"/>
                <w:sz w:val="20"/>
                <w:szCs w:val="20"/>
              </w:rPr>
              <w:instrText xml:space="preserve"> ADDIN ZOTERO_ITEM CSL_CITATION {"citationID":"XiPpYgXt","properties":{"formattedCitation":"(Taskin et al. 2010)","plainCitation":"(Taskin et al. 2010)","noteIndex":0},"citationItems":[{"id":186,"uris":["http://zotero.org/users/local/dRa8qwC6/items/J2LF8UVG","http://zotero.org/users/10899250/items/J2LF8UVG"],"itemData":{"id":186,"type":"article-journal","container-title":"Fungal genetics and biology : FG &amp; B","DOI":"10.1016/j.fgb.2010.05.004","journalAbbreviation":"Fungal genetics and biology : FG &amp; B","page":"672-82","source":"ResearchGate","title":"A multigene molecular phylogenetic assessment of true morels (Morchella) in Turkey","volume":"47","author":[{"family":"Taskin","given":"Hatira"},{"family":"Büyükalaca","given":"Saadet"},{"family":"Dogan","given":"Hasan"},{"family":"Rehner","given":"Steve"},{"family":"O'Donnell","given":"K."}],"issued":{"date-parts":[["2010",8,1]]}}}],"schema":"https://github.com/citation-style-language/schema/raw/master/csl-citation.json"} </w:instrText>
            </w:r>
            <w:r w:rsidRPr="0052435B">
              <w:rPr>
                <w:rFonts w:ascii="Gellix" w:hAnsi="Gellix" w:cs="Times New Roman"/>
                <w:sz w:val="20"/>
                <w:szCs w:val="20"/>
              </w:rPr>
              <w:fldChar w:fldCharType="separate"/>
            </w:r>
            <w:r w:rsidRPr="0052435B">
              <w:rPr>
                <w:rFonts w:ascii="Gellix" w:hAnsi="Gellix"/>
                <w:sz w:val="20"/>
              </w:rPr>
              <w:t>(Taskin et al. 2010)</w:t>
            </w:r>
            <w:r w:rsidRPr="0052435B">
              <w:rPr>
                <w:rFonts w:ascii="Gellix" w:hAnsi="Gellix" w:cs="Times New Roman"/>
                <w:sz w:val="20"/>
                <w:szCs w:val="20"/>
              </w:rPr>
              <w:fldChar w:fldCharType="end"/>
            </w:r>
          </w:p>
        </w:tc>
      </w:tr>
      <w:tr w:rsidR="008A5437" w:rsidRPr="00C4081B" w14:paraId="00BBC382" w14:textId="77777777" w:rsidTr="004E0A68">
        <w:tc>
          <w:tcPr>
            <w:tcW w:w="1411" w:type="dxa"/>
          </w:tcPr>
          <w:p w14:paraId="172EE9E0" w14:textId="77777777" w:rsidR="008A5437" w:rsidRPr="0052435B" w:rsidRDefault="008A5437" w:rsidP="0052435B">
            <w:pPr>
              <w:spacing w:after="160" w:line="259" w:lineRule="auto"/>
              <w:rPr>
                <w:rFonts w:ascii="Gellix" w:hAnsi="Gellix" w:cs="Times New Roman"/>
                <w:i/>
                <w:sz w:val="20"/>
                <w:szCs w:val="20"/>
              </w:rPr>
            </w:pPr>
            <w:r w:rsidRPr="0052435B">
              <w:rPr>
                <w:rFonts w:ascii="Gellix" w:hAnsi="Gellix" w:cs="Times New Roman"/>
                <w:i/>
                <w:color w:val="000000"/>
                <w:sz w:val="20"/>
                <w:szCs w:val="20"/>
              </w:rPr>
              <w:t>EF-2F</w:t>
            </w:r>
          </w:p>
        </w:tc>
        <w:tc>
          <w:tcPr>
            <w:tcW w:w="1277" w:type="dxa"/>
          </w:tcPr>
          <w:p w14:paraId="7DCEEF51" w14:textId="77777777" w:rsidR="008A5437" w:rsidRPr="0052435B" w:rsidRDefault="008A5437" w:rsidP="0052435B">
            <w:pPr>
              <w:spacing w:after="160" w:line="259" w:lineRule="auto"/>
              <w:rPr>
                <w:rFonts w:ascii="Gellix" w:hAnsi="Gellix" w:cs="Times New Roman"/>
                <w:i/>
                <w:sz w:val="20"/>
                <w:szCs w:val="20"/>
              </w:rPr>
            </w:pPr>
            <w:r w:rsidRPr="0052435B">
              <w:rPr>
                <w:rFonts w:ascii="Gellix" w:hAnsi="Gellix"/>
                <w:sz w:val="20"/>
                <w:szCs w:val="20"/>
              </w:rPr>
              <w:t>Forward</w:t>
            </w:r>
          </w:p>
        </w:tc>
        <w:tc>
          <w:tcPr>
            <w:tcW w:w="3378" w:type="dxa"/>
          </w:tcPr>
          <w:p w14:paraId="06BFF86E" w14:textId="77777777" w:rsidR="008A5437" w:rsidRPr="0052435B" w:rsidRDefault="008A5437" w:rsidP="0052435B">
            <w:pPr>
              <w:spacing w:after="160" w:line="259" w:lineRule="auto"/>
              <w:rPr>
                <w:rFonts w:ascii="Gellix" w:hAnsi="Gellix" w:cs="Times New Roman"/>
                <w:sz w:val="20"/>
                <w:szCs w:val="20"/>
              </w:rPr>
            </w:pPr>
            <w:r w:rsidRPr="0052435B">
              <w:rPr>
                <w:rFonts w:ascii="Gellix" w:hAnsi="Gellix" w:cs="Times New Roman"/>
                <w:sz w:val="20"/>
                <w:szCs w:val="20"/>
              </w:rPr>
              <w:t>AACATGATSACTGGTACYTCC</w:t>
            </w:r>
          </w:p>
        </w:tc>
        <w:tc>
          <w:tcPr>
            <w:tcW w:w="988" w:type="dxa"/>
          </w:tcPr>
          <w:p w14:paraId="0DAA4D22" w14:textId="77777777" w:rsidR="008A5437" w:rsidRPr="0052435B" w:rsidRDefault="008A5437" w:rsidP="0052435B">
            <w:pPr>
              <w:spacing w:after="160" w:line="259" w:lineRule="auto"/>
              <w:rPr>
                <w:rFonts w:ascii="Gellix" w:hAnsi="Gellix" w:cs="Times New Roman"/>
                <w:sz w:val="20"/>
                <w:szCs w:val="20"/>
              </w:rPr>
            </w:pPr>
            <w:r w:rsidRPr="0052435B">
              <w:rPr>
                <w:rFonts w:ascii="Gellix" w:hAnsi="Gellix" w:cs="Times New Roman"/>
                <w:i/>
                <w:sz w:val="20"/>
                <w:szCs w:val="20"/>
              </w:rPr>
              <w:t>EF1-</w:t>
            </w:r>
            <w:r w:rsidRPr="0052435B">
              <w:rPr>
                <w:rFonts w:ascii="Cambria" w:hAnsi="Cambria" w:cs="Cambria"/>
                <w:i/>
                <w:sz w:val="20"/>
                <w:szCs w:val="20"/>
                <w:lang w:val="en-US"/>
              </w:rPr>
              <w:t>α</w:t>
            </w:r>
          </w:p>
        </w:tc>
        <w:tc>
          <w:tcPr>
            <w:tcW w:w="2693" w:type="dxa"/>
          </w:tcPr>
          <w:p w14:paraId="595DDB88" w14:textId="2C273C82" w:rsidR="008A5437" w:rsidRPr="0052435B" w:rsidRDefault="004E0A68" w:rsidP="0052435B">
            <w:pPr>
              <w:spacing w:after="160" w:line="259" w:lineRule="auto"/>
              <w:rPr>
                <w:rFonts w:ascii="Gellix" w:hAnsi="Gellix"/>
                <w:sz w:val="20"/>
                <w:szCs w:val="20"/>
                <w:lang w:val="en-CA"/>
              </w:rPr>
            </w:pPr>
            <w:r w:rsidRPr="0052435B">
              <w:rPr>
                <w:rFonts w:ascii="Gellix" w:hAnsi="Gellix"/>
                <w:sz w:val="20"/>
                <w:szCs w:val="20"/>
              </w:rPr>
              <w:fldChar w:fldCharType="begin"/>
            </w:r>
            <w:r w:rsidR="006A096A">
              <w:rPr>
                <w:rFonts w:ascii="Gellix" w:hAnsi="Gellix"/>
                <w:sz w:val="20"/>
                <w:szCs w:val="20"/>
              </w:rPr>
              <w:instrText xml:space="preserve"> ADDIN ZOTERO_ITEM CSL_CITATION {"citationID":"yTOEhuFz","properties":{"formattedCitation":"(Rehner and Buckley 2005)","plainCitation":"(Rehner and Buckley 2005)","noteIndex":0},"citationItems":[{"id":371,"uris":["http://zotero.org/users/local/dRa8qwC6/items/U5ABDGVE","http://zotero.org/users/10899250/items/U5ABDGVE"],"itemData":{"id":371,"type":"article-journal","abstract":"Beauveria is a globally distributed genus of soil-borne entomopathogenic hyphomycetes of interest as a model system for the study of entomo-pathogenesis and the biological control of pest insects. Species recognition in Beauveria is difficult due to a lack of taxonomically informative morphology. This has impeded assessment of species diversity in this genus and investigation of their natural history. A gene-genealogical approach was used to investigate molecular phylogenetic diversity of Beauveria and several presumptively related Cordyceps species. Analyses were based on nuclear ribosomal internal transcribed spacer (ITS) and elongation factor 1-alpha (EF1-</w:instrText>
            </w:r>
            <w:r w:rsidR="006A096A">
              <w:rPr>
                <w:rFonts w:ascii="Gellix" w:hAnsi="Gellix" w:hint="eastAsia"/>
                <w:sz w:val="20"/>
                <w:szCs w:val="20"/>
              </w:rPr>
              <w:instrText>α</w:instrText>
            </w:r>
            <w:r w:rsidR="006A096A">
              <w:rPr>
                <w:rFonts w:ascii="Gellix" w:hAnsi="Gellix"/>
                <w:sz w:val="20"/>
                <w:szCs w:val="20"/>
              </w:rPr>
              <w:instrText>) sequences for 86 exemplar isolates from diverse geographic origins, habitats and insect hosts. Phylogenetic trees were inferred using maximum parsimony and Bayesian likelihood methods. Six well supported clades within Beauveria, provisionally designated A–F, were resolved in the EF1-</w:instrText>
            </w:r>
            <w:r w:rsidR="006A096A">
              <w:rPr>
                <w:rFonts w:ascii="Gellix" w:hAnsi="Gellix" w:hint="eastAsia"/>
                <w:sz w:val="20"/>
                <w:szCs w:val="20"/>
              </w:rPr>
              <w:instrText>α</w:instrText>
            </w:r>
            <w:r w:rsidR="006A096A">
              <w:rPr>
                <w:rFonts w:ascii="Gellix" w:hAnsi="Gellix"/>
                <w:sz w:val="20"/>
                <w:szCs w:val="20"/>
              </w:rPr>
              <w:instrText xml:space="preserve"> and combined gene phylogenies. Beauveria bassiana, a ubiquitous species that is characterized morphologically by globose to subglobose conidia, was determined to be non-monophyletic and consists of two unrelated lineages, clades A and C. Clade A is globally distributed and includes the Asian teleomorph Cordyceps staphylinidaecola and its probable synonym C. bassiana. All isolates contained in Clade C are anamorphic and originate from Europe and North America. Clade B includes isolates of B. brongniartii, a Eurasian species complex characterized by ellipsoidal conidia. Clade D includes B. caledonica and B. vermiconia, which produce cylindrical and comma-shaped conidia, respectively. Clade E, from Asia, includes Beauveria anamorphs and a Cordyceps teleomorph that both produce ellipsoidal conidia. Clade F, the basal branch in the Beauveria phylogeny includes the South American species B. amorpha, which produces cylindrical conidia. Lineage diversity detected within clades A, B and C suggests that prevailing morphological species concepts underestimate species diversity within these groups. Continental endemism of lineages in B. bassiana s.l. (clades A and C) indicates that isolation by distance has been an important factor in the evolu</w:instrText>
            </w:r>
            <w:r w:rsidR="006A096A" w:rsidRPr="006A096A">
              <w:rPr>
                <w:rFonts w:ascii="Gellix" w:hAnsi="Gellix"/>
                <w:sz w:val="20"/>
                <w:szCs w:val="20"/>
                <w:lang w:val="en-CA"/>
              </w:rPr>
              <w:instrText>tionary diversification of these clades. Permutation tests indicate that host association is essentially random in both B. bassiana s.l. clades A and C, supporting past assumptions that this species is not host specific. In contrast, isolates in clades B and D occurred primarily on coleopteran hosts, although sampling in these clades was insufficient to assess host affliation at lower taxonomic ranks. The phylogenetic placement of Cordyceps staphylinidaecola/bassiana, and C. scarabaeicola within Beauveria corroborates prior reports of these anamorph-teleomorph connections. These results establish a phylogenetic framework for further taxonomic, phylogenetic and comparative biological investigations of Beauveria and their corresponding Cordyceps teleomorphs.","container-title":"Mycologia","DOI":"10.1080/15572536.2006.11832842","ISSN":"0027-5514","issue":"1","note":"publisher: Taylor &amp; Francis\n_eprint: https://doi.org/10.1080/15572536.2006.11832842\nPMID: 16389960","page":"84-98","source":"Taylor and Francis+NEJM","title":"A Beauveria phylogeny inferred from nuclear ITS and EF1-</w:instrText>
            </w:r>
            <w:r w:rsidR="006A096A">
              <w:rPr>
                <w:rFonts w:ascii="Gellix" w:hAnsi="Gellix" w:hint="eastAsia"/>
                <w:sz w:val="20"/>
                <w:szCs w:val="20"/>
              </w:rPr>
              <w:instrText>α</w:instrText>
            </w:r>
            <w:r w:rsidR="006A096A" w:rsidRPr="006A096A">
              <w:rPr>
                <w:rFonts w:ascii="Gellix" w:hAnsi="Gellix"/>
                <w:sz w:val="20"/>
                <w:szCs w:val="20"/>
                <w:lang w:val="en-CA"/>
              </w:rPr>
              <w:instrText xml:space="preserve"> sequences: evidence for cryptic diversification and links to Cordyceps teleomorphs","title-short":"A Beauveria phylogeny inferred from nuclear ITS and EF1-</w:instrText>
            </w:r>
            <w:r w:rsidR="006A096A">
              <w:rPr>
                <w:rFonts w:ascii="Gellix" w:hAnsi="Gellix" w:hint="eastAsia"/>
                <w:sz w:val="20"/>
                <w:szCs w:val="20"/>
              </w:rPr>
              <w:instrText>α</w:instrText>
            </w:r>
            <w:r w:rsidR="006A096A" w:rsidRPr="006A096A">
              <w:rPr>
                <w:rFonts w:ascii="Gellix" w:hAnsi="Gellix"/>
                <w:sz w:val="20"/>
                <w:szCs w:val="20"/>
                <w:lang w:val="en-CA"/>
              </w:rPr>
              <w:instrText xml:space="preserve"> sequences","volume":"97","author":[{"family":"Rehner","given":"Stephen A."},{"family":"Buckley","given":"Ellen"}],"issued":{"date-parts":[["2005",3,1]]}}}],"schema":"https://github.com/citation-style-language/schema/raw/master/csl-citation.json"} </w:instrText>
            </w:r>
            <w:r w:rsidRPr="0052435B">
              <w:rPr>
                <w:rFonts w:ascii="Gellix" w:hAnsi="Gellix"/>
                <w:sz w:val="20"/>
                <w:szCs w:val="20"/>
              </w:rPr>
              <w:fldChar w:fldCharType="separate"/>
            </w:r>
            <w:r w:rsidRPr="0052435B">
              <w:rPr>
                <w:rFonts w:ascii="Gellix" w:hAnsi="Gellix"/>
                <w:sz w:val="20"/>
                <w:lang w:val="en-CA"/>
              </w:rPr>
              <w:t>(Rehner and Buckley 2005)</w:t>
            </w:r>
            <w:r w:rsidRPr="0052435B">
              <w:rPr>
                <w:rFonts w:ascii="Gellix" w:hAnsi="Gellix"/>
                <w:sz w:val="20"/>
                <w:szCs w:val="20"/>
              </w:rPr>
              <w:fldChar w:fldCharType="end"/>
            </w:r>
          </w:p>
        </w:tc>
      </w:tr>
      <w:tr w:rsidR="004E0A68" w:rsidRPr="00C4081B" w14:paraId="4C885985" w14:textId="77777777" w:rsidTr="004E0A68">
        <w:tc>
          <w:tcPr>
            <w:tcW w:w="1411" w:type="dxa"/>
          </w:tcPr>
          <w:p w14:paraId="3E47F033" w14:textId="77777777" w:rsidR="004E0A68" w:rsidRPr="0052435B" w:rsidRDefault="004E0A68" w:rsidP="0052435B">
            <w:pPr>
              <w:spacing w:after="160" w:line="259" w:lineRule="auto"/>
              <w:rPr>
                <w:rFonts w:ascii="Gellix" w:hAnsi="Gellix" w:cs="Times New Roman"/>
                <w:i/>
                <w:color w:val="000000"/>
                <w:sz w:val="20"/>
                <w:szCs w:val="20"/>
                <w:lang w:val="en-CA"/>
              </w:rPr>
            </w:pPr>
            <w:r w:rsidRPr="0052435B">
              <w:rPr>
                <w:rFonts w:ascii="Gellix" w:hAnsi="Gellix" w:cs="Times New Roman"/>
                <w:i/>
                <w:sz w:val="20"/>
                <w:szCs w:val="20"/>
                <w:lang w:val="en-CA"/>
              </w:rPr>
              <w:t>EF-2218R</w:t>
            </w:r>
          </w:p>
        </w:tc>
        <w:tc>
          <w:tcPr>
            <w:tcW w:w="1277" w:type="dxa"/>
          </w:tcPr>
          <w:p w14:paraId="68D6A12E" w14:textId="77777777" w:rsidR="004E0A68" w:rsidRPr="0052435B" w:rsidRDefault="004E0A68" w:rsidP="0052435B">
            <w:pPr>
              <w:spacing w:after="160" w:line="259" w:lineRule="auto"/>
              <w:rPr>
                <w:rFonts w:ascii="Gellix" w:hAnsi="Gellix" w:cs="Times New Roman"/>
                <w:i/>
                <w:sz w:val="20"/>
                <w:szCs w:val="20"/>
                <w:lang w:val="en-CA"/>
              </w:rPr>
            </w:pPr>
            <w:r w:rsidRPr="0052435B">
              <w:rPr>
                <w:rFonts w:ascii="Gellix" w:hAnsi="Gellix"/>
                <w:sz w:val="20"/>
                <w:szCs w:val="20"/>
                <w:lang w:val="en-CA"/>
              </w:rPr>
              <w:t>Reverse</w:t>
            </w:r>
          </w:p>
        </w:tc>
        <w:tc>
          <w:tcPr>
            <w:tcW w:w="3378" w:type="dxa"/>
          </w:tcPr>
          <w:p w14:paraId="0CF2400D" w14:textId="77777777" w:rsidR="004E0A68" w:rsidRPr="0052435B" w:rsidRDefault="004E0A68" w:rsidP="0052435B">
            <w:pPr>
              <w:spacing w:after="160" w:line="259" w:lineRule="auto"/>
              <w:rPr>
                <w:rFonts w:ascii="Gellix" w:hAnsi="Gellix" w:cs="Times New Roman"/>
                <w:sz w:val="20"/>
                <w:szCs w:val="20"/>
                <w:lang w:val="en-CA"/>
              </w:rPr>
            </w:pPr>
            <w:r w:rsidRPr="0052435B">
              <w:rPr>
                <w:rFonts w:ascii="Gellix" w:hAnsi="Gellix" w:cs="Times New Roman"/>
                <w:sz w:val="20"/>
                <w:szCs w:val="20"/>
                <w:lang w:val="en-CA"/>
              </w:rPr>
              <w:t>ATGACACCRACRGCRACRGTYTG</w:t>
            </w:r>
          </w:p>
        </w:tc>
        <w:tc>
          <w:tcPr>
            <w:tcW w:w="988" w:type="dxa"/>
          </w:tcPr>
          <w:p w14:paraId="448FDA23" w14:textId="77777777" w:rsidR="004E0A68" w:rsidRPr="0052435B" w:rsidRDefault="004E0A68" w:rsidP="0052435B">
            <w:pPr>
              <w:spacing w:after="160" w:line="259" w:lineRule="auto"/>
              <w:rPr>
                <w:rFonts w:ascii="Gellix" w:hAnsi="Gellix" w:cs="Times New Roman"/>
                <w:sz w:val="20"/>
                <w:szCs w:val="20"/>
                <w:lang w:val="en-CA"/>
              </w:rPr>
            </w:pPr>
            <w:r w:rsidRPr="0052435B">
              <w:rPr>
                <w:rFonts w:ascii="Gellix" w:hAnsi="Gellix" w:cs="Times New Roman"/>
                <w:i/>
                <w:sz w:val="20"/>
                <w:szCs w:val="20"/>
                <w:lang w:val="en-CA"/>
              </w:rPr>
              <w:t>EF1-</w:t>
            </w:r>
            <w:r w:rsidRPr="0052435B">
              <w:rPr>
                <w:rFonts w:ascii="Cambria" w:hAnsi="Cambria" w:cs="Cambria"/>
                <w:i/>
                <w:sz w:val="20"/>
                <w:szCs w:val="20"/>
                <w:lang w:val="en-US"/>
              </w:rPr>
              <w:t>α</w:t>
            </w:r>
          </w:p>
        </w:tc>
        <w:tc>
          <w:tcPr>
            <w:tcW w:w="2693" w:type="dxa"/>
          </w:tcPr>
          <w:p w14:paraId="5DB03905" w14:textId="38643950" w:rsidR="004E0A68" w:rsidRPr="0052435B" w:rsidRDefault="008D4B04" w:rsidP="0052435B">
            <w:pPr>
              <w:spacing w:after="160" w:line="259" w:lineRule="auto"/>
              <w:rPr>
                <w:rFonts w:ascii="Gellix" w:hAnsi="Gellix"/>
                <w:sz w:val="20"/>
                <w:szCs w:val="20"/>
                <w:lang w:val="en-CA"/>
              </w:rPr>
            </w:pPr>
            <w:r w:rsidRPr="0052435B">
              <w:rPr>
                <w:rFonts w:ascii="Gellix" w:hAnsi="Gellix"/>
                <w:sz w:val="20"/>
                <w:lang w:val="en-CA"/>
              </w:rPr>
              <w:t>(</w:t>
            </w:r>
            <w:r w:rsidR="004E0A68" w:rsidRPr="0052435B">
              <w:rPr>
                <w:rFonts w:ascii="Gellix" w:hAnsi="Gellix"/>
                <w:sz w:val="20"/>
                <w:lang w:val="en-CA"/>
              </w:rPr>
              <w:t>Rehner and Buckley 2005)</w:t>
            </w:r>
          </w:p>
        </w:tc>
      </w:tr>
    </w:tbl>
    <w:p w14:paraId="25DF21F4" w14:textId="12AFE9F9" w:rsidR="008A5437" w:rsidRPr="0052435B" w:rsidRDefault="008A5437" w:rsidP="0052435B">
      <w:pPr>
        <w:rPr>
          <w:rFonts w:ascii="Gellix" w:hAnsi="Gellix"/>
          <w:sz w:val="20"/>
          <w:szCs w:val="20"/>
          <w:lang w:val="en-CA"/>
        </w:rPr>
      </w:pPr>
      <w:r w:rsidRPr="0052435B">
        <w:rPr>
          <w:rFonts w:ascii="Gellix" w:hAnsi="Gellix"/>
          <w:sz w:val="20"/>
          <w:szCs w:val="20"/>
          <w:lang w:val="en-CA"/>
        </w:rPr>
        <w:t>Symbols: A (Adénine), C (Cytosine), G (Guanine), T (Thymine), Y (C or T), S (G or C), R (A or G).</w:t>
      </w:r>
    </w:p>
    <w:p w14:paraId="01AFC350" w14:textId="6D5AE2DF" w:rsidR="00A30701" w:rsidRPr="0052435B" w:rsidRDefault="00A30701" w:rsidP="0052435B">
      <w:pPr>
        <w:rPr>
          <w:rFonts w:ascii="Gellix" w:hAnsi="Gellix"/>
          <w:lang w:val="en-CA"/>
        </w:rPr>
      </w:pPr>
    </w:p>
    <w:p w14:paraId="301AF9F9" w14:textId="258676F3" w:rsidR="008A5437" w:rsidRPr="0052435B" w:rsidRDefault="00A30701" w:rsidP="0052435B">
      <w:pPr>
        <w:rPr>
          <w:rFonts w:ascii="Gellix" w:hAnsi="Gellix"/>
          <w:b/>
          <w:bCs/>
          <w:sz w:val="24"/>
          <w:szCs w:val="24"/>
          <w:lang w:val="en-CA"/>
        </w:rPr>
      </w:pPr>
      <w:r w:rsidRPr="0052435B">
        <w:rPr>
          <w:rFonts w:ascii="Gellix" w:hAnsi="Gellix"/>
          <w:b/>
          <w:bCs/>
          <w:sz w:val="24"/>
          <w:szCs w:val="24"/>
          <w:lang w:val="en-CA"/>
        </w:rPr>
        <w:t>Literature</w:t>
      </w:r>
    </w:p>
    <w:p w14:paraId="225DDC6D" w14:textId="77777777" w:rsidR="006A096A" w:rsidRPr="006A096A" w:rsidRDefault="00A30701" w:rsidP="006A096A">
      <w:pPr>
        <w:pStyle w:val="Bibliographie"/>
        <w:rPr>
          <w:rFonts w:ascii="Gellix" w:hAnsi="Gellix" w:cs="Calibri"/>
          <w:sz w:val="20"/>
          <w:szCs w:val="24"/>
          <w:lang w:val="en-CA"/>
        </w:rPr>
      </w:pPr>
      <w:r w:rsidRPr="006A096A">
        <w:rPr>
          <w:rFonts w:ascii="Gellix" w:hAnsi="Gellix"/>
          <w:sz w:val="20"/>
          <w:szCs w:val="20"/>
          <w:lang w:val="en-CA"/>
        </w:rPr>
        <w:fldChar w:fldCharType="begin"/>
      </w:r>
      <w:r w:rsidR="006A096A" w:rsidRPr="006A096A">
        <w:rPr>
          <w:rFonts w:ascii="Gellix" w:hAnsi="Gellix"/>
          <w:sz w:val="20"/>
          <w:szCs w:val="20"/>
          <w:lang w:val="en-CA"/>
        </w:rPr>
        <w:instrText xml:space="preserve"> ADDIN ZOTERO_BIBL {"uncited":[],"omitted":[],"custom":[]} CSL_BIBLIOGRAPHY </w:instrText>
      </w:r>
      <w:r w:rsidRPr="006A096A">
        <w:rPr>
          <w:rFonts w:ascii="Gellix" w:hAnsi="Gellix"/>
          <w:sz w:val="20"/>
          <w:szCs w:val="20"/>
          <w:lang w:val="en-CA"/>
        </w:rPr>
        <w:fldChar w:fldCharType="separate"/>
      </w:r>
      <w:r w:rsidR="006A096A" w:rsidRPr="006A096A">
        <w:rPr>
          <w:rFonts w:ascii="Gellix" w:hAnsi="Gellix" w:cs="Calibri"/>
          <w:sz w:val="20"/>
          <w:szCs w:val="24"/>
          <w:lang w:val="en-CA"/>
        </w:rPr>
        <w:t xml:space="preserve">Du, Xi-Hui, Qi Zhao, Kerry O’Donnell, Alejandro P. Rooney, and Zhu L. Yang. 2012. “Multigene Molecular Phylogenetics Reveals True Morels (Morchella) Are Especially Species-Rich in China.” </w:t>
      </w:r>
      <w:r w:rsidR="006A096A" w:rsidRPr="006A096A">
        <w:rPr>
          <w:rFonts w:ascii="Gellix" w:hAnsi="Gellix" w:cs="Calibri"/>
          <w:i/>
          <w:iCs/>
          <w:sz w:val="20"/>
          <w:szCs w:val="24"/>
          <w:lang w:val="en-CA"/>
        </w:rPr>
        <w:t>Fungal Genetics and Biology</w:t>
      </w:r>
      <w:r w:rsidR="006A096A" w:rsidRPr="006A096A">
        <w:rPr>
          <w:rFonts w:ascii="Gellix" w:hAnsi="Gellix" w:cs="Calibri"/>
          <w:sz w:val="20"/>
          <w:szCs w:val="24"/>
          <w:lang w:val="en-CA"/>
        </w:rPr>
        <w:t xml:space="preserve"> 49 (6): 455–69. https://doi.org/10.1016/j.fgb.2012.03.006.</w:t>
      </w:r>
    </w:p>
    <w:p w14:paraId="05DE08DC" w14:textId="77777777" w:rsidR="006A096A" w:rsidRPr="006A096A" w:rsidRDefault="006A096A" w:rsidP="006A096A">
      <w:pPr>
        <w:pStyle w:val="Bibliographie"/>
        <w:rPr>
          <w:rFonts w:ascii="Gellix" w:hAnsi="Gellix" w:cs="Calibri"/>
          <w:sz w:val="20"/>
          <w:szCs w:val="24"/>
          <w:lang w:val="en-CA"/>
        </w:rPr>
      </w:pPr>
      <w:r w:rsidRPr="006A096A">
        <w:rPr>
          <w:rFonts w:ascii="Gellix" w:hAnsi="Gellix" w:cs="Calibri"/>
          <w:sz w:val="20"/>
          <w:szCs w:val="24"/>
          <w:lang w:val="en-CA"/>
        </w:rPr>
        <w:t xml:space="preserve">Gardes, M., and T. D. Bruns. 1993. “ITS Primers with Enhanced Specificity for Basidiomycetes--Application to the Identification of Mycorrhizae and Rusts.” </w:t>
      </w:r>
      <w:r w:rsidRPr="006A096A">
        <w:rPr>
          <w:rFonts w:ascii="Gellix" w:hAnsi="Gellix" w:cs="Calibri"/>
          <w:i/>
          <w:iCs/>
          <w:sz w:val="20"/>
          <w:szCs w:val="24"/>
          <w:lang w:val="en-CA"/>
        </w:rPr>
        <w:t>Molecular Ecology</w:t>
      </w:r>
      <w:r w:rsidRPr="006A096A">
        <w:rPr>
          <w:rFonts w:ascii="Gellix" w:hAnsi="Gellix" w:cs="Calibri"/>
          <w:sz w:val="20"/>
          <w:szCs w:val="24"/>
          <w:lang w:val="en-CA"/>
        </w:rPr>
        <w:t xml:space="preserve"> 2 (2): 113–18. https://doi.org/10.1111/j.1365-294x.1993.tb00005.x.</w:t>
      </w:r>
    </w:p>
    <w:p w14:paraId="24559281" w14:textId="77777777" w:rsidR="006A096A" w:rsidRPr="006A096A" w:rsidRDefault="006A096A" w:rsidP="006A096A">
      <w:pPr>
        <w:pStyle w:val="Bibliographie"/>
        <w:rPr>
          <w:rFonts w:ascii="Gellix" w:hAnsi="Gellix" w:cs="Calibri"/>
          <w:sz w:val="20"/>
          <w:szCs w:val="24"/>
          <w:lang w:val="en-CA"/>
        </w:rPr>
      </w:pPr>
      <w:r w:rsidRPr="006A096A">
        <w:rPr>
          <w:rFonts w:ascii="Gellix" w:hAnsi="Gellix" w:cs="Calibri"/>
          <w:sz w:val="20"/>
          <w:szCs w:val="24"/>
          <w:lang w:val="en-CA"/>
        </w:rPr>
        <w:t>Rehner, Stephen A., and Ellen Buckley. 2005. “A Beauveria Phylogeny Inferred from Nuclear ITS and EF1-</w:t>
      </w:r>
      <w:r w:rsidRPr="006A096A">
        <w:rPr>
          <w:rFonts w:ascii="Cambria" w:hAnsi="Cambria" w:cs="Cambria"/>
          <w:sz w:val="20"/>
          <w:szCs w:val="24"/>
        </w:rPr>
        <w:t>α</w:t>
      </w:r>
      <w:r w:rsidRPr="006A096A">
        <w:rPr>
          <w:rFonts w:ascii="Gellix" w:hAnsi="Gellix" w:cs="Calibri"/>
          <w:sz w:val="20"/>
          <w:szCs w:val="24"/>
          <w:lang w:val="en-CA"/>
        </w:rPr>
        <w:t xml:space="preserve"> Sequences: Evidence for Cryptic Diversification and Links to Cordyceps Teleomorphs.” </w:t>
      </w:r>
      <w:r w:rsidRPr="006A096A">
        <w:rPr>
          <w:rFonts w:ascii="Gellix" w:hAnsi="Gellix" w:cs="Calibri"/>
          <w:i/>
          <w:iCs/>
          <w:sz w:val="20"/>
          <w:szCs w:val="24"/>
          <w:lang w:val="en-CA"/>
        </w:rPr>
        <w:t>Mycologia</w:t>
      </w:r>
      <w:r w:rsidRPr="006A096A">
        <w:rPr>
          <w:rFonts w:ascii="Gellix" w:hAnsi="Gellix" w:cs="Calibri"/>
          <w:sz w:val="20"/>
          <w:szCs w:val="24"/>
          <w:lang w:val="en-CA"/>
        </w:rPr>
        <w:t xml:space="preserve"> 97 (1): 84–98. https://doi.org/10.1080/15572536.2006.11832842.</w:t>
      </w:r>
    </w:p>
    <w:p w14:paraId="01E221A1" w14:textId="77777777" w:rsidR="006A096A" w:rsidRPr="006A096A" w:rsidRDefault="006A096A" w:rsidP="006A096A">
      <w:pPr>
        <w:pStyle w:val="Bibliographie"/>
        <w:rPr>
          <w:rFonts w:ascii="Gellix" w:hAnsi="Gellix" w:cs="Calibri"/>
          <w:sz w:val="20"/>
          <w:szCs w:val="24"/>
          <w:lang w:val="en-CA"/>
        </w:rPr>
      </w:pPr>
      <w:r w:rsidRPr="006A096A">
        <w:rPr>
          <w:rFonts w:ascii="Gellix" w:hAnsi="Gellix" w:cs="Calibri"/>
          <w:sz w:val="20"/>
          <w:szCs w:val="24"/>
          <w:lang w:val="en-CA"/>
        </w:rPr>
        <w:t xml:space="preserve">Taskin, Hatira, Saadet Büyükalaca, Hasan Dogan, Steve Rehner, and K. O’Donnell. 2010. “A Multigene Molecular Phylogenetic Assessment of True Morels (Morchella) in Turkey.” </w:t>
      </w:r>
      <w:r w:rsidRPr="006A096A">
        <w:rPr>
          <w:rFonts w:ascii="Gellix" w:hAnsi="Gellix" w:cs="Calibri"/>
          <w:i/>
          <w:iCs/>
          <w:sz w:val="20"/>
          <w:szCs w:val="24"/>
          <w:lang w:val="en-CA"/>
        </w:rPr>
        <w:t>Fungal Genetics and Biology</w:t>
      </w:r>
      <w:r w:rsidRPr="006A096A">
        <w:rPr>
          <w:rFonts w:ascii="Times New Roman" w:hAnsi="Times New Roman" w:cs="Times New Roman"/>
          <w:i/>
          <w:iCs/>
          <w:sz w:val="20"/>
          <w:szCs w:val="24"/>
          <w:lang w:val="en-CA"/>
        </w:rPr>
        <w:t> </w:t>
      </w:r>
      <w:r w:rsidRPr="006A096A">
        <w:rPr>
          <w:rFonts w:ascii="Gellix" w:hAnsi="Gellix" w:cs="Calibri"/>
          <w:i/>
          <w:iCs/>
          <w:sz w:val="20"/>
          <w:szCs w:val="24"/>
          <w:lang w:val="en-CA"/>
        </w:rPr>
        <w:t>: FG &amp; B</w:t>
      </w:r>
      <w:r w:rsidRPr="006A096A">
        <w:rPr>
          <w:rFonts w:ascii="Gellix" w:hAnsi="Gellix" w:cs="Calibri"/>
          <w:sz w:val="20"/>
          <w:szCs w:val="24"/>
          <w:lang w:val="en-CA"/>
        </w:rPr>
        <w:t xml:space="preserve"> 47 (August): 672–82. https://doi.org/10.1016/j.fgb.2010.05.004.</w:t>
      </w:r>
    </w:p>
    <w:p w14:paraId="5B30CAE5" w14:textId="77777777" w:rsidR="006A096A" w:rsidRPr="006A096A" w:rsidRDefault="006A096A" w:rsidP="006A096A">
      <w:pPr>
        <w:pStyle w:val="Bibliographie"/>
        <w:rPr>
          <w:rFonts w:ascii="Gellix" w:hAnsi="Gellix" w:cs="Calibri"/>
          <w:sz w:val="20"/>
          <w:szCs w:val="24"/>
        </w:rPr>
      </w:pPr>
      <w:r w:rsidRPr="006A096A">
        <w:rPr>
          <w:rFonts w:ascii="Gellix" w:hAnsi="Gellix" w:cs="Calibri"/>
          <w:sz w:val="20"/>
          <w:szCs w:val="24"/>
          <w:lang w:val="en-CA"/>
        </w:rPr>
        <w:t xml:space="preserve">White, T, Tom Bruns, Steven Lee, John Taylor, M Innis, D Gelfand, and John Sninsky. 1990. “Amplification and Direct Sequencing of Fungal Ribosomal RNA Genes for Phylogenetics.” </w:t>
      </w:r>
      <w:r w:rsidRPr="006A096A">
        <w:rPr>
          <w:rFonts w:ascii="Gellix" w:hAnsi="Gellix" w:cs="Calibri"/>
          <w:sz w:val="20"/>
          <w:szCs w:val="24"/>
        </w:rPr>
        <w:t xml:space="preserve">In </w:t>
      </w:r>
      <w:r w:rsidRPr="006A096A">
        <w:rPr>
          <w:rFonts w:ascii="Gellix" w:hAnsi="Gellix" w:cs="Calibri"/>
          <w:i/>
          <w:iCs/>
          <w:sz w:val="20"/>
          <w:szCs w:val="24"/>
        </w:rPr>
        <w:t>Pcr Protocols: A Guide to Methods and Applications,</w:t>
      </w:r>
      <w:r w:rsidRPr="006A096A">
        <w:rPr>
          <w:rFonts w:ascii="Gellix" w:hAnsi="Gellix" w:cs="Calibri"/>
          <w:sz w:val="20"/>
          <w:szCs w:val="24"/>
        </w:rPr>
        <w:t xml:space="preserve"> 31:315–22.</w:t>
      </w:r>
    </w:p>
    <w:p w14:paraId="0CDA0A43" w14:textId="50708FAB" w:rsidR="00A30701" w:rsidRPr="006A096A" w:rsidRDefault="00A30701">
      <w:pPr>
        <w:rPr>
          <w:rFonts w:ascii="Gellix" w:hAnsi="Gellix"/>
          <w:sz w:val="24"/>
          <w:szCs w:val="24"/>
          <w:lang w:val="en-CA"/>
        </w:rPr>
      </w:pPr>
      <w:r w:rsidRPr="006A096A">
        <w:rPr>
          <w:rFonts w:ascii="Gellix" w:hAnsi="Gellix"/>
          <w:sz w:val="20"/>
          <w:szCs w:val="20"/>
          <w:lang w:val="en-CA"/>
        </w:rPr>
        <w:fldChar w:fldCharType="end"/>
      </w:r>
    </w:p>
    <w:sectPr w:rsidR="00A30701" w:rsidRPr="006A096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BCBB51" w14:textId="77777777" w:rsidR="00930A33" w:rsidRDefault="00930A33" w:rsidP="008A5437">
      <w:pPr>
        <w:spacing w:after="0" w:line="240" w:lineRule="auto"/>
      </w:pPr>
      <w:r>
        <w:separator/>
      </w:r>
    </w:p>
  </w:endnote>
  <w:endnote w:type="continuationSeparator" w:id="0">
    <w:p w14:paraId="1E85C9F2" w14:textId="77777777" w:rsidR="00930A33" w:rsidRDefault="00930A33" w:rsidP="008A54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llix">
    <w:altName w:val="Calibri"/>
    <w:charset w:val="00"/>
    <w:family w:val="auto"/>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29E10" w14:textId="77777777" w:rsidR="00930A33" w:rsidRDefault="00930A33" w:rsidP="008A5437">
      <w:pPr>
        <w:spacing w:after="0" w:line="240" w:lineRule="auto"/>
      </w:pPr>
      <w:r>
        <w:separator/>
      </w:r>
    </w:p>
  </w:footnote>
  <w:footnote w:type="continuationSeparator" w:id="0">
    <w:p w14:paraId="35311F84" w14:textId="77777777" w:rsidR="00930A33" w:rsidRDefault="00930A33" w:rsidP="008A54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00C2F"/>
    <w:rsid w:val="000477F6"/>
    <w:rsid w:val="001848C1"/>
    <w:rsid w:val="00421928"/>
    <w:rsid w:val="004E0A68"/>
    <w:rsid w:val="0052435B"/>
    <w:rsid w:val="006A096A"/>
    <w:rsid w:val="00782D1C"/>
    <w:rsid w:val="007B0B2E"/>
    <w:rsid w:val="007E7949"/>
    <w:rsid w:val="00867356"/>
    <w:rsid w:val="008A5437"/>
    <w:rsid w:val="008C2B85"/>
    <w:rsid w:val="008D4B04"/>
    <w:rsid w:val="008E7A51"/>
    <w:rsid w:val="009214B1"/>
    <w:rsid w:val="00930A33"/>
    <w:rsid w:val="00A30701"/>
    <w:rsid w:val="00B00C2F"/>
    <w:rsid w:val="00B928A8"/>
    <w:rsid w:val="00BB54BE"/>
    <w:rsid w:val="00C0046B"/>
    <w:rsid w:val="00C4081B"/>
    <w:rsid w:val="00EA3CB5"/>
    <w:rsid w:val="00FB70E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C69E1"/>
  <w15:chartTrackingRefBased/>
  <w15:docId w15:val="{F98902B3-4A2F-4AD4-9EF0-47C420582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B70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8A5437"/>
    <w:pPr>
      <w:tabs>
        <w:tab w:val="center" w:pos="4536"/>
        <w:tab w:val="right" w:pos="9072"/>
      </w:tabs>
      <w:spacing w:after="0" w:line="240" w:lineRule="auto"/>
    </w:pPr>
  </w:style>
  <w:style w:type="character" w:customStyle="1" w:styleId="En-tteCar">
    <w:name w:val="En-tête Car"/>
    <w:basedOn w:val="Policepardfaut"/>
    <w:link w:val="En-tte"/>
    <w:uiPriority w:val="99"/>
    <w:rsid w:val="008A5437"/>
  </w:style>
  <w:style w:type="paragraph" w:styleId="Pieddepage">
    <w:name w:val="footer"/>
    <w:basedOn w:val="Normal"/>
    <w:link w:val="PieddepageCar"/>
    <w:uiPriority w:val="99"/>
    <w:unhideWhenUsed/>
    <w:rsid w:val="008A543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A5437"/>
  </w:style>
  <w:style w:type="paragraph" w:styleId="Bibliographie">
    <w:name w:val="Bibliography"/>
    <w:basedOn w:val="Normal"/>
    <w:next w:val="Normal"/>
    <w:uiPriority w:val="37"/>
    <w:unhideWhenUsed/>
    <w:rsid w:val="00A30701"/>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2597</Words>
  <Characters>14286</Characters>
  <Application>Microsoft Office Word</Application>
  <DocSecurity>0</DocSecurity>
  <Lines>119</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Cravero</dc:creator>
  <cp:keywords/>
  <dc:description/>
  <cp:lastModifiedBy>CRAVERO Melissa</cp:lastModifiedBy>
  <cp:revision>11</cp:revision>
  <dcterms:created xsi:type="dcterms:W3CDTF">2022-12-14T13:05:00Z</dcterms:created>
  <dcterms:modified xsi:type="dcterms:W3CDTF">2023-09-05T14:18:00Z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id="NMOdhVYW"/&gt;&lt;style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