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cs="Times New Roman"/>
          <w:b/>
          <w:bCs/>
          <w:sz w:val="20"/>
          <w:szCs w:val="20"/>
          <w14:ligatures w14:val="none"/>
        </w:rPr>
      </w:pPr>
      <w:r>
        <w:rPr>
          <w:rFonts w:ascii="Times New Roman" w:hAnsi="Times New Roman" w:cs="Times New Roman"/>
          <w:b/>
          <w:bCs/>
          <w:sz w:val="20"/>
          <w:szCs w:val="20"/>
          <w14:ligatures w14:val="none"/>
        </w:rPr>
        <w:t>Disclosure of potential conflicts of interest</w:t>
      </w:r>
    </w:p>
    <w:p>
      <w:pPr>
        <w:spacing w:line="480" w:lineRule="auto"/>
        <w:rPr>
          <w:rFonts w:hint="eastAsia" w:ascii="Times New Roman" w:hAnsi="Times New Roman" w:cs="Times New Roman"/>
          <w:color w:val="auto"/>
          <w:sz w:val="20"/>
          <w:szCs w:val="20"/>
          <w14:ligatures w14:val="none"/>
        </w:rPr>
      </w:pPr>
      <w:r>
        <w:rPr>
          <w:rFonts w:hint="eastAsia" w:ascii="Times New Roman" w:hAnsi="Times New Roman" w:cs="Times New Roman"/>
          <w:color w:val="auto"/>
          <w:sz w:val="20"/>
          <w:szCs w:val="20"/>
          <w14:ligatures w14:val="none"/>
        </w:rPr>
        <w:t>All authors certify that they have no affiliations with or involvement in any organization or entity with any financial interest or non-financial interest in the subject matter or materials discussed in this manuscript.</w:t>
      </w:r>
    </w:p>
    <w:p>
      <w:pPr>
        <w:spacing w:line="480" w:lineRule="auto"/>
        <w:rPr>
          <w:rFonts w:hint="eastAsia" w:ascii="Times New Roman" w:hAnsi="Times New Roman" w:cs="Times New Roman"/>
          <w:color w:val="auto"/>
          <w:sz w:val="20"/>
          <w:szCs w:val="20"/>
          <w14:ligatures w14:val="none"/>
        </w:rPr>
      </w:pPr>
      <w:bookmarkStart w:id="0" w:name="_GoBack"/>
      <w:bookmarkEnd w:id="0"/>
    </w:p>
    <w:p>
      <w:pPr>
        <w:spacing w:line="480" w:lineRule="auto"/>
        <w:rPr>
          <w:rFonts w:ascii="Times New Roman" w:hAnsi="Times New Roman" w:cs="Times New Roman"/>
          <w:b/>
          <w:bCs/>
          <w:sz w:val="20"/>
          <w:szCs w:val="20"/>
          <w14:ligatures w14:val="none"/>
        </w:rPr>
      </w:pPr>
      <w:r>
        <w:rPr>
          <w:rFonts w:ascii="Times New Roman" w:hAnsi="Times New Roman" w:cs="Times New Roman"/>
          <w:b/>
          <w:bCs/>
          <w:sz w:val="20"/>
          <w:szCs w:val="20"/>
          <w14:ligatures w14:val="none"/>
        </w:rPr>
        <w:t>Research involving Animals</w:t>
      </w:r>
    </w:p>
    <w:p>
      <w:pPr>
        <w:spacing w:line="480" w:lineRule="auto"/>
        <w:rPr>
          <w:rFonts w:hint="eastAsia" w:ascii="Times New Roman" w:hAnsi="Times New Roman" w:cs="Times New Roman"/>
          <w:color w:val="auto"/>
          <w:sz w:val="20"/>
          <w:szCs w:val="20"/>
          <w:lang w:val="en-US" w:eastAsia="zh-CN"/>
          <w14:ligatures w14:val="none"/>
        </w:rPr>
      </w:pPr>
      <w:r>
        <w:rPr>
          <w:rFonts w:hint="eastAsia" w:ascii="Times New Roman" w:hAnsi="Times New Roman" w:cs="Times New Roman"/>
          <w:color w:val="auto"/>
          <w:sz w:val="20"/>
          <w:szCs w:val="20"/>
          <w14:ligatures w14:val="none"/>
        </w:rPr>
        <w:t>BALB/c nude mice are raised in cages in SPF grade animal rooms (4 animals per cage), given appropriate lighting, sterile standard water and feed, maintained at an ambient temperature of 24-25 ° C, and allowed to eat and move freely. Use an appropriate amount of animals in the experiment and follow standardized operating procedures for feeding and transportation. Care for experimental animals and minimize their pain.</w:t>
      </w:r>
      <w:r>
        <w:rPr>
          <w:rFonts w:hint="eastAsia" w:ascii="Times New Roman" w:hAnsi="Times New Roman" w:cs="Times New Roman"/>
          <w:color w:val="auto"/>
          <w:sz w:val="20"/>
          <w:szCs w:val="20"/>
          <w:lang w:val="en-US" w:eastAsia="zh-CN"/>
          <w14:ligatures w14:val="none"/>
        </w:rPr>
        <w:t xml:space="preserve"> </w:t>
      </w:r>
      <w:r>
        <w:rPr>
          <w:rFonts w:hint="eastAsia" w:ascii="Times New Roman" w:hAnsi="Times New Roman" w:cs="Times New Roman"/>
          <w:color w:val="auto"/>
          <w:sz w:val="20"/>
          <w:szCs w:val="20"/>
          <w14:ligatures w14:val="none"/>
        </w:rPr>
        <w:t>Inject glioma cells into the armpits of mice, and pay attention to gentle and sterile actions when injecting the cells. After injection, add antibiotics to the drinking water of the mice for 3 days, and measure the animal's weight daily. Measure the longest and shortest parts of the tumor using a vernier caliper every 7 days to calculate the tumor volume. Terminate the experiment when the following endpoint indicators appear: ① The experiment lasts until 28 days. ② The size of the tumor is close to 1000mm</w:t>
      </w:r>
      <w:r>
        <w:rPr>
          <w:rFonts w:hint="eastAsia" w:ascii="Times New Roman" w:hAnsi="Times New Roman" w:cs="Times New Roman"/>
          <w:color w:val="auto"/>
          <w:sz w:val="20"/>
          <w:szCs w:val="20"/>
          <w:lang w:val="en-US" w:eastAsia="zh-CN"/>
          <w14:ligatures w14:val="none"/>
        </w:rPr>
        <w:t xml:space="preserve">3. ③ </w:t>
      </w:r>
      <w:r>
        <w:rPr>
          <w:rFonts w:hint="eastAsia" w:ascii="Times New Roman" w:hAnsi="Times New Roman" w:cs="Times New Roman"/>
          <w:color w:val="auto"/>
          <w:sz w:val="20"/>
          <w:szCs w:val="20"/>
          <w14:ligatures w14:val="none"/>
        </w:rPr>
        <w:t>When the weight loss of an animal reaches 20%, or the animal exhibits cachexia or consumptive symptoms. ④ Incurable wounds or repetitive self harm occur. After anesthesia, the experimental animals were euthanized due to cervical dislocation, and the tumor was removed and weighed.</w:t>
      </w:r>
      <w:r>
        <w:rPr>
          <w:rFonts w:hint="eastAsia" w:ascii="Times New Roman" w:hAnsi="Times New Roman" w:cs="Times New Roman"/>
          <w:color w:val="auto"/>
          <w:sz w:val="20"/>
          <w:szCs w:val="20"/>
          <w:lang w:val="en-US" w:eastAsia="zh-CN"/>
          <w14:ligatures w14:val="none"/>
        </w:rPr>
        <w:t xml:space="preserve"> </w:t>
      </w:r>
      <w:r>
        <w:rPr>
          <w:rFonts w:hint="eastAsia" w:ascii="Times New Roman" w:hAnsi="Times New Roman" w:cs="Times New Roman"/>
          <w:color w:val="auto"/>
          <w:sz w:val="20"/>
          <w:szCs w:val="20"/>
          <w14:ligatures w14:val="none"/>
        </w:rPr>
        <w:t>The animal welfare practices and animal experimental protocols were strictly consistent with the related ethics regulations of the Ethics Committee of The Second Hospital of Hebei Medical University.</w:t>
      </w:r>
    </w:p>
    <w:p>
      <w:pPr>
        <w:spacing w:line="480" w:lineRule="auto"/>
        <w:rPr>
          <w:rFonts w:hint="eastAsia" w:ascii="Times New Roman" w:hAnsi="Times New Roman" w:cs="Times New Roman"/>
          <w:color w:val="auto"/>
          <w:sz w:val="20"/>
          <w:szCs w:val="20"/>
          <w14:ligatures w14: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jNjU0MWQwMzQzZWViODJkMjc5YWFjNjg0MTBlMGEifQ=="/>
  </w:docVars>
  <w:rsids>
    <w:rsidRoot w:val="00000000"/>
    <w:rsid w:val="19D21949"/>
    <w:rsid w:val="4B6D2BE1"/>
    <w:rsid w:val="4E804F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2023-09-08T16:42:41Z</dcterms:created>
  <dc:creator>zsy</dc:creator>
  <cp:lastModifiedBy>Huginn's eye</cp:lastModifiedBy>
  <dcterms:modified xsi:type="dcterms:W3CDTF">2023-09-08T17:51:03Z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45543FB4BEEF4710892296BCA7DF6CE2_12</vt:lpwstr>
  </property>
</Properties>
</file>