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cs="Arial"/>
          <w:b/>
          <w:bCs/>
          <w:sz w:val="28"/>
          <w:szCs w:val="28"/>
        </w:rPr>
      </w:pPr>
      <w:r>
        <w:rPr>
          <w:rFonts w:hint="default" w:ascii="Arial" w:hAnsi="Arial" w:cs="Arial"/>
          <w:color w:val="auto"/>
          <w:sz w:val="28"/>
          <w:szCs w:val="28"/>
        </w:rPr>
        <w:t>Su</w:t>
      </w:r>
      <w:r>
        <w:rPr>
          <w:rFonts w:hint="default" w:ascii="Arial" w:hAnsi="Arial" w:cs="Arial"/>
          <w:color w:val="auto"/>
          <w:sz w:val="28"/>
          <w:szCs w:val="28"/>
          <w:lang w:val="en-US" w:eastAsia="zh-CN"/>
        </w:rPr>
        <w:t>pporting</w:t>
      </w:r>
      <w:r>
        <w:rPr>
          <w:rFonts w:hint="default" w:ascii="Arial" w:hAnsi="Arial" w:cs="Arial"/>
          <w:color w:val="auto"/>
          <w:sz w:val="28"/>
          <w:szCs w:val="28"/>
        </w:rPr>
        <w:t xml:space="preserve"> </w:t>
      </w:r>
      <w:r>
        <w:rPr>
          <w:rFonts w:hint="default" w:ascii="Arial" w:hAnsi="Arial" w:cs="Arial"/>
          <w:color w:val="auto"/>
          <w:sz w:val="28"/>
          <w:szCs w:val="28"/>
          <w:lang w:val="en-US" w:eastAsia="zh-CN"/>
        </w:rPr>
        <w:t xml:space="preserve">Information </w:t>
      </w:r>
      <w:r>
        <w:rPr>
          <w:rFonts w:hint="default" w:ascii="Arial" w:hAnsi="Arial" w:cs="Arial"/>
          <w:color w:val="auto"/>
          <w:sz w:val="28"/>
          <w:szCs w:val="28"/>
        </w:rPr>
        <w:t>for</w:t>
      </w:r>
    </w:p>
    <w:p>
      <w:pPr>
        <w:spacing w:line="480" w:lineRule="auto"/>
        <w:jc w:val="center"/>
        <w:rPr>
          <w:rFonts w:hint="default" w:ascii="Arial" w:hAnsi="Arial" w:cs="Arial"/>
          <w:b/>
          <w:bCs/>
        </w:rPr>
      </w:pPr>
      <w:r>
        <w:rPr>
          <w:rFonts w:hint="default" w:ascii="Arial" w:hAnsi="Arial" w:cs="Arial"/>
          <w:b/>
          <w:bCs/>
        </w:rPr>
        <w:t>Highly expressed RPLP2 inhibts ferroptosis to promote hepatocellular carcinoma progression and predicts poor prognosis</w:t>
      </w:r>
    </w:p>
    <w:p>
      <w:pPr>
        <w:spacing w:line="480" w:lineRule="auto"/>
        <w:rPr>
          <w:rFonts w:hint="default" w:ascii="Arial" w:hAnsi="Arial" w:cs="Arial"/>
          <w:b/>
          <w:bCs/>
          <w:highlight w:val="green"/>
        </w:rPr>
      </w:pPr>
    </w:p>
    <w:p>
      <w:pPr>
        <w:spacing w:line="480" w:lineRule="auto"/>
        <w:jc w:val="center"/>
        <w:rPr>
          <w:rFonts w:hint="default" w:ascii="Arial" w:hAnsi="Arial" w:eastAsia="宋体" w:cs="Arial"/>
        </w:rPr>
      </w:pPr>
      <w:r>
        <w:rPr>
          <w:rFonts w:hint="default" w:ascii="Arial" w:hAnsi="Arial" w:eastAsia="宋体" w:cs="Arial"/>
        </w:rPr>
        <w:t>Jiaxing Guo</w:t>
      </w:r>
      <w:r>
        <w:rPr>
          <w:rFonts w:hint="default" w:ascii="Arial" w:hAnsi="Arial" w:eastAsia="宋体" w:cs="Arial"/>
          <w:vertAlign w:val="superscript"/>
        </w:rPr>
        <w:t>1</w:t>
      </w:r>
      <w:r>
        <w:rPr>
          <w:rFonts w:hint="default" w:ascii="Arial" w:hAnsi="Arial" w:eastAsia="宋体" w:cs="Arial"/>
        </w:rPr>
        <w:t>, Meiyuan Huang</w:t>
      </w:r>
      <w:r>
        <w:rPr>
          <w:rFonts w:hint="default" w:ascii="Arial" w:hAnsi="Arial" w:eastAsia="宋体" w:cs="Arial"/>
          <w:vertAlign w:val="superscript"/>
        </w:rPr>
        <w:t>2</w:t>
      </w:r>
      <w:r>
        <w:rPr>
          <w:rFonts w:hint="default" w:ascii="Arial" w:hAnsi="Arial" w:eastAsia="宋体" w:cs="Arial"/>
        </w:rPr>
        <w:t>, Shuang Deng</w:t>
      </w:r>
      <w:r>
        <w:rPr>
          <w:rFonts w:hint="default" w:ascii="Arial" w:hAnsi="Arial" w:eastAsia="宋体" w:cs="Arial"/>
          <w:vertAlign w:val="superscript"/>
        </w:rPr>
        <w:t>2</w:t>
      </w:r>
      <w:r>
        <w:rPr>
          <w:rFonts w:hint="default" w:ascii="Arial" w:hAnsi="Arial" w:eastAsia="宋体" w:cs="Arial"/>
        </w:rPr>
        <w:t>, Haiyan Wang</w:t>
      </w:r>
      <w:r>
        <w:rPr>
          <w:rFonts w:hint="eastAsia" w:ascii="Arial" w:hAnsi="Arial" w:eastAsia="宋体" w:cs="Arial"/>
          <w:vertAlign w:val="superscript"/>
          <w:lang w:val="en-US" w:eastAsia="zh-CN"/>
        </w:rPr>
        <w:t>3</w:t>
      </w:r>
      <w:r>
        <w:rPr>
          <w:rFonts w:hint="default" w:ascii="Arial" w:hAnsi="Arial" w:eastAsia="宋体" w:cs="Arial"/>
        </w:rPr>
        <w:t>, Zuli Wang</w:t>
      </w:r>
      <w:r>
        <w:rPr>
          <w:rFonts w:hint="eastAsia" w:ascii="Arial" w:hAnsi="Arial" w:eastAsia="宋体" w:cs="Arial"/>
          <w:vertAlign w:val="superscript"/>
          <w:lang w:val="en-US" w:eastAsia="zh-CN"/>
        </w:rPr>
        <w:t>4</w:t>
      </w:r>
      <w:r>
        <w:rPr>
          <w:rFonts w:hint="default" w:ascii="Arial" w:hAnsi="Arial" w:eastAsia="宋体" w:cs="Arial"/>
        </w:rPr>
        <w:t>,  Bokang Yan</w:t>
      </w:r>
      <w:r>
        <w:rPr>
          <w:rFonts w:hint="default" w:ascii="Arial" w:hAnsi="Arial" w:eastAsia="宋体" w:cs="Arial"/>
          <w:vertAlign w:val="superscript"/>
        </w:rPr>
        <w:t>2</w:t>
      </w:r>
      <w:r>
        <w:rPr>
          <w:rFonts w:hint="default" w:ascii="Arial" w:hAnsi="Arial" w:eastAsia="宋体" w:cs="Arial"/>
        </w:rPr>
        <w:t>*</w:t>
      </w:r>
    </w:p>
    <w:p>
      <w:pPr>
        <w:spacing w:line="480" w:lineRule="auto"/>
        <w:jc w:val="center"/>
        <w:rPr>
          <w:rFonts w:hint="default" w:ascii="Arial" w:hAnsi="Arial" w:eastAsia="宋体" w:cs="Arial"/>
        </w:rPr>
      </w:pPr>
    </w:p>
    <w:p>
      <w:pPr>
        <w:spacing w:line="360" w:lineRule="auto"/>
        <w:jc w:val="center"/>
        <w:rPr>
          <w:rFonts w:hint="default" w:ascii="Arial" w:hAnsi="Arial" w:eastAsia="宋体" w:cs="Arial"/>
          <w:sz w:val="21"/>
          <w:lang w:val="en-US" w:eastAsia="zh-CN"/>
        </w:rPr>
      </w:pPr>
      <w:r>
        <w:rPr>
          <w:rFonts w:ascii="Arial" w:hAnsi="Arial" w:eastAsia="宋体" w:cs="Arial"/>
          <w:sz w:val="21"/>
        </w:rPr>
        <w:t>*</w:t>
      </w:r>
      <w:r>
        <w:rPr>
          <w:rFonts w:ascii="Arial" w:hAnsi="Arial" w:cs="Arial"/>
          <w:sz w:val="21"/>
        </w:rPr>
        <w:t>Correspondence:</w:t>
      </w:r>
      <w:r>
        <w:rPr>
          <w:rFonts w:hint="eastAsia" w:ascii="Arial" w:hAnsi="Arial" w:cs="Arial"/>
          <w:sz w:val="21"/>
          <w:lang w:val="en-US" w:eastAsia="zh-CN"/>
        </w:rPr>
        <w:t xml:space="preserve"> Bokang Yan (bokangyan2022@163.com)</w:t>
      </w:r>
    </w:p>
    <w:p>
      <w:pPr>
        <w:spacing w:line="480" w:lineRule="auto"/>
        <w:jc w:val="both"/>
        <w:rPr>
          <w:rFonts w:hint="default" w:ascii="Arial" w:hAnsi="Arial" w:eastAsia="宋体" w:cs="Arial"/>
        </w:rPr>
      </w:pPr>
    </w:p>
    <w:p>
      <w:pPr>
        <w:rPr>
          <w:rFonts w:hint="default" w:ascii="Arial" w:hAnsi="Arial" w:eastAsia="宋体" w:cs="Arial"/>
          <w:b/>
          <w:bCs/>
          <w:color w:val="auto"/>
          <w:kern w:val="0"/>
          <w:szCs w:val="21"/>
        </w:rPr>
      </w:pPr>
      <w:r>
        <w:rPr>
          <w:rFonts w:hint="default" w:ascii="Arial" w:hAnsi="Arial" w:cs="Arial"/>
          <w:b/>
          <w:bCs/>
          <w:color w:val="auto"/>
          <w:szCs w:val="21"/>
        </w:rPr>
        <w:t>This file includes:</w:t>
      </w:r>
    </w:p>
    <w:p>
      <w:pPr>
        <w:ind w:left="720"/>
        <w:rPr>
          <w:rFonts w:hint="default" w:ascii="Arial" w:hAnsi="Arial" w:cs="Arial" w:eastAsiaTheme="minorEastAsia"/>
          <w:color w:val="auto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Cs w:val="21"/>
        </w:rPr>
        <w:t>Figure S1 to S</w:t>
      </w:r>
      <w:r>
        <w:rPr>
          <w:rFonts w:hint="default" w:ascii="Arial" w:hAnsi="Arial" w:cs="Arial"/>
          <w:color w:val="auto"/>
          <w:szCs w:val="21"/>
          <w:lang w:val="en-US" w:eastAsia="zh-CN"/>
        </w:rPr>
        <w:t>6</w:t>
      </w:r>
    </w:p>
    <w:p>
      <w:pPr>
        <w:ind w:left="720"/>
        <w:rPr>
          <w:rFonts w:hint="eastAsia" w:ascii="Arial" w:hAnsi="Arial" w:eastAsia="仿宋" w:cs="Arial"/>
          <w:color w:val="auto"/>
          <w:szCs w:val="21"/>
          <w:lang w:val="en-US" w:eastAsia="zh-CN"/>
        </w:rPr>
      </w:pPr>
      <w:r>
        <w:rPr>
          <w:rFonts w:hint="default" w:ascii="Arial" w:hAnsi="Arial" w:cs="Arial"/>
          <w:color w:val="auto"/>
          <w:szCs w:val="21"/>
        </w:rPr>
        <w:t>Table S1 to S</w:t>
      </w:r>
      <w:r>
        <w:rPr>
          <w:rFonts w:hint="eastAsia" w:ascii="Arial" w:hAnsi="Arial" w:cs="Arial"/>
          <w:color w:val="auto"/>
          <w:szCs w:val="21"/>
          <w:lang w:val="en-US" w:eastAsia="zh-CN"/>
        </w:rPr>
        <w:t>3</w:t>
      </w:r>
    </w:p>
    <w:p>
      <w:pPr>
        <w:spacing w:line="480" w:lineRule="auto"/>
        <w:jc w:val="both"/>
        <w:rPr>
          <w:rFonts w:hint="default" w:ascii="Arial" w:hAnsi="Arial" w:eastAsia="宋体" w:cs="Arial"/>
        </w:rPr>
      </w:pP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eastAsia="宋体" w:cs="Arial"/>
          <w:szCs w:val="24"/>
        </w:rPr>
      </w:pP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drawing>
          <wp:inline distT="0" distB="0" distL="114300" distR="114300">
            <wp:extent cx="5273675" cy="7615555"/>
            <wp:effectExtent l="0" t="0" r="3175" b="4445"/>
            <wp:docPr id="1" name="图片 1" descr="幻灯片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幻灯片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1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>Figure S1. The expression level of RPLP2 in HCC and its localization in cancer.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 (A) RPLP2 mRNA expression level in peritumoral liver tissues and HCC tissues in GSE48804 database.</w:t>
      </w:r>
      <w:r>
        <w:rPr>
          <w:rFonts w:hint="default" w:ascii="Arial" w:hAnsi="Arial" w:eastAsia="宋体" w:cs="Arial"/>
          <w:szCs w:val="24"/>
        </w:rPr>
        <w:t xml:space="preserve"> (B) IHC test of RPLP2 protein expression in HCC. 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>(C, D)</w:t>
      </w:r>
      <w:r>
        <w:rPr>
          <w:rFonts w:hint="default" w:ascii="Arial" w:hAnsi="Arial" w:cs="Arial"/>
        </w:rPr>
        <w:t xml:space="preserve"> Immunofluorescence assay</w:t>
      </w:r>
      <w:r>
        <w:rPr>
          <w:rFonts w:hint="default" w:ascii="Arial" w:hAnsi="Arial" w:eastAsia="宋体" w:cs="Arial"/>
          <w:szCs w:val="24"/>
        </w:rPr>
        <w:t xml:space="preserve"> of RPLP2 and microtubules in PC3</w:t>
      </w:r>
      <w:r>
        <w:rPr>
          <w:rFonts w:hint="eastAsia" w:ascii="Arial" w:hAnsi="Arial" w:eastAsia="宋体" w:cs="Arial"/>
          <w:szCs w:val="24"/>
          <w:lang w:val="en-US" w:eastAsia="zh-CN"/>
        </w:rPr>
        <w:t xml:space="preserve"> (C)</w:t>
      </w:r>
      <w:r>
        <w:rPr>
          <w:rFonts w:hint="default" w:ascii="Arial" w:hAnsi="Arial" w:eastAsia="宋体" w:cs="Arial"/>
          <w:szCs w:val="24"/>
        </w:rPr>
        <w:t xml:space="preserve"> and U2OS</w:t>
      </w:r>
      <w:r>
        <w:rPr>
          <w:rFonts w:hint="eastAsia" w:ascii="Arial" w:hAnsi="Arial" w:eastAsia="宋体" w:cs="Arial"/>
          <w:szCs w:val="24"/>
          <w:lang w:val="en-US" w:eastAsia="zh-CN"/>
        </w:rPr>
        <w:t xml:space="preserve"> (D)</w:t>
      </w:r>
      <w:r>
        <w:rPr>
          <w:rFonts w:hint="default" w:ascii="Arial" w:hAnsi="Arial" w:eastAsia="宋体" w:cs="Arial"/>
          <w:szCs w:val="24"/>
        </w:rPr>
        <w:t xml:space="preserve"> cell lines from HPA database.</w:t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cs="Arial"/>
        </w:rPr>
      </w:pPr>
      <w:r>
        <w:rPr>
          <w:rFonts w:hint="default" w:ascii="Arial" w:hAnsi="Arial" w:eastAsia="宋体" w:cs="Arial"/>
          <w:szCs w:val="24"/>
        </w:rPr>
        <w:br w:type="page"/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drawing>
          <wp:inline distT="0" distB="0" distL="114300" distR="114300">
            <wp:extent cx="5273675" cy="2673350"/>
            <wp:effectExtent l="0" t="0" r="3175" b="3175"/>
            <wp:docPr id="2" name="图片 2" descr="幻灯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幻灯片13"/>
                    <pic:cNvPicPr>
                      <a:picLocks noChangeAspect="1"/>
                    </pic:cNvPicPr>
                  </pic:nvPicPr>
                  <pic:blipFill>
                    <a:blip r:embed="rId5"/>
                    <a:srcRect t="5504" b="5939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67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>Figure S2. Correlations between RPLP2 expression and molecular / immune subtypes in HCC.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 (A) </w:t>
      </w:r>
      <w:r>
        <w:rPr>
          <w:rFonts w:hint="default" w:ascii="Arial" w:hAnsi="Arial" w:cs="Arial"/>
        </w:rPr>
        <w:t>Correlations between RPLP2 expression and molecular subtypes in HCC. (B) Correlations between RPLP2 expression and immune subtypes in HCC.</w:t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eastAsia="微软雅黑" w:cs="Arial"/>
          <w:color w:val="000000"/>
          <w:kern w:val="24"/>
          <w:szCs w:val="24"/>
        </w:rPr>
      </w:pP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eastAsia" w:ascii="Arial" w:hAnsi="Arial" w:eastAsia="微软雅黑" w:cs="Arial"/>
          <w:lang w:eastAsia="zh-CN"/>
        </w:rPr>
      </w:pPr>
      <w:r>
        <w:rPr>
          <w:rFonts w:hint="default" w:ascii="Arial" w:hAnsi="Arial" w:eastAsia="微软雅黑" w:cs="Arial"/>
          <w:color w:val="000000"/>
          <w:kern w:val="24"/>
          <w:szCs w:val="24"/>
        </w:rPr>
        <w:br w:type="page"/>
      </w:r>
      <w:r>
        <w:rPr>
          <w:rFonts w:hint="eastAsia" w:ascii="Arial" w:hAnsi="Arial" w:eastAsia="微软雅黑" w:cs="Arial"/>
          <w:lang w:eastAsia="zh-CN"/>
        </w:rPr>
        <w:drawing>
          <wp:inline distT="0" distB="0" distL="114300" distR="114300">
            <wp:extent cx="5273675" cy="7615555"/>
            <wp:effectExtent l="0" t="0" r="3175" b="4445"/>
            <wp:docPr id="3" name="图片 3" descr="幻灯片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幻灯片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61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cs="Arial"/>
        </w:rPr>
      </w:pP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>Figure S</w:t>
      </w:r>
      <w:r>
        <w:rPr>
          <w:rFonts w:hint="eastAsia" w:ascii="Arial" w:hAnsi="Arial" w:eastAsia="微软雅黑" w:cs="Arial"/>
          <w:b/>
          <w:bCs/>
          <w:color w:val="000000"/>
          <w:kern w:val="24"/>
          <w:szCs w:val="24"/>
          <w:lang w:val="en-US" w:eastAsia="zh-CN"/>
        </w:rPr>
        <w:t>3</w:t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 xml:space="preserve">. DSS and PFI survival curve in different subgroups between high- and low-RPLP2 HCC patients. 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(A-D) </w:t>
      </w:r>
      <w:r>
        <w:rPr>
          <w:rFonts w:hint="default" w:ascii="Arial" w:hAnsi="Arial" w:cs="Arial"/>
        </w:rPr>
        <w:t>Kaplan-Meier curves indicating the DSS prognostic value of RPLP2 expression in different HCC subgroups including, Stage III and IV (A), age ≤ 60 (B), hepatocellular carcinoma (C) and R0 (D). (E-K)</w:t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 xml:space="preserve"> </w:t>
      </w:r>
      <w:r>
        <w:rPr>
          <w:rFonts w:hint="default" w:ascii="Arial" w:hAnsi="Arial" w:cs="Arial"/>
        </w:rPr>
        <w:t xml:space="preserve">Kaplan-Meier curves indicating the PFI prognostic value of RPLP2 expression in different HCC subgroups including, </w:t>
      </w:r>
      <w:r>
        <w:rPr>
          <w:rFonts w:hint="default" w:ascii="Arial" w:hAnsi="Arial" w:eastAsia="宋体" w:cs="Arial"/>
          <w:szCs w:val="24"/>
        </w:rPr>
        <w:t xml:space="preserve">N0 (E), MO (F), with tumor (G), </w:t>
      </w:r>
      <w:r>
        <w:rPr>
          <w:rFonts w:hint="default" w:ascii="Arial" w:hAnsi="Arial" w:cs="Arial"/>
        </w:rPr>
        <w:t xml:space="preserve">age ≤ 60 (H), hepatocellular carcinoma (I), R0 (J) and G1 and G2 (K). </w:t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eastAsia" w:ascii="Arial" w:hAnsi="Arial" w:eastAsia="仿宋" w:cs="Arial"/>
          <w:lang w:eastAsia="zh-CN"/>
        </w:rPr>
      </w:pPr>
      <w:r>
        <w:rPr>
          <w:rFonts w:hint="default" w:ascii="Arial" w:hAnsi="Arial" w:cs="Arial"/>
        </w:rPr>
        <w:br w:type="page"/>
      </w:r>
      <w:r>
        <w:rPr>
          <w:rFonts w:hint="eastAsia" w:ascii="Arial" w:hAnsi="Arial" w:eastAsia="仿宋" w:cs="Arial"/>
          <w:lang w:eastAsia="zh-CN"/>
        </w:rPr>
        <w:drawing>
          <wp:inline distT="0" distB="0" distL="114300" distR="114300">
            <wp:extent cx="5273675" cy="7052310"/>
            <wp:effectExtent l="0" t="0" r="3175" b="5715"/>
            <wp:docPr id="4" name="图片 4" descr="幻灯片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幻灯片15"/>
                    <pic:cNvPicPr>
                      <a:picLocks noChangeAspect="1"/>
                    </pic:cNvPicPr>
                  </pic:nvPicPr>
                  <pic:blipFill>
                    <a:blip r:embed="rId7"/>
                    <a:srcRect b="739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05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cs="Arial"/>
        </w:rPr>
      </w:pPr>
      <w:r>
        <w:rPr>
          <w:rFonts w:hint="default" w:ascii="Arial" w:hAnsi="Arial" w:cs="Arial"/>
          <w:b/>
          <w:bCs/>
        </w:rPr>
        <w:t>Figure S</w:t>
      </w:r>
      <w:r>
        <w:rPr>
          <w:rFonts w:hint="eastAsia" w:ascii="Arial" w:hAnsi="Arial" w:cs="Arial"/>
          <w:b/>
          <w:bCs/>
          <w:lang w:val="en-US" w:eastAsia="zh-CN"/>
        </w:rPr>
        <w:t>4</w:t>
      </w:r>
      <w:r>
        <w:rPr>
          <w:rFonts w:hint="default" w:ascii="Arial" w:hAnsi="Arial" w:cs="Arial"/>
          <w:b/>
          <w:bCs/>
        </w:rPr>
        <w:t>. Forest map based on multivariate cox analysis for DSS and PFI.</w:t>
      </w:r>
      <w:r>
        <w:rPr>
          <w:rFonts w:hint="default" w:ascii="Arial" w:hAnsi="Arial" w:cs="Arial"/>
        </w:rPr>
        <w:t xml:space="preserve"> 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>(A, B)</w:t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 xml:space="preserve"> </w:t>
      </w:r>
      <w:r>
        <w:rPr>
          <w:rFonts w:hint="default" w:ascii="Arial" w:hAnsi="Arial" w:cs="Arial"/>
        </w:rPr>
        <w:t xml:space="preserve">Forest plots showing the potential prognostic indicators for DSS (A) and PFI (B). </w:t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cs="Arial"/>
        </w:rPr>
      </w:pP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default" w:ascii="Arial" w:hAnsi="Arial" w:eastAsia="微软雅黑" w:cs="Arial"/>
          <w:color w:val="000000"/>
          <w:kern w:val="24"/>
          <w:szCs w:val="24"/>
        </w:rPr>
      </w:pPr>
      <w:r>
        <w:rPr>
          <w:rFonts w:hint="default" w:ascii="Arial" w:hAnsi="Arial" w:cs="Arial"/>
          <w:b/>
          <w:bCs/>
        </w:rPr>
        <w:drawing>
          <wp:inline distT="0" distB="0" distL="114300" distR="114300">
            <wp:extent cx="5273675" cy="1999615"/>
            <wp:effectExtent l="0" t="0" r="3175" b="635"/>
            <wp:docPr id="5" name="图片 5" descr="幻灯片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幻灯片16"/>
                    <pic:cNvPicPr>
                      <a:picLocks noChangeAspect="1"/>
                    </pic:cNvPicPr>
                  </pic:nvPicPr>
                  <pic:blipFill>
                    <a:blip r:embed="rId8"/>
                    <a:srcRect t="3110" b="7063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cs="Arial"/>
          <w:b/>
          <w:bCs/>
        </w:rPr>
        <w:t>Figure S</w:t>
      </w:r>
      <w:r>
        <w:rPr>
          <w:rFonts w:hint="eastAsia" w:ascii="Arial" w:hAnsi="Arial" w:cs="Arial"/>
          <w:b/>
          <w:bCs/>
          <w:lang w:val="en-US" w:eastAsia="zh-CN"/>
        </w:rPr>
        <w:t>5</w:t>
      </w:r>
      <w:r>
        <w:rPr>
          <w:rFonts w:hint="default" w:ascii="Arial" w:hAnsi="Arial" w:cs="Arial"/>
          <w:b/>
          <w:bCs/>
        </w:rPr>
        <w:t xml:space="preserve">. Calibration curves for predicting OS of HCC patients. 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>(A-C) Calibration curve for predicting the 1- (A), 3- (B) and 5-year (C) overall survival rates of HCC patients.</w:t>
      </w:r>
    </w:p>
    <w:p>
      <w:pPr>
        <w:pStyle w:val="2"/>
        <w:widowControl/>
        <w:spacing w:before="0" w:beforeAutospacing="0" w:after="0" w:afterAutospacing="0" w:line="480" w:lineRule="auto"/>
        <w:jc w:val="both"/>
        <w:rPr>
          <w:rFonts w:hint="eastAsia" w:ascii="Arial" w:hAnsi="Arial" w:eastAsia="微软雅黑" w:cs="Arial"/>
          <w:lang w:eastAsia="zh-CN"/>
        </w:rPr>
      </w:pPr>
      <w:r>
        <w:rPr>
          <w:rFonts w:hint="default" w:ascii="Arial" w:hAnsi="Arial" w:eastAsia="微软雅黑" w:cs="Arial"/>
          <w:color w:val="000000"/>
          <w:kern w:val="24"/>
          <w:szCs w:val="24"/>
        </w:rPr>
        <w:br w:type="page"/>
      </w:r>
      <w:r>
        <w:rPr>
          <w:rFonts w:hint="eastAsia" w:ascii="Arial" w:hAnsi="Arial" w:eastAsia="微软雅黑" w:cs="Arial"/>
          <w:lang w:eastAsia="zh-CN"/>
        </w:rPr>
        <w:drawing>
          <wp:inline distT="0" distB="0" distL="114300" distR="114300">
            <wp:extent cx="5273675" cy="7268845"/>
            <wp:effectExtent l="0" t="0" r="3175" b="8255"/>
            <wp:docPr id="6" name="图片 6" descr="幻灯片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幻灯片17"/>
                    <pic:cNvPicPr>
                      <a:picLocks noChangeAspect="1"/>
                    </pic:cNvPicPr>
                  </pic:nvPicPr>
                  <pic:blipFill>
                    <a:blip r:embed="rId9"/>
                    <a:srcRect t="2284" b="226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26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="0" w:beforeAutospacing="0" w:after="0" w:afterAutospacing="0" w:line="480" w:lineRule="auto"/>
        <w:rPr>
          <w:rFonts w:hint="default" w:ascii="Arial" w:hAnsi="Arial" w:eastAsia="微软雅黑" w:cs="Arial"/>
          <w:color w:val="000000"/>
          <w:kern w:val="24"/>
          <w:szCs w:val="24"/>
        </w:rPr>
      </w:pPr>
      <w:r>
        <w:rPr>
          <w:rFonts w:hint="default" w:ascii="Arial" w:hAnsi="Arial" w:cs="Arial"/>
          <w:b/>
          <w:bCs/>
        </w:rPr>
        <w:t>Figure S</w:t>
      </w:r>
      <w:r>
        <w:rPr>
          <w:rFonts w:hint="eastAsia" w:ascii="Arial" w:hAnsi="Arial" w:cs="Arial"/>
          <w:b/>
          <w:bCs/>
          <w:lang w:val="en-US" w:eastAsia="zh-CN"/>
        </w:rPr>
        <w:t>6</w:t>
      </w:r>
      <w:r>
        <w:rPr>
          <w:rFonts w:hint="default" w:ascii="Arial" w:hAnsi="Arial" w:cs="Arial"/>
          <w:b/>
          <w:bCs/>
        </w:rPr>
        <w:t xml:space="preserve">. RPLP2-related DEGs and PPI network of these genes. </w:t>
      </w:r>
      <w:r>
        <w:rPr>
          <w:rFonts w:hint="default" w:ascii="Arial" w:hAnsi="Arial" w:eastAsia="微软雅黑" w:cs="Arial"/>
          <w:b/>
          <w:bCs/>
          <w:color w:val="000000"/>
          <w:kern w:val="24"/>
          <w:szCs w:val="24"/>
        </w:rPr>
        <w:t xml:space="preserve"> 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>(A) Volcano plot of DEGs (</w:t>
      </w:r>
      <w:r>
        <w:rPr>
          <w:rFonts w:hint="default" w:ascii="Arial" w:hAnsi="Arial" w:eastAsia="宋体" w:cs="Arial"/>
          <w:szCs w:val="24"/>
        </w:rPr>
        <w:t>log-fold change &gt;1.5 and p &lt; 0.01</w:t>
      </w:r>
      <w:r>
        <w:rPr>
          <w:rFonts w:hint="default" w:ascii="Arial" w:hAnsi="Arial" w:eastAsia="微软雅黑" w:cs="Arial"/>
          <w:color w:val="000000"/>
          <w:kern w:val="24"/>
          <w:szCs w:val="24"/>
        </w:rPr>
        <w:t xml:space="preserve">). (B) Heatmap of correlation between RPLP2 expression and top 10 RPLP2-related DEGs. (C) Interaction network of RPLP2-related DEGs in HCC. (D) Top 10 hub genes in RPLP2-related DEGs. </w:t>
      </w:r>
    </w:p>
    <w:p>
      <w:r>
        <w:br w:type="page"/>
      </w:r>
    </w:p>
    <w:p>
      <w:pPr>
        <w:spacing w:line="480" w:lineRule="auto"/>
        <w:jc w:val="both"/>
        <w:rPr>
          <w:rFonts w:hint="eastAsia" w:eastAsia="仿宋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Table S1.  Cox regression analyses of variables including RPLP2 level for OS in HCC patients.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61"/>
        <w:gridCol w:w="2151"/>
        <w:gridCol w:w="1016"/>
        <w:gridCol w:w="461"/>
        <w:gridCol w:w="2151"/>
        <w:gridCol w:w="1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Characteristics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Total(N)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Age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373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0.293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&lt;= 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&gt; 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1.205 (0.850 - 1.708)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Black or African American&amp;White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1.341 (0.926 - 1.942)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Pathologic T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T1&amp;T2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olor w:val="000000"/>
                <w:sz w:val="18"/>
                <w:szCs w:val="18"/>
                <w:u w:val="none"/>
              </w:rPr>
              <w:t>T3&amp;T4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2.598 (1.826 - 3.697)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2.267 (1.557 - 3.302)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Histologic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G1&amp;G2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G3&amp;G4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1.091 (0.761 - 1.564)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0.636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Residual tumor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R1&amp;R2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1.604 (0.812 - 3.169)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Tumor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Tumor free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olor w:val="000000"/>
                <w:sz w:val="18"/>
                <w:szCs w:val="18"/>
                <w:u w:val="none"/>
              </w:rPr>
              <w:t>With tumor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2.317 (1.590 - 3.376)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1.851 (1.255 - 2.731)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AFP(ng/ml)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&lt;= 400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215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&gt; 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1.075 (0.658 - 1.759)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RPLP2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olor w:val="000000"/>
                <w:sz w:val="18"/>
                <w:szCs w:val="18"/>
                <w:u w:val="none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1.791 (1.258 - 2.548)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1.718 (1.185 - 2.491)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Vascular invasion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1.344 (0.887 - 2.035)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</w:tbl>
    <w:p>
      <w:pPr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br w:type="page"/>
      </w:r>
    </w:p>
    <w:p>
      <w:pPr>
        <w:spacing w:line="480" w:lineRule="auto"/>
        <w:jc w:val="both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Table S2.  Cox regression analyses of variables including RPLP2 level for DSS in HCC patients.</w:t>
      </w:r>
    </w:p>
    <w:tbl>
      <w:tblPr>
        <w:tblStyle w:val="3"/>
        <w:tblpPr w:leftFromText="180" w:rightFromText="180" w:vertAnchor="text" w:horzAnchor="page" w:tblpX="1275" w:tblpY="306"/>
        <w:tblOverlap w:val="never"/>
        <w:tblW w:w="93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1066"/>
        <w:gridCol w:w="2147"/>
        <w:gridCol w:w="1012"/>
        <w:gridCol w:w="475"/>
        <w:gridCol w:w="2272"/>
        <w:gridCol w:w="9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145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Characteristics</w:t>
            </w:r>
          </w:p>
        </w:tc>
        <w:tc>
          <w:tcPr>
            <w:tcW w:w="106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Total(N)</w:t>
            </w:r>
          </w:p>
        </w:tc>
        <w:tc>
          <w:tcPr>
            <w:tcW w:w="3159" w:type="dxa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Univariate analysis</w:t>
            </w:r>
          </w:p>
        </w:tc>
        <w:tc>
          <w:tcPr>
            <w:tcW w:w="47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3178" w:type="dxa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</w:trPr>
        <w:tc>
          <w:tcPr>
            <w:tcW w:w="145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106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147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1012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  <w:tc>
          <w:tcPr>
            <w:tcW w:w="47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Age</w:t>
            </w:r>
          </w:p>
        </w:tc>
        <w:tc>
          <w:tcPr>
            <w:tcW w:w="1066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365</w:t>
            </w:r>
          </w:p>
        </w:tc>
        <w:tc>
          <w:tcPr>
            <w:tcW w:w="2147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0.459</w:t>
            </w:r>
          </w:p>
        </w:tc>
        <w:tc>
          <w:tcPr>
            <w:tcW w:w="47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&lt;= 60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174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&gt; 60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191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0.846 (0.543 - 1.317)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0.458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Race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353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0.092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Asian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156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Black or African American&amp;White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197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1.500 (0.927 - 2.427)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0.098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0.795 (0.468 - 1.348)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0.394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Pathologic T stage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T1&amp;T2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272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olor w:val="000000"/>
                <w:sz w:val="18"/>
                <w:szCs w:val="18"/>
                <w:u w:val="none"/>
              </w:rPr>
              <w:t>T3&amp;T4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90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3.639 (2.328 - 5.688)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2.384 (1.460 - 3.894)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Histologic grade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360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G1&amp;G2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227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G3&amp;G4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133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1.086 (0.683 - 1.728)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Residual tumor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337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0.258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320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R1&amp;R2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17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1.678 (0.728 - 3.870)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0.224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Tumor status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354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Tumor free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With tumor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152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775790759.3892 (0.000 - Inf)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0.994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705765114.7455 (0.000 - Inf)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AFP(ng/ml)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275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0.665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Characteristics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Total(N)</w:t>
            </w:r>
          </w:p>
        </w:tc>
        <w:tc>
          <w:tcPr>
            <w:tcW w:w="315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Univariate analysis</w:t>
            </w:r>
          </w:p>
        </w:tc>
        <w:tc>
          <w:tcPr>
            <w:tcW w:w="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317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leftChars="0" w:right="100" w:rightChars="0" w:firstLine="0" w:firstLineChars="0"/>
              <w:jc w:val="center"/>
              <w:rPr>
                <w:rFonts w:ascii="Times New Roman" w:hAnsi="Times New Roman" w:eastAsia="仿宋" w:cs="宋体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&lt;= 400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214</w:t>
            </w:r>
          </w:p>
        </w:tc>
        <w:tc>
          <w:tcPr>
            <w:tcW w:w="21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&gt; 400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61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0.867 (0.450 - 1.668)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0.668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RPLP2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365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Low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183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High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182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1.641 (1.049 - 2.569)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1.242 (0.774 - 1.993)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0.368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Vascular invasion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309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0.425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No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204</w:t>
            </w:r>
          </w:p>
        </w:tc>
        <w:tc>
          <w:tcPr>
            <w:tcW w:w="21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459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Yes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105</w:t>
            </w:r>
          </w:p>
        </w:tc>
        <w:tc>
          <w:tcPr>
            <w:tcW w:w="2147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1.277 (0.707 - 2.306)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0.418</w:t>
            </w:r>
          </w:p>
        </w:tc>
        <w:tc>
          <w:tcPr>
            <w:tcW w:w="475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2272" w:type="dxa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</w:tbl>
    <w:p>
      <w:pPr>
        <w:rPr>
          <w:rFonts w:hint="eastAsia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br w:type="page"/>
      </w:r>
    </w:p>
    <w:p>
      <w:pPr>
        <w:spacing w:line="480" w:lineRule="auto"/>
        <w:jc w:val="both"/>
        <w:rPr>
          <w:rFonts w:hint="default" w:ascii="Arial" w:hAnsi="Arial" w:cs="Arial"/>
          <w:b/>
          <w:bCs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Table S3.  Cox regression analyses of variables including RPLP2 level for PFI in HCC patients.</w:t>
      </w:r>
    </w:p>
    <w:p/>
    <w:tbl>
      <w:tblPr>
        <w:tblStyle w:val="3"/>
        <w:tblW w:w="93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034"/>
        <w:gridCol w:w="2234"/>
        <w:gridCol w:w="992"/>
        <w:gridCol w:w="449"/>
        <w:gridCol w:w="2234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Characteristics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Total(N)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Univariate analysis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color="000000" w:sz="6" w:space="0"/>
              <w:left w:val="nil"/>
              <w:bottom w:val="single" w:color="666666" w:sz="8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Multivariate analysis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Hazard ratio (95% CI)</w:t>
            </w:r>
          </w:p>
        </w:tc>
        <w:tc>
          <w:tcPr>
            <w:tcW w:w="0" w:type="auto"/>
            <w:tcBorders>
              <w:top w:val="single" w:color="666666" w:sz="8" w:space="0"/>
              <w:left w:val="nil"/>
              <w:bottom w:val="single" w:color="000000" w:sz="6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Age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373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0.783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&lt;= 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&gt; 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0.960 (0.718 - 1.284)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Black or African American&amp;White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1.218 (0.903 - 1.643)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Pathologic T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T1&amp;T2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T3&amp;T4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2.177 (1.590 - 2.980)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1.167 (0.774 - 1.760)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0.460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Histologic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G1&amp;G2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G3&amp;G4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1.152 (0.853 - 1.557)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Residual tumor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R1&amp;R2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1.513 (0.840 - 2.726)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0.168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Tumor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Tumor free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olor w:val="000000"/>
                <w:sz w:val="18"/>
                <w:szCs w:val="18"/>
                <w:u w:val="none"/>
              </w:rPr>
              <w:t>With tumor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11.342 (7.567 - 17.000)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11.320 (7.287 - 17.584)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&lt;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AFP(ng/ml)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279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0.832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&lt;= 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&gt; 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1.045 (0.698 - 1.563)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0.832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RPLP2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 xml:space="preserve">Reference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bCs/>
                <w:i w:val="0"/>
                <w:color w:val="000000"/>
                <w:sz w:val="18"/>
                <w:szCs w:val="18"/>
                <w:u w:val="none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1.554 (1.161 - 2.081)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 w:val="0"/>
                <w:i w:val="0"/>
                <w:color w:val="000000"/>
                <w:sz w:val="18"/>
                <w:szCs w:val="18"/>
                <w:u w:val="none"/>
              </w:rPr>
              <w:t>1.422 (1.007 - 2.007)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 w:firstLine="0"/>
              <w:jc w:val="center"/>
            </w:pPr>
            <w:r>
              <w:rPr>
                <w:rFonts w:ascii="Arial" w:hAnsi="Arial" w:eastAsia="Arial" w:cs="Arial"/>
                <w:b/>
                <w:i w:val="0"/>
                <w:color w:val="000000"/>
                <w:sz w:val="18"/>
                <w:szCs w:val="18"/>
                <w:u w:val="none"/>
              </w:rPr>
              <w:t>0.045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kZTM5ZDVlYWFhMjkxODgzNWE1NTEyYWVlOTY2YzQifQ=="/>
  </w:docVars>
  <w:rsids>
    <w:rsidRoot w:val="58253538"/>
    <w:rsid w:val="327073E9"/>
    <w:rsid w:val="58253538"/>
    <w:rsid w:val="67B22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宋体"/>
      <w:kern w:val="2"/>
      <w:sz w:val="24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880</Words>
  <Characters>4428</Characters>
  <Lines>0</Lines>
  <Paragraphs>0</Paragraphs>
  <TotalTime>1</TotalTime>
  <ScaleCrop>false</ScaleCrop>
  <LinksUpToDate>false</LinksUpToDate>
  <CharactersWithSpaces>5109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2023-09-05T09:59:00Z</dcterms:created>
  <dc:creator>29844</dc:creator>
  <cp:lastModifiedBy>29844</cp:lastModifiedBy>
  <dcterms:modified xsi:type="dcterms:W3CDTF">2023-09-05T10:25:24Z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4CB697F210B64E90967D5D90C356FB97_11</vt:lpwstr>
  </property>
</Properties>
</file>