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677F13" w14:textId="77777777" w:rsidR="00967775" w:rsidRDefault="00867EDD">
      <w:pPr>
        <w:pStyle w:val="EndNoteBibliography"/>
        <w:rPr>
          <w:rFonts w:ascii="Times New Roman" w:eastAsiaTheme="minorEastAsia" w:hAnsi="Times New Roman" w:cs="Times New Roman"/>
        </w:rPr>
      </w:pPr>
      <w:r>
        <w:rPr>
          <w:rFonts w:ascii="Times New Roman" w:eastAsiaTheme="minorEastAsia" w:hAnsi="Times New Roman" w:cs="Times New Roman"/>
        </w:rPr>
        <w:t>table</w:t>
      </w:r>
      <w:r>
        <w:rPr>
          <w:rFonts w:ascii="Times New Roman" w:eastAsiaTheme="minorEastAsia" w:hAnsi="Times New Roman" w:cs="Times New Roman" w:hint="eastAsia"/>
        </w:rPr>
        <w:t>Ⅱ</w:t>
      </w:r>
      <w:r>
        <w:rPr>
          <w:rFonts w:ascii="Times New Roman" w:eastAsiaTheme="minorEastAsia" w:hAnsi="Times New Roman" w:cs="Times New Roman"/>
        </w:rPr>
        <w:t>. Efficacy Outcomes.*</w:t>
      </w:r>
    </w:p>
    <w:p w14:paraId="4D82FD87" w14:textId="77777777" w:rsidR="00967775" w:rsidRDefault="000E46DA">
      <w:pPr>
        <w:pStyle w:val="EndNoteBibliography"/>
        <w:rPr>
          <w:rFonts w:ascii="Times New Roman" w:eastAsiaTheme="minorEastAsia" w:hAnsi="Times New Roman" w:cs="Times New Roman"/>
        </w:rPr>
      </w:pPr>
      <w:r>
        <w:rPr>
          <w:rFonts w:ascii="Times New Roman" w:eastAsiaTheme="minorEastAsia" w:hAnsi="Times New Roman" w:cs="Times New Roman"/>
        </w:rPr>
        <w:pict w14:anchorId="466AD2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2.5pt;height:592.5pt">
            <v:imagedata r:id="rId6" o:title=""/>
          </v:shape>
        </w:pict>
      </w:r>
      <w:r w:rsidR="00867EDD">
        <w:rPr>
          <w:rFonts w:ascii="Times New Roman" w:eastAsiaTheme="minorEastAsia" w:hAnsi="Times New Roman" w:cs="Times New Roman"/>
        </w:rPr>
        <w:t xml:space="preserve">    </w:t>
      </w:r>
    </w:p>
    <w:p w14:paraId="3545072D" w14:textId="77777777" w:rsidR="00967775" w:rsidRDefault="00867EDD">
      <w:pPr>
        <w:pStyle w:val="EndNoteBibliography"/>
        <w:rPr>
          <w:rFonts w:ascii="Times New Roman" w:eastAsiaTheme="minorEastAsia" w:hAnsi="Times New Roman" w:cs="Times New Roman"/>
        </w:rPr>
      </w:pPr>
      <w:r>
        <w:rPr>
          <w:rFonts w:ascii="Times New Roman" w:eastAsiaTheme="minorEastAsia" w:hAnsi="Times New Roman" w:cs="Times New Roman"/>
        </w:rPr>
        <w:t>*E</w:t>
      </w:r>
      <w:r>
        <w:rPr>
          <w:rFonts w:ascii="Times New Roman" w:eastAsiaTheme="minorEastAsia" w:hAnsi="Times New Roman" w:cs="Times New Roman" w:hint="eastAsia"/>
        </w:rPr>
        <w:t>vent</w:t>
      </w:r>
      <w:r>
        <w:rPr>
          <w:rFonts w:ascii="Times New Roman" w:eastAsiaTheme="minorEastAsia" w:hAnsi="Times New Roman" w:cs="Times New Roman"/>
        </w:rPr>
        <w:t xml:space="preserve"> rates are provided for the adjudicated events that include the primary efficacy outcomes, secondary efficacy outcomes, and their respective components. The key secondary efficacy outcomes evaluate composite events pertaining to isolated lower extremit</w:t>
      </w:r>
      <w:r>
        <w:rPr>
          <w:rFonts w:ascii="Times New Roman" w:eastAsiaTheme="minorEastAsia" w:hAnsi="Times New Roman" w:cs="Times New Roman"/>
        </w:rPr>
        <w:t>y outcomes, while the key other secondary efficacy outcomes assess composite events related to cardiovascular outcomes. CI denotes confidence interval.</w:t>
      </w:r>
    </w:p>
    <w:p w14:paraId="343108BD" w14:textId="77777777" w:rsidR="00967775" w:rsidRDefault="00967775">
      <w:pPr>
        <w:pStyle w:val="EndNoteBibliography"/>
        <w:rPr>
          <w:rFonts w:ascii="Times New Roman" w:eastAsiaTheme="minorEastAsia" w:hAnsi="Times New Roman" w:cs="Times New Roman"/>
        </w:rPr>
      </w:pPr>
    </w:p>
    <w:p w14:paraId="582907C3" w14:textId="77777777" w:rsidR="00967775" w:rsidRDefault="00967775">
      <w:pPr>
        <w:pStyle w:val="EndNoteBibliography"/>
        <w:rPr>
          <w:rFonts w:ascii="Times New Roman" w:eastAsiaTheme="minorEastAsia" w:hAnsi="Times New Roman" w:cs="Times New Roman"/>
        </w:rPr>
      </w:pPr>
    </w:p>
    <w:p w14:paraId="391B9A28" w14:textId="77777777" w:rsidR="00967775" w:rsidRDefault="00967775">
      <w:pPr>
        <w:pStyle w:val="EndNoteBibliography"/>
        <w:rPr>
          <w:rFonts w:ascii="Times New Roman" w:eastAsiaTheme="minorEastAsia" w:hAnsi="Times New Roman" w:cs="Times New Roman"/>
        </w:rPr>
      </w:pPr>
    </w:p>
    <w:p w14:paraId="72F5D3F5" w14:textId="77777777" w:rsidR="00967775" w:rsidRDefault="00967775">
      <w:pPr>
        <w:pStyle w:val="EndNoteBibliography"/>
        <w:rPr>
          <w:rFonts w:ascii="Times New Roman" w:eastAsiaTheme="minorEastAsia" w:hAnsi="Times New Roman" w:cs="Times New Roman"/>
        </w:rPr>
      </w:pPr>
    </w:p>
    <w:p w14:paraId="5BD15FA1" w14:textId="77777777" w:rsidR="00967775" w:rsidRDefault="00967775">
      <w:pPr>
        <w:pStyle w:val="EndNoteBibliography"/>
        <w:rPr>
          <w:rFonts w:ascii="Times New Roman" w:eastAsiaTheme="minorEastAsia" w:hAnsi="Times New Roman" w:cs="Times New Roman"/>
        </w:rPr>
      </w:pPr>
    </w:p>
    <w:p w14:paraId="0A4E869F" w14:textId="77777777" w:rsidR="00967775" w:rsidRDefault="00967775">
      <w:pPr>
        <w:pStyle w:val="EndNoteBibliography"/>
        <w:rPr>
          <w:rFonts w:ascii="Times New Roman" w:eastAsiaTheme="minorEastAsia" w:hAnsi="Times New Roman" w:cs="Times New Roman"/>
        </w:rPr>
      </w:pPr>
    </w:p>
    <w:p w14:paraId="018F4128" w14:textId="77777777" w:rsidR="00967775" w:rsidRDefault="00867EDD">
      <w:pPr>
        <w:pStyle w:val="EndNoteBibliography"/>
        <w:rPr>
          <w:rFonts w:ascii="Times New Roman" w:eastAsiaTheme="minorEastAsia" w:hAnsi="Times New Roman" w:cs="Times New Roman"/>
        </w:rPr>
      </w:pPr>
      <w:r>
        <w:rPr>
          <w:rFonts w:ascii="Times New Roman" w:eastAsiaTheme="minorEastAsia" w:hAnsi="Times New Roman" w:cs="Times New Roman"/>
        </w:rPr>
        <w:t>Table</w:t>
      </w:r>
      <w:r>
        <w:rPr>
          <w:rFonts w:ascii="Times New Roman" w:eastAsiaTheme="minorEastAsia" w:hAnsi="Times New Roman" w:cs="Times New Roman" w:hint="eastAsia"/>
        </w:rPr>
        <w:t>Ⅲ</w:t>
      </w:r>
      <w:r>
        <w:rPr>
          <w:rFonts w:ascii="Times New Roman" w:eastAsiaTheme="minorEastAsia" w:hAnsi="Times New Roman" w:cs="Times New Roman" w:hint="eastAsia"/>
        </w:rPr>
        <w:t>.</w:t>
      </w:r>
      <w:r>
        <w:rPr>
          <w:rFonts w:ascii="Times New Roman" w:eastAsiaTheme="minorEastAsia" w:hAnsi="Times New Roman" w:cs="Times New Roman"/>
        </w:rPr>
        <w:t xml:space="preserve"> Safety Outcomes.*</w:t>
      </w:r>
    </w:p>
    <w:p w14:paraId="6FC34244" w14:textId="77777777" w:rsidR="00967775" w:rsidRDefault="000E46DA">
      <w:pPr>
        <w:pStyle w:val="EndNoteBibliography"/>
        <w:rPr>
          <w:rFonts w:ascii="Times New Roman" w:hAnsi="Times New Roman" w:cs="Times New Roman"/>
        </w:rPr>
      </w:pPr>
      <w:r>
        <w:rPr>
          <w:rFonts w:ascii="Times New Roman" w:hAnsi="Times New Roman" w:cs="Times New Roman"/>
        </w:rPr>
        <w:pict w14:anchorId="0B1CDCF2">
          <v:shape id="_x0000_i1026" type="#_x0000_t75" style="width:675.75pt;height:141pt">
            <v:imagedata r:id="rId7" o:title=""/>
          </v:shape>
        </w:pict>
      </w:r>
      <w:r w:rsidR="00867EDD">
        <w:rPr>
          <w:rFonts w:ascii="Times New Roman" w:eastAsiaTheme="minorEastAsia" w:hAnsi="Times New Roman" w:cs="Times New Roman"/>
        </w:rPr>
        <w:t xml:space="preserve"> *TIMI denotes Thrombolysis in Myocardial Infarction; ISTH denotes </w:t>
      </w:r>
      <w:r w:rsidR="00867EDD">
        <w:rPr>
          <w:rFonts w:ascii="Times New Roman" w:hAnsi="Times New Roman" w:cs="Times New Roman"/>
        </w:rPr>
        <w:t>Inte</w:t>
      </w:r>
      <w:r w:rsidR="00867EDD">
        <w:rPr>
          <w:rFonts w:ascii="Times New Roman" w:hAnsi="Times New Roman" w:cs="Times New Roman"/>
        </w:rPr>
        <w:t>rnational Society on Thrombosis and Haemostasis</w:t>
      </w:r>
    </w:p>
    <w:p w14:paraId="2E5C288D" w14:textId="5B4CCF12" w:rsidR="00967775" w:rsidRDefault="00867EDD" w:rsidP="000E46DA">
      <w:pPr>
        <w:pStyle w:val="EndNoteBibliography"/>
        <w:rPr>
          <w:b/>
          <w:bCs/>
        </w:rPr>
      </w:pPr>
      <w:r>
        <w:rPr>
          <w:rFonts w:ascii="Times New Roman" w:hAnsi="Times New Roman" w:cs="Times New Roman"/>
        </w:rPr>
        <w:t>†This category includes adverse events leading to the permanent or t</w:t>
      </w:r>
      <w:r>
        <w:rPr>
          <w:rFonts w:ascii="Times New Roman" w:eastAsiaTheme="minorEastAsia" w:hAnsi="Times New Roman" w:cs="Times New Roman"/>
        </w:rPr>
        <w:t>emporary</w:t>
      </w:r>
      <w:r>
        <w:rPr>
          <w:rFonts w:ascii="Times New Roman" w:hAnsi="Times New Roman" w:cs="Times New Roman"/>
        </w:rPr>
        <w:t xml:space="preserve"> discontinuation of a study drug because of a bleeding event that was documented by the investigator on a case­report form; these ev</w:t>
      </w:r>
      <w:r>
        <w:rPr>
          <w:rFonts w:ascii="Times New Roman" w:hAnsi="Times New Roman" w:cs="Times New Roman"/>
        </w:rPr>
        <w:t>ents included minimal bleeding.</w:t>
      </w:r>
    </w:p>
    <w:p w14:paraId="208C6E29" w14:textId="77777777" w:rsidR="00967775" w:rsidRDefault="00967775"/>
    <w:sectPr w:rsidR="00967775">
      <w:headerReference w:type="even" r:id="rId8"/>
      <w:headerReference w:type="default" r:id="rId9"/>
      <w:footerReference w:type="even" r:id="rId10"/>
      <w:footerReference w:type="default" r:id="rId11"/>
      <w:headerReference w:type="first" r:id="rId12"/>
      <w:footerReference w:type="first" r:id="rId13"/>
      <w:pgSz w:w="16838" w:h="23811"/>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2FC78A" w14:textId="77777777" w:rsidR="00867EDD" w:rsidRDefault="00867EDD">
      <w:r>
        <w:separator/>
      </w:r>
    </w:p>
  </w:endnote>
  <w:endnote w:type="continuationSeparator" w:id="0">
    <w:p w14:paraId="1663C201" w14:textId="77777777" w:rsidR="00867EDD" w:rsidRDefault="00867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DengXian"/>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4B2CF6" w14:textId="77777777" w:rsidR="00967775" w:rsidRDefault="009677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7F220A" w14:textId="77777777" w:rsidR="00967775" w:rsidRDefault="009677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C261EB" w14:textId="77777777" w:rsidR="00967775" w:rsidRDefault="009677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508DB2" w14:textId="77777777" w:rsidR="00867EDD" w:rsidRDefault="00867EDD">
      <w:r>
        <w:separator/>
      </w:r>
    </w:p>
  </w:footnote>
  <w:footnote w:type="continuationSeparator" w:id="0">
    <w:p w14:paraId="35872E44" w14:textId="77777777" w:rsidR="00867EDD" w:rsidRDefault="00867E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CF2445" w14:textId="77777777" w:rsidR="00967775" w:rsidRDefault="009677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70890792"/>
    </w:sdtPr>
    <w:sdtEndPr/>
    <w:sdtContent>
      <w:p w14:paraId="42BEB2E2" w14:textId="77777777" w:rsidR="00967775" w:rsidRDefault="00867EDD">
        <w:pPr>
          <w:pStyle w:val="Header"/>
          <w:jc w:val="right"/>
        </w:pPr>
        <w:r>
          <w:fldChar w:fldCharType="begin"/>
        </w:r>
        <w:r>
          <w:instrText>PAGE   \* MERGEFORMAT</w:instrText>
        </w:r>
        <w:r>
          <w:fldChar w:fldCharType="separate"/>
        </w:r>
        <w:r>
          <w:rPr>
            <w:lang w:val="zh-CN"/>
          </w:rPr>
          <w:t>2</w:t>
        </w:r>
        <w:r>
          <w:fldChar w:fldCharType="end"/>
        </w:r>
      </w:p>
    </w:sdtContent>
  </w:sdt>
  <w:p w14:paraId="28E14E29" w14:textId="77777777" w:rsidR="00967775" w:rsidRDefault="009677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36770319"/>
    </w:sdtPr>
    <w:sdtEndPr/>
    <w:sdtContent>
      <w:p w14:paraId="4A384001" w14:textId="77777777" w:rsidR="00967775" w:rsidRDefault="00867EDD">
        <w:pPr>
          <w:pStyle w:val="Header"/>
        </w:pPr>
        <w:r>
          <w:fldChar w:fldCharType="begin"/>
        </w:r>
        <w:r>
          <w:instrText>PAGE   \* MERGEFORMAT</w:instrText>
        </w:r>
        <w:r>
          <w:fldChar w:fldCharType="separate"/>
        </w:r>
        <w:r>
          <w:rPr>
            <w:lang w:val="zh-CN"/>
          </w:rPr>
          <w:t>2</w:t>
        </w:r>
        <w:r>
          <w:fldChar w:fldCharType="end"/>
        </w:r>
      </w:p>
    </w:sdtContent>
  </w:sdt>
  <w:p w14:paraId="6AFC4179" w14:textId="77777777" w:rsidR="00967775" w:rsidRDefault="00967775">
    <w:pPr>
      <w:pStyle w:val="Header"/>
      <w:rPr>
        <w:b/>
        <w:bC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WExZjljMmY1M2U4N2M1OGU3NTlkYWZhZTdkZDM4MWUifQ=="/>
    <w:docVar w:name="EN.InstantFormat" w:val="&lt;ENInstantFormat&gt;&lt;Enabled&gt;1&lt;/Enabled&gt;&lt;ScanUnformatted&gt;1&lt;/ScanUnformatted&gt;&lt;ScanChanges&gt;1&lt;/ScanChanges&gt;&lt;Suspended&gt;1&lt;/Suspended&gt;&lt;/ENInstantFormat&gt;"/>
  </w:docVars>
  <w:rsids>
    <w:rsidRoot w:val="006272F3"/>
    <w:rsid w:val="0005015B"/>
    <w:rsid w:val="000E46DA"/>
    <w:rsid w:val="001627E3"/>
    <w:rsid w:val="00387A00"/>
    <w:rsid w:val="004746BD"/>
    <w:rsid w:val="004A6E23"/>
    <w:rsid w:val="005471A5"/>
    <w:rsid w:val="006272F3"/>
    <w:rsid w:val="00867EDD"/>
    <w:rsid w:val="00890B59"/>
    <w:rsid w:val="00967775"/>
    <w:rsid w:val="00BD7BFB"/>
    <w:rsid w:val="00EC2041"/>
    <w:rsid w:val="101A4523"/>
    <w:rsid w:val="11AE4CBE"/>
    <w:rsid w:val="14C0248A"/>
    <w:rsid w:val="1A845A90"/>
    <w:rsid w:val="1FB65DB1"/>
    <w:rsid w:val="24ED3520"/>
    <w:rsid w:val="265B2836"/>
    <w:rsid w:val="34E51205"/>
    <w:rsid w:val="399E74B1"/>
    <w:rsid w:val="40FB7008"/>
    <w:rsid w:val="44C86A50"/>
    <w:rsid w:val="53E0618F"/>
    <w:rsid w:val="63DD630A"/>
    <w:rsid w:val="64087E33"/>
    <w:rsid w:val="6F082DD5"/>
    <w:rsid w:val="70A266F9"/>
    <w:rsid w:val="73C848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52752"/>
  <w15:docId w15:val="{B5BFBC73-80AE-4FBA-84E0-682FABE05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lang w:eastAsia="zh-CN"/>
    </w:rPr>
  </w:style>
  <w:style w:type="paragraph" w:styleId="Heading1">
    <w:name w:val="heading 1"/>
    <w:basedOn w:val="Normal"/>
    <w:next w:val="Normal"/>
    <w:link w:val="Heading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qFormat/>
    <w:pPr>
      <w:jc w:val="left"/>
    </w:p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unhideWhenUsed/>
    <w:qFormat/>
    <w:pPr>
      <w:widowControl/>
      <w:spacing w:before="100" w:beforeAutospacing="1" w:after="100" w:afterAutospacing="1"/>
      <w:jc w:val="left"/>
    </w:pPr>
    <w:rPr>
      <w:rFonts w:ascii="SimSun" w:eastAsia="SimSun" w:hAnsi="SimSun" w:cs="SimSun"/>
      <w:kern w:val="0"/>
      <w:sz w:val="24"/>
      <w:szCs w:val="24"/>
    </w:rPr>
  </w:style>
  <w:style w:type="paragraph" w:styleId="CommentSubject">
    <w:name w:val="annotation subject"/>
    <w:basedOn w:val="CommentText"/>
    <w:next w:val="CommentText"/>
    <w:link w:val="CommentSubjectChar"/>
    <w:uiPriority w:val="99"/>
    <w:semiHidden/>
    <w:unhideWhenUsed/>
    <w:qFormat/>
    <w:rPr>
      <w:b/>
      <w:bCs/>
    </w:rPr>
  </w:style>
  <w:style w:type="character" w:styleId="Strong">
    <w:name w:val="Strong"/>
    <w:basedOn w:val="DefaultParagraphFont"/>
    <w:uiPriority w:val="22"/>
    <w:qFormat/>
    <w:rPr>
      <w:b/>
    </w:rPr>
  </w:style>
  <w:style w:type="character" w:styleId="PageNumber">
    <w:name w:val="page number"/>
    <w:basedOn w:val="DefaultParagraphFont"/>
    <w:uiPriority w:val="99"/>
    <w:unhideWhenUsed/>
    <w:qFormat/>
  </w:style>
  <w:style w:type="character" w:styleId="Hyperlink">
    <w:name w:val="Hyperlink"/>
    <w:basedOn w:val="DefaultParagraphFont"/>
    <w:uiPriority w:val="99"/>
    <w:semiHidden/>
    <w:unhideWhenUsed/>
    <w:qFormat/>
    <w:rPr>
      <w:color w:val="0000FF"/>
      <w:u w:val="single"/>
    </w:rPr>
  </w:style>
  <w:style w:type="character" w:styleId="CommentReference">
    <w:name w:val="annotation reference"/>
    <w:basedOn w:val="DefaultParagraphFont"/>
    <w:uiPriority w:val="99"/>
    <w:unhideWhenUsed/>
    <w:qFormat/>
    <w:rPr>
      <w:sz w:val="21"/>
      <w:szCs w:val="21"/>
    </w:rPr>
  </w:style>
  <w:style w:type="table" w:customStyle="1" w:styleId="a">
    <w:name w:val="三线表"/>
    <w:basedOn w:val="TableNormal"/>
    <w:uiPriority w:val="99"/>
    <w:qFormat/>
    <w:rPr>
      <w:rFonts w:eastAsia="Times New Roman"/>
    </w:rPr>
    <w:tblPr>
      <w:tblBorders>
        <w:top w:val="single" w:sz="12" w:space="0" w:color="auto"/>
        <w:bottom w:val="single" w:sz="12" w:space="0" w:color="auto"/>
      </w:tblBorders>
    </w:tblPr>
    <w:tblStylePr w:type="firstRow">
      <w:pPr>
        <w:wordWrap/>
        <w:spacing w:line="360" w:lineRule="exact"/>
      </w:pPr>
      <w:rPr>
        <w:rFonts w:ascii="Times New Roman" w:eastAsia="SimSun" w:hAnsi="Times New Roman"/>
        <w:b w:val="0"/>
        <w:i w:val="0"/>
        <w:sz w:val="21"/>
      </w:rPr>
      <w:tblPr/>
      <w:tcPr>
        <w:tcBorders>
          <w:top w:val="single" w:sz="12" w:space="0" w:color="auto"/>
          <w:left w:val="nil"/>
          <w:bottom w:val="single" w:sz="6" w:space="0" w:color="auto"/>
          <w:right w:val="nil"/>
          <w:insideH w:val="nil"/>
          <w:insideV w:val="nil"/>
          <w:tl2br w:val="nil"/>
          <w:tr2bl w:val="nil"/>
        </w:tcBorders>
      </w:tcPr>
    </w:tblStylePr>
  </w:style>
  <w:style w:type="character" w:customStyle="1" w:styleId="Heading1Char">
    <w:name w:val="Heading 1 Char"/>
    <w:basedOn w:val="DefaultParagraphFont"/>
    <w:link w:val="Heading1"/>
    <w:uiPriority w:val="9"/>
    <w:qFormat/>
    <w:rPr>
      <w:b/>
      <w:bCs/>
      <w:kern w:val="44"/>
      <w:sz w:val="44"/>
      <w:szCs w:val="44"/>
    </w:rPr>
  </w:style>
  <w:style w:type="character" w:customStyle="1" w:styleId="Heading2Char">
    <w:name w:val="Heading 2 Char"/>
    <w:basedOn w:val="DefaultParagraphFont"/>
    <w:link w:val="Heading2"/>
    <w:uiPriority w:val="9"/>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qFormat/>
    <w:rPr>
      <w:b/>
      <w:bCs/>
      <w:sz w:val="32"/>
      <w:szCs w:val="32"/>
    </w:rPr>
  </w:style>
  <w:style w:type="character" w:customStyle="1" w:styleId="CommentTextChar">
    <w:name w:val="Comment Text Char"/>
    <w:basedOn w:val="DefaultParagraphFont"/>
    <w:link w:val="CommentText"/>
    <w:uiPriority w:val="99"/>
    <w:semiHidden/>
    <w:qFormat/>
  </w:style>
  <w:style w:type="character" w:customStyle="1" w:styleId="FooterChar">
    <w:name w:val="Footer Char"/>
    <w:basedOn w:val="DefaultParagraphFont"/>
    <w:link w:val="Footer"/>
    <w:uiPriority w:val="99"/>
    <w:qFormat/>
    <w:rPr>
      <w:sz w:val="18"/>
      <w:szCs w:val="18"/>
    </w:rPr>
  </w:style>
  <w:style w:type="character" w:customStyle="1" w:styleId="HeaderChar">
    <w:name w:val="Header Char"/>
    <w:basedOn w:val="DefaultParagraphFont"/>
    <w:link w:val="Header"/>
    <w:uiPriority w:val="99"/>
    <w:qFormat/>
    <w:rPr>
      <w:sz w:val="18"/>
      <w:szCs w:val="18"/>
    </w:rPr>
  </w:style>
  <w:style w:type="character" w:customStyle="1" w:styleId="CommentSubjectChar">
    <w:name w:val="Comment Subject Char"/>
    <w:basedOn w:val="CommentTextChar"/>
    <w:link w:val="CommentSubject"/>
    <w:uiPriority w:val="99"/>
    <w:semiHidden/>
    <w:qFormat/>
    <w:rPr>
      <w:b/>
      <w:bCs/>
    </w:rPr>
  </w:style>
  <w:style w:type="paragraph" w:customStyle="1" w:styleId="EndNoteBibliographyTitle">
    <w:name w:val="EndNote Bibliography Title"/>
    <w:basedOn w:val="Normal"/>
    <w:link w:val="EndNoteBibliographyTitle0"/>
    <w:qFormat/>
    <w:pPr>
      <w:jc w:val="center"/>
    </w:pPr>
    <w:rPr>
      <w:rFonts w:ascii="DengXian" w:eastAsia="DengXian" w:hAnsi="DengXian"/>
      <w:sz w:val="20"/>
    </w:rPr>
  </w:style>
  <w:style w:type="character" w:customStyle="1" w:styleId="EndNoteBibliographyTitle0">
    <w:name w:val="EndNote Bibliography Title 字符"/>
    <w:basedOn w:val="DefaultParagraphFont"/>
    <w:link w:val="EndNoteBibliographyTitle"/>
    <w:qFormat/>
    <w:rPr>
      <w:rFonts w:ascii="DengXian" w:eastAsia="DengXian" w:hAnsi="DengXian"/>
      <w:sz w:val="20"/>
    </w:rPr>
  </w:style>
  <w:style w:type="paragraph" w:customStyle="1" w:styleId="EndNoteBibliography">
    <w:name w:val="EndNote Bibliography"/>
    <w:basedOn w:val="Normal"/>
    <w:link w:val="EndNoteBibliography0"/>
    <w:qFormat/>
    <w:rPr>
      <w:rFonts w:ascii="DengXian" w:eastAsia="DengXian" w:hAnsi="DengXian"/>
      <w:sz w:val="20"/>
    </w:rPr>
  </w:style>
  <w:style w:type="character" w:customStyle="1" w:styleId="EndNoteBibliography0">
    <w:name w:val="EndNote Bibliography 字符"/>
    <w:basedOn w:val="DefaultParagraphFont"/>
    <w:link w:val="EndNoteBibliography"/>
    <w:qFormat/>
    <w:rPr>
      <w:rFonts w:ascii="DengXian" w:eastAsia="DengXian" w:hAnsi="DengXian"/>
      <w:sz w:val="20"/>
    </w:rPr>
  </w:style>
  <w:style w:type="paragraph" w:customStyle="1" w:styleId="1">
    <w:name w:val="正文1"/>
    <w:link w:val="Normal0"/>
    <w:qFormat/>
    <w:pPr>
      <w:jc w:val="both"/>
    </w:pPr>
    <w:rPr>
      <w:rFonts w:ascii="DengXian" w:hAnsi="DengXian" w:cs="SimSun"/>
      <w:kern w:val="2"/>
      <w:sz w:val="21"/>
      <w:szCs w:val="21"/>
      <w:lang w:eastAsia="zh-CN"/>
    </w:rPr>
  </w:style>
  <w:style w:type="character" w:customStyle="1" w:styleId="Normal0">
    <w:name w:val="Normal 字符"/>
    <w:basedOn w:val="DefaultParagraphFont"/>
    <w:link w:val="1"/>
    <w:qFormat/>
    <w:rPr>
      <w:rFonts w:ascii="DengXian" w:eastAsia="SimSun" w:hAnsi="DengXian" w:cs="SimSu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124</Words>
  <Characters>713</Characters>
  <Application>Microsoft Office Word</Application>
  <DocSecurity>0</DocSecurity>
  <Lines>5</Lines>
  <Paragraphs>1</Paragraphs>
  <ScaleCrop>false</ScaleCrop>
  <Company>Springer Nature</Company>
  <LinksUpToDate>false</LinksUpToDate>
  <CharactersWithSpaces>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蔡 若骋</dc:creator>
  <cp:lastModifiedBy>Poonam Mutha</cp:lastModifiedBy>
  <cp:revision>4</cp:revision>
  <dcterms:created xsi:type="dcterms:W3CDTF">2023-06-05T15:30:00Z</dcterms:created>
  <dcterms:modified xsi:type="dcterms:W3CDTF">2023-09-27T11:19:00Z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4BF2982F3D524F05B897B50D40178EE6_13</vt:lpwstr>
  </property>
</Properties>
</file>