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4051C3" w14:textId="77777777" w:rsidR="00A60963" w:rsidRDefault="00A60963" w:rsidP="00A60963">
      <w:pPr>
        <w:rPr>
          <w:b/>
          <w:bCs/>
        </w:rPr>
      </w:pPr>
      <w:r w:rsidRPr="00484DEA">
        <w:rPr>
          <w:b/>
          <w:bCs/>
        </w:rPr>
        <w:t xml:space="preserve">Extended Data </w:t>
      </w:r>
      <w:r>
        <w:rPr>
          <w:b/>
          <w:bCs/>
        </w:rPr>
        <w:t>Figures</w:t>
      </w:r>
    </w:p>
    <w:p w14:paraId="558D5F4F" w14:textId="77777777" w:rsidR="00A60963" w:rsidRDefault="00A60963" w:rsidP="00A60963">
      <w:pPr>
        <w:rPr>
          <w:b/>
          <w:bCs/>
        </w:rPr>
      </w:pPr>
      <w:r>
        <w:rPr>
          <w:b/>
          <w:bCs/>
          <w:noProof/>
          <w14:ligatures w14:val="standardContextual"/>
        </w:rPr>
        <w:drawing>
          <wp:inline distT="0" distB="0" distL="0" distR="0" wp14:anchorId="5FC80ECA" wp14:editId="18EC32C0">
            <wp:extent cx="5273051" cy="2715774"/>
            <wp:effectExtent l="0" t="0" r="3810" b="8890"/>
            <wp:docPr id="18" name="Picture 1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screenshot of a computer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051" cy="2715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E3FC1" w14:textId="77777777" w:rsidR="00A60963" w:rsidRDefault="00A60963" w:rsidP="00A60963">
      <w:pPr>
        <w:rPr>
          <w:b/>
          <w:bCs/>
        </w:rPr>
      </w:pPr>
      <w:r>
        <w:rPr>
          <w:b/>
          <w:bCs/>
        </w:rPr>
        <w:t>Extended Data Fig</w:t>
      </w:r>
      <w:r w:rsidDel="005D3052">
        <w:rPr>
          <w:b/>
          <w:bCs/>
        </w:rPr>
        <w:t>.</w:t>
      </w:r>
      <w:r>
        <w:rPr>
          <w:b/>
          <w:bCs/>
        </w:rPr>
        <w:t xml:space="preserve"> 1 | Computational reconstruction of iSynPro library.</w:t>
      </w:r>
    </w:p>
    <w:p w14:paraId="0B30A8BB" w14:textId="77777777" w:rsidR="00A60963" w:rsidRPr="00140726" w:rsidRDefault="00A60963" w:rsidP="00A60963">
      <w:r>
        <w:rPr>
          <w:b/>
          <w:bCs/>
        </w:rPr>
        <w:t xml:space="preserve">a, </w:t>
      </w:r>
      <w:r>
        <w:t xml:space="preserve">Gel electrophoresis of ligated TREs used to generate a randomly assembled iSynPro library. Lane 1: Ligated iSynPro library; Lane 2: Molecular weight ladder. </w:t>
      </w:r>
    </w:p>
    <w:p w14:paraId="64C5CAB3" w14:textId="77777777" w:rsidR="00A60963" w:rsidRPr="00140726" w:rsidRDefault="00A60963" w:rsidP="00A60963">
      <w:r>
        <w:rPr>
          <w:b/>
          <w:bCs/>
        </w:rPr>
        <w:t xml:space="preserve">b, </w:t>
      </w:r>
      <w:r w:rsidRPr="47FFA2D4">
        <w:rPr>
          <w:i/>
          <w:iCs/>
        </w:rPr>
        <w:t>De novo</w:t>
      </w:r>
      <w:r>
        <w:t xml:space="preserve"> computational pipeline to reconstruct synthetic promoters from sequence libraries.</w:t>
      </w:r>
    </w:p>
    <w:p w14:paraId="12FE1AC8" w14:textId="77777777" w:rsidR="00A60963" w:rsidRDefault="00A60963" w:rsidP="00A60963">
      <w:pPr>
        <w:rPr>
          <w:i/>
          <w:iCs/>
        </w:rPr>
      </w:pPr>
      <w:r>
        <w:rPr>
          <w:b/>
          <w:bCs/>
        </w:rPr>
        <w:t xml:space="preserve">c, </w:t>
      </w:r>
      <w:r>
        <w:rPr>
          <w:rStyle w:val="ui-provider"/>
        </w:rPr>
        <w:t xml:space="preserve">Theoretical outcomes for possible contig reconstruction from paired NGS reads. Pairwise sliding alignment executed by </w:t>
      </w:r>
      <w:r w:rsidRPr="008C4054">
        <w:rPr>
          <w:rStyle w:val="Strong"/>
          <w:i/>
          <w:iCs/>
        </w:rPr>
        <w:t>alignMerge</w:t>
      </w:r>
      <w:r>
        <w:rPr>
          <w:rStyle w:val="Strong"/>
          <w:i/>
          <w:iCs/>
        </w:rPr>
        <w:t xml:space="preserve"> </w:t>
      </w:r>
      <w:r>
        <w:rPr>
          <w:rStyle w:val="ui-provider"/>
        </w:rPr>
        <w:t>identifies an optimal merge (in green, with two mismatched bases) in preference to a suboptimal merge (in red, identical bases but shorter).</w:t>
      </w:r>
    </w:p>
    <w:p w14:paraId="395637C2" w14:textId="77777777" w:rsidR="00A60963" w:rsidRPr="00545566" w:rsidRDefault="00A60963" w:rsidP="00A60963">
      <w:pPr>
        <w:rPr>
          <w:b/>
          <w:bCs/>
        </w:rPr>
      </w:pPr>
      <w:r>
        <w:rPr>
          <w:b/>
          <w:bCs/>
        </w:rPr>
        <w:t xml:space="preserve">d, </w:t>
      </w:r>
      <w:r>
        <w:t>Promoter clonality of libraries observed in raw, plasmid, and virus products.</w:t>
      </w:r>
    </w:p>
    <w:p w14:paraId="3BA5E3CB" w14:textId="77777777" w:rsidR="00A60963" w:rsidRDefault="00A60963" w:rsidP="00A60963">
      <w:pPr>
        <w:rPr>
          <w:b/>
          <w:bCs/>
        </w:rPr>
      </w:pPr>
      <w:r>
        <w:rPr>
          <w:b/>
          <w:bCs/>
        </w:rPr>
        <w:t xml:space="preserve">e, </w:t>
      </w:r>
      <w:r>
        <w:t xml:space="preserve">Scatterplot showing comparison of individual promoter frequency between virus and plasmid libraries. </w:t>
      </w:r>
      <w:r>
        <w:rPr>
          <w:rStyle w:val="ui-provider"/>
        </w:rPr>
        <w:t>Color gradient indicates promoter length in TRE units.</w:t>
      </w:r>
    </w:p>
    <w:p w14:paraId="6620C62D" w14:textId="77777777" w:rsidR="00A60963" w:rsidRDefault="00A60963" w:rsidP="00A60963">
      <w:r>
        <w:rPr>
          <w:b/>
          <w:bCs/>
        </w:rPr>
        <w:t>f,</w:t>
      </w:r>
      <w:r w:rsidRPr="00545566">
        <w:t xml:space="preserve"> </w:t>
      </w:r>
      <w:r>
        <w:t>Density histogram of contigs comparing promoter length distributions (measured in TRE units) between plasmid and virus libraries.</w:t>
      </w:r>
    </w:p>
    <w:p w14:paraId="125F879D" w14:textId="77777777" w:rsidR="00A60963" w:rsidRDefault="00A60963" w:rsidP="00A60963">
      <w:pPr>
        <w:rPr>
          <w:rStyle w:val="ui-provider"/>
        </w:rPr>
      </w:pPr>
      <w:r>
        <w:rPr>
          <w:rStyle w:val="ui-provider"/>
        </w:rPr>
        <w:t xml:space="preserve">Illustration in part </w:t>
      </w:r>
      <w:r w:rsidRPr="00140726">
        <w:rPr>
          <w:rStyle w:val="ui-provider"/>
          <w:b/>
          <w:bCs/>
        </w:rPr>
        <w:t>b</w:t>
      </w:r>
      <w:r>
        <w:rPr>
          <w:rStyle w:val="ui-provider"/>
        </w:rPr>
        <w:t xml:space="preserve"> was generated using BioRender</w:t>
      </w:r>
    </w:p>
    <w:p w14:paraId="75E24EA6" w14:textId="77777777" w:rsidR="00A60963" w:rsidRDefault="00A60963" w:rsidP="00A60963">
      <w:pPr>
        <w:spacing w:after="0" w:line="240" w:lineRule="auto"/>
        <w:rPr>
          <w:rStyle w:val="ui-provider"/>
        </w:rPr>
      </w:pPr>
      <w:r>
        <w:rPr>
          <w:rStyle w:val="ui-provider"/>
        </w:rPr>
        <w:br w:type="page"/>
      </w:r>
    </w:p>
    <w:p w14:paraId="05F0347D" w14:textId="77777777" w:rsidR="00A60963" w:rsidRPr="007D25CF" w:rsidRDefault="00A60963" w:rsidP="00A60963">
      <w:pPr>
        <w:rPr>
          <w:b/>
          <w:bCs/>
        </w:rPr>
      </w:pPr>
      <w:r>
        <w:rPr>
          <w:b/>
          <w:bCs/>
          <w:noProof/>
          <w14:ligatures w14:val="standardContextual"/>
        </w:rPr>
        <w:lastRenderedPageBreak/>
        <w:drawing>
          <wp:inline distT="0" distB="0" distL="0" distR="0" wp14:anchorId="3863C1A6" wp14:editId="6608C53C">
            <wp:extent cx="4349505" cy="5672340"/>
            <wp:effectExtent l="0" t="0" r="0" b="5080"/>
            <wp:docPr id="19" name="Picture 1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screenshot of a compute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9505" cy="567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A4E63" w14:textId="77777777" w:rsidR="00A60963" w:rsidRDefault="00A60963" w:rsidP="00A60963">
      <w:pPr>
        <w:rPr>
          <w:b/>
          <w:bCs/>
        </w:rPr>
      </w:pPr>
      <w:r>
        <w:rPr>
          <w:b/>
          <w:bCs/>
        </w:rPr>
        <w:t>Extended Data Fig. 2 | iSynPro library inducibility time course.</w:t>
      </w:r>
    </w:p>
    <w:p w14:paraId="6B3E27E5" w14:textId="77777777" w:rsidR="00A60963" w:rsidRPr="00140726" w:rsidRDefault="00A60963" w:rsidP="00A60963">
      <w:r>
        <w:rPr>
          <w:b/>
          <w:bCs/>
        </w:rPr>
        <w:t xml:space="preserve">a, </w:t>
      </w:r>
      <w:r>
        <w:t xml:space="preserve">Flow cytometry time course measuring GFP expression of unmodified or modified Jurkats with vector containing GFP:ffluc driven by no promoter, an IL-2 minimal promoter, or the iSynPro library. </w:t>
      </w:r>
    </w:p>
    <w:p w14:paraId="4A8D66D0" w14:textId="77777777" w:rsidR="00A60963" w:rsidRPr="00140726" w:rsidRDefault="00A60963" w:rsidP="00A60963">
      <w:r>
        <w:rPr>
          <w:b/>
          <w:bCs/>
        </w:rPr>
        <w:t xml:space="preserve">b, </w:t>
      </w:r>
      <w:r>
        <w:t xml:space="preserve">Schema describing experiment to assess re-inducibility of iSynPro library described in </w:t>
      </w:r>
      <w:r w:rsidRPr="00140726">
        <w:rPr>
          <w:b/>
          <w:bCs/>
        </w:rPr>
        <w:t>c</w:t>
      </w:r>
      <w:r>
        <w:rPr>
          <w:b/>
          <w:bCs/>
        </w:rPr>
        <w:t>.</w:t>
      </w:r>
    </w:p>
    <w:p w14:paraId="2DAE25AF" w14:textId="77777777" w:rsidR="00A60963" w:rsidRDefault="00A60963" w:rsidP="00A60963">
      <w:pPr>
        <w:rPr>
          <w:b/>
          <w:bCs/>
        </w:rPr>
      </w:pPr>
      <w:r>
        <w:rPr>
          <w:b/>
          <w:bCs/>
        </w:rPr>
        <w:t xml:space="preserve">c, </w:t>
      </w:r>
      <w:r>
        <w:t xml:space="preserve">Flow cytometry measuring GFP expression in restimulated Jurkat cells described in </w:t>
      </w:r>
      <w:r w:rsidRPr="00140726">
        <w:rPr>
          <w:b/>
          <w:bCs/>
        </w:rPr>
        <w:t>a</w:t>
      </w:r>
      <w:r>
        <w:rPr>
          <w:b/>
          <w:bCs/>
        </w:rPr>
        <w:t>.</w:t>
      </w:r>
      <w:r>
        <w:rPr>
          <w:b/>
          <w:bCs/>
        </w:rPr>
        <w:br/>
      </w:r>
    </w:p>
    <w:p w14:paraId="0CE8888A" w14:textId="77777777" w:rsidR="00A60963" w:rsidRDefault="00A60963" w:rsidP="00A60963">
      <w:pPr>
        <w:spacing w:after="0" w:line="240" w:lineRule="auto"/>
        <w:rPr>
          <w:b/>
          <w:bCs/>
        </w:rPr>
      </w:pPr>
      <w:r>
        <w:rPr>
          <w:b/>
          <w:bCs/>
        </w:rPr>
        <w:br w:type="page"/>
      </w:r>
    </w:p>
    <w:p w14:paraId="4FCAC111" w14:textId="77777777" w:rsidR="00A60963" w:rsidRDefault="00A60963" w:rsidP="00A60963">
      <w:pPr>
        <w:rPr>
          <w:b/>
          <w:bCs/>
        </w:rPr>
      </w:pPr>
      <w:r>
        <w:rPr>
          <w:b/>
          <w:bCs/>
          <w:noProof/>
          <w14:ligatures w14:val="standardContextual"/>
        </w:rPr>
        <w:lastRenderedPageBreak/>
        <w:drawing>
          <wp:inline distT="0" distB="0" distL="0" distR="0" wp14:anchorId="79837705" wp14:editId="4379EE0E">
            <wp:extent cx="4163576" cy="2801118"/>
            <wp:effectExtent l="0" t="0" r="8890" b="0"/>
            <wp:docPr id="20" name="Picture 20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screenshot of a computer scree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3576" cy="2801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</w:p>
    <w:p w14:paraId="305D8617" w14:textId="77777777" w:rsidR="00A60963" w:rsidRDefault="00A60963" w:rsidP="00A60963">
      <w:pPr>
        <w:rPr>
          <w:b/>
          <w:bCs/>
        </w:rPr>
      </w:pPr>
      <w:r>
        <w:rPr>
          <w:b/>
          <w:bCs/>
        </w:rPr>
        <w:t>Extended Data Fig. 3 | iSynPro library metrics across screening time points.</w:t>
      </w:r>
    </w:p>
    <w:p w14:paraId="0EEDDCD3" w14:textId="77777777" w:rsidR="00A60963" w:rsidRPr="00C9048B" w:rsidRDefault="00A60963" w:rsidP="00A60963">
      <w:pPr>
        <w:rPr>
          <w:b/>
          <w:bCs/>
        </w:rPr>
      </w:pPr>
      <w:r>
        <w:rPr>
          <w:b/>
          <w:bCs/>
        </w:rPr>
        <w:t>a,</w:t>
      </w:r>
      <w:r w:rsidRPr="00C9048B">
        <w:rPr>
          <w:b/>
          <w:bCs/>
        </w:rPr>
        <w:t xml:space="preserve"> </w:t>
      </w:r>
      <w:r>
        <w:t>TRE proportions across raw ligation, plasmid, lentivirus, and GFP</w:t>
      </w:r>
      <w:r w:rsidRPr="00E608AB">
        <w:rPr>
          <w:vertAlign w:val="superscript"/>
        </w:rPr>
        <w:t>+</w:t>
      </w:r>
      <w:r>
        <w:t xml:space="preserve"> cell collections.</w:t>
      </w:r>
    </w:p>
    <w:p w14:paraId="563D5488" w14:textId="77777777" w:rsidR="00A60963" w:rsidRDefault="00A60963" w:rsidP="00A60963">
      <w:pPr>
        <w:rPr>
          <w:rStyle w:val="ui-provider"/>
        </w:rPr>
      </w:pPr>
      <w:r>
        <w:rPr>
          <w:b/>
          <w:bCs/>
        </w:rPr>
        <w:t>b</w:t>
      </w:r>
      <w:r w:rsidRPr="00C9048B">
        <w:rPr>
          <w:b/>
          <w:bCs/>
        </w:rPr>
        <w:t xml:space="preserve">, </w:t>
      </w:r>
      <w:r>
        <w:rPr>
          <w:rStyle w:val="ui-provider"/>
        </w:rPr>
        <w:t>Scatterplots comparing individual promoter frequencies at co-culture time points to corresponding baseline frequencies in the virus library. Color gradient indicates promoter length in TRE units.</w:t>
      </w:r>
    </w:p>
    <w:p w14:paraId="09E0C2FF" w14:textId="77777777" w:rsidR="00A60963" w:rsidRDefault="00A60963" w:rsidP="00A60963">
      <w:pPr>
        <w:spacing w:after="0" w:line="240" w:lineRule="auto"/>
        <w:rPr>
          <w:rStyle w:val="ui-provider"/>
        </w:rPr>
      </w:pPr>
      <w:r>
        <w:rPr>
          <w:rStyle w:val="ui-provider"/>
        </w:rPr>
        <w:br w:type="page"/>
      </w:r>
    </w:p>
    <w:p w14:paraId="0EA55F18" w14:textId="77777777" w:rsidR="00A60963" w:rsidRPr="00140726" w:rsidRDefault="00A60963" w:rsidP="00A60963">
      <w:r>
        <w:rPr>
          <w:noProof/>
          <w14:ligatures w14:val="standardContextual"/>
        </w:rPr>
        <w:lastRenderedPageBreak/>
        <w:drawing>
          <wp:inline distT="0" distB="0" distL="0" distR="0" wp14:anchorId="37AE7703" wp14:editId="3B188575">
            <wp:extent cx="5943600" cy="2834005"/>
            <wp:effectExtent l="0" t="0" r="0" b="4445"/>
            <wp:docPr id="21" name="Picture 2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screenshot of a compute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DE6DE" w14:textId="77777777" w:rsidR="00A60963" w:rsidRDefault="00A60963" w:rsidP="00A60963">
      <w:pPr>
        <w:rPr>
          <w:b/>
          <w:bCs/>
        </w:rPr>
      </w:pPr>
      <w:r>
        <w:rPr>
          <w:b/>
          <w:bCs/>
        </w:rPr>
        <w:t xml:space="preserve">Extended Data Fig. 4 | </w:t>
      </w:r>
      <w:r w:rsidRPr="00140726">
        <w:rPr>
          <w:b/>
          <w:bCs/>
        </w:rPr>
        <w:t>In vitro recursive and persistent stimulation and ex vivo target phenotyping</w:t>
      </w:r>
      <w:r>
        <w:rPr>
          <w:b/>
          <w:bCs/>
        </w:rPr>
        <w:t>.</w:t>
      </w:r>
    </w:p>
    <w:p w14:paraId="56CED9F8" w14:textId="77777777" w:rsidR="00A60963" w:rsidRPr="00140726" w:rsidRDefault="00A60963" w:rsidP="00A60963">
      <w:r>
        <w:rPr>
          <w:b/>
          <w:bCs/>
        </w:rPr>
        <w:t xml:space="preserve">a, </w:t>
      </w:r>
      <w:r>
        <w:t>Percent GFP</w:t>
      </w:r>
      <w:r>
        <w:rPr>
          <w:vertAlign w:val="superscript"/>
        </w:rPr>
        <w:t xml:space="preserve"> </w:t>
      </w:r>
      <w:r>
        <w:t>induction by a set of synthetic promoters, including eight iSynPro library candidates, in response to recursive antigen stimulation in CD8</w:t>
      </w:r>
      <w:r w:rsidRPr="00316964">
        <w:rPr>
          <w:vertAlign w:val="superscript"/>
        </w:rPr>
        <w:t>+</w:t>
      </w:r>
      <w:r>
        <w:t xml:space="preserve"> CD19CAR T cells. Dashed vertical lines indicate times T cells were stimulated with CD19</w:t>
      </w:r>
      <w:r w:rsidRPr="00B546BA">
        <w:rPr>
          <w:vertAlign w:val="superscript"/>
        </w:rPr>
        <w:t>+</w:t>
      </w:r>
      <w:r>
        <w:t xml:space="preserve"> LCL cells. </w:t>
      </w:r>
    </w:p>
    <w:p w14:paraId="588CDABB" w14:textId="77777777" w:rsidR="00A60963" w:rsidRDefault="00A60963" w:rsidP="00A60963">
      <w:r>
        <w:rPr>
          <w:b/>
          <w:bCs/>
        </w:rPr>
        <w:t>b</w:t>
      </w:r>
      <w:r>
        <w:t xml:space="preserve">, GFP MFI achieved by set of inducible promoters in cells featured in </w:t>
      </w:r>
      <w:r w:rsidRPr="00592BF2">
        <w:rPr>
          <w:b/>
          <w:bCs/>
        </w:rPr>
        <w:t>a</w:t>
      </w:r>
      <w:r>
        <w:t>.</w:t>
      </w:r>
    </w:p>
    <w:p w14:paraId="2EB01765" w14:textId="77777777" w:rsidR="00A60963" w:rsidRPr="00942EE2" w:rsidRDefault="00A60963" w:rsidP="00A60963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c</w:t>
      </w:r>
      <w:r w:rsidRPr="00942EE2">
        <w:rPr>
          <w:b/>
          <w:bCs/>
          <w:color w:val="000000" w:themeColor="text1"/>
        </w:rPr>
        <w:t>,</w:t>
      </w:r>
      <w:r w:rsidRPr="00942EE2">
        <w:rPr>
          <w:b/>
          <w:color w:val="000000" w:themeColor="text1"/>
        </w:rPr>
        <w:t xml:space="preserve"> </w:t>
      </w:r>
      <w:r w:rsidRPr="00942EE2">
        <w:rPr>
          <w:bCs/>
          <w:color w:val="000000" w:themeColor="text1"/>
        </w:rPr>
        <w:t xml:space="preserve">Schematic </w:t>
      </w:r>
      <w:r>
        <w:rPr>
          <w:bCs/>
          <w:color w:val="000000" w:themeColor="text1"/>
        </w:rPr>
        <w:t xml:space="preserve">of the TRE units composing iSynPro1. Arrows indicate directionality of TREs, and the asterisk represents a sequence that did not map to any TRE. </w:t>
      </w:r>
    </w:p>
    <w:p w14:paraId="347E40E7" w14:textId="77777777" w:rsidR="00A60963" w:rsidRDefault="00A60963" w:rsidP="00A60963">
      <w:r>
        <w:rPr>
          <w:b/>
          <w:bCs/>
        </w:rPr>
        <w:t xml:space="preserve">d, </w:t>
      </w:r>
      <w:r>
        <w:t xml:space="preserve">Ex vivo flow cytometric analysis of Raji tumor cells for the presence of the antigen CD19. </w:t>
      </w:r>
    </w:p>
    <w:p w14:paraId="6A8CB522" w14:textId="77777777" w:rsidR="00A60963" w:rsidRDefault="00A60963" w:rsidP="00A60963">
      <w:pPr>
        <w:spacing w:after="0" w:line="240" w:lineRule="auto"/>
        <w:rPr>
          <w:b/>
          <w:bCs/>
        </w:rPr>
      </w:pPr>
      <w:r>
        <w:rPr>
          <w:b/>
          <w:bCs/>
        </w:rPr>
        <w:br w:type="page"/>
      </w:r>
    </w:p>
    <w:p w14:paraId="330DC3AD" w14:textId="77777777" w:rsidR="00A60963" w:rsidRPr="00524BD7" w:rsidRDefault="00A60963" w:rsidP="00A60963">
      <w:pPr>
        <w:rPr>
          <w:b/>
          <w:bCs/>
        </w:rPr>
      </w:pPr>
      <w:r>
        <w:rPr>
          <w:b/>
          <w:bCs/>
          <w:noProof/>
          <w14:ligatures w14:val="standardContextual"/>
        </w:rPr>
        <w:lastRenderedPageBreak/>
        <w:drawing>
          <wp:inline distT="0" distB="0" distL="0" distR="0" wp14:anchorId="36C4AB67" wp14:editId="31F0565A">
            <wp:extent cx="5943600" cy="4570095"/>
            <wp:effectExtent l="0" t="0" r="0" b="1905"/>
            <wp:docPr id="22" name="Picture 22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screenshot of a computer screen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7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89406" w14:textId="77777777" w:rsidR="00A60963" w:rsidRDefault="00A60963" w:rsidP="00A60963">
      <w:pPr>
        <w:rPr>
          <w:b/>
          <w:bCs/>
        </w:rPr>
      </w:pPr>
      <w:r>
        <w:rPr>
          <w:b/>
          <w:bCs/>
        </w:rPr>
        <w:t xml:space="preserve">Extended Data Fig. 5 | iSynPro1 induction relies on signal 1 of T cell activation. </w:t>
      </w:r>
    </w:p>
    <w:p w14:paraId="73F36B4A" w14:textId="77777777" w:rsidR="00A60963" w:rsidRPr="00140726" w:rsidRDefault="00A60963" w:rsidP="00A60963">
      <w:r>
        <w:rPr>
          <w:b/>
          <w:bCs/>
        </w:rPr>
        <w:t xml:space="preserve">a, </w:t>
      </w:r>
      <w:r>
        <w:t>Flow cytometric analysis of iSynPro1 induction measured by GFP MFI in iSynPro1-TurboGFP_CD19CAR CD8</w:t>
      </w:r>
      <w:r w:rsidRPr="00B97B98">
        <w:rPr>
          <w:vertAlign w:val="superscript"/>
        </w:rPr>
        <w:t>+</w:t>
      </w:r>
      <w:r>
        <w:t xml:space="preserve"> T cells (</w:t>
      </w:r>
      <w:r>
        <w:rPr>
          <w:i/>
        </w:rPr>
        <w:t>n</w:t>
      </w:r>
      <w:r>
        <w:rPr>
          <w:i/>
          <w:iCs/>
        </w:rPr>
        <w:t xml:space="preserve"> </w:t>
      </w:r>
      <w:r>
        <w:t>= 3 donors).</w:t>
      </w:r>
    </w:p>
    <w:p w14:paraId="5C67F02A" w14:textId="77777777" w:rsidR="00A60963" w:rsidRPr="00475716" w:rsidRDefault="00A60963" w:rsidP="00A60963">
      <w:r>
        <w:rPr>
          <w:b/>
          <w:bCs/>
        </w:rPr>
        <w:t>b,</w:t>
      </w:r>
      <w:r w:rsidRPr="00140726">
        <w:t xml:space="preserve"> ddPCR of iSynPro</w:t>
      </w:r>
      <w:r>
        <w:t>1</w:t>
      </w:r>
      <w:r w:rsidRPr="00140726">
        <w:t xml:space="preserve"> </w:t>
      </w:r>
      <w:r>
        <w:t>gene expression</w:t>
      </w:r>
      <w:r w:rsidRPr="00140726">
        <w:t xml:space="preserve"> and </w:t>
      </w:r>
      <w:r w:rsidRPr="00EA20B9">
        <w:t>constitutively</w:t>
      </w:r>
      <w:r w:rsidRPr="00140726">
        <w:t xml:space="preserve"> expressed C</w:t>
      </w:r>
      <w:r>
        <w:t>D</w:t>
      </w:r>
      <w:r w:rsidRPr="00140726">
        <w:t>19CAR</w:t>
      </w:r>
      <w:r>
        <w:t xml:space="preserve"> using cDNA from iSynPro1-TurboGFP_CD19CAR CD8</w:t>
      </w:r>
      <w:r w:rsidRPr="00B97B98">
        <w:rPr>
          <w:vertAlign w:val="superscript"/>
        </w:rPr>
        <w:t>+</w:t>
      </w:r>
      <w:r>
        <w:t xml:space="preserve"> T cells. Data represented as mean </w:t>
      </w:r>
      <w:r>
        <w:rPr>
          <w:rFonts w:cstheme="minorHAnsi"/>
        </w:rPr>
        <w:t>±</w:t>
      </w:r>
      <w:r>
        <w:t xml:space="preserve"> s.e.m. (</w:t>
      </w:r>
      <w:r w:rsidRPr="00140726">
        <w:rPr>
          <w:i/>
        </w:rPr>
        <w:t>n</w:t>
      </w:r>
      <w:r>
        <w:t xml:space="preserve"> = 4 donors). </w:t>
      </w:r>
      <w:r>
        <w:rPr>
          <w:i/>
          <w:iCs/>
        </w:rPr>
        <w:t xml:space="preserve">q </w:t>
      </w:r>
      <w:r>
        <w:t xml:space="preserve">values were determined by </w:t>
      </w:r>
      <w:r w:rsidRPr="004A0575">
        <w:t>multiple T test</w:t>
      </w:r>
      <w:r>
        <w:t xml:space="preserve"> with false discovery rate correction.</w:t>
      </w:r>
    </w:p>
    <w:p w14:paraId="1A7565E2" w14:textId="77777777" w:rsidR="00A60963" w:rsidRPr="0006124E" w:rsidRDefault="00A60963" w:rsidP="00A60963">
      <w:r w:rsidRPr="00006BB8">
        <w:rPr>
          <w:b/>
          <w:bCs/>
        </w:rPr>
        <w:t xml:space="preserve">c, </w:t>
      </w:r>
      <w:r w:rsidRPr="006D0C8D">
        <w:rPr>
          <w:color w:val="000000" w:themeColor="text1"/>
        </w:rPr>
        <w:t xml:space="preserve">Flow cytometric </w:t>
      </w:r>
      <w:r>
        <w:rPr>
          <w:color w:val="000000" w:themeColor="text1"/>
        </w:rPr>
        <w:t xml:space="preserve">analysis </w:t>
      </w:r>
      <w:r w:rsidRPr="006D0C8D">
        <w:rPr>
          <w:color w:val="000000" w:themeColor="text1"/>
        </w:rPr>
        <w:t xml:space="preserve">showing induction of GFP and expression of endogenous </w:t>
      </w:r>
      <w:r>
        <w:rPr>
          <w:color w:val="000000" w:themeColor="text1"/>
        </w:rPr>
        <w:t>4-1BB</w:t>
      </w:r>
      <w:r w:rsidRPr="006D0C8D">
        <w:rPr>
          <w:color w:val="000000" w:themeColor="text1"/>
        </w:rPr>
        <w:t xml:space="preserve"> in iSynPro1-GFP:ffluc</w:t>
      </w:r>
      <w:r>
        <w:rPr>
          <w:color w:val="000000" w:themeColor="text1"/>
        </w:rPr>
        <w:t>_</w:t>
      </w:r>
      <w:r w:rsidRPr="006D0C8D">
        <w:rPr>
          <w:color w:val="000000" w:themeColor="text1"/>
        </w:rPr>
        <w:t>CD19CAR T cells upon co-culture with K562 tumor cell lines</w:t>
      </w:r>
      <w:r>
        <w:rPr>
          <w:color w:val="000000" w:themeColor="text1"/>
        </w:rPr>
        <w:t xml:space="preserve"> in two additional donors. Cells were either untreated or incubated with 60 nM dasatinib. </w:t>
      </w:r>
    </w:p>
    <w:p w14:paraId="24D254C9" w14:textId="77777777" w:rsidR="00A60963" w:rsidRPr="006F5F43" w:rsidRDefault="00A60963" w:rsidP="00A60963">
      <w:pPr>
        <w:rPr>
          <w:color w:val="C00000"/>
        </w:rPr>
      </w:pPr>
      <w:r w:rsidRPr="006D0C8D">
        <w:rPr>
          <w:b/>
          <w:bCs/>
          <w:color w:val="000000" w:themeColor="text1"/>
        </w:rPr>
        <w:t xml:space="preserve">d, </w:t>
      </w:r>
      <w:r w:rsidRPr="006D0C8D">
        <w:rPr>
          <w:color w:val="000000" w:themeColor="text1"/>
        </w:rPr>
        <w:t xml:space="preserve">Flow cytometric </w:t>
      </w:r>
      <w:r>
        <w:rPr>
          <w:color w:val="000000" w:themeColor="text1"/>
        </w:rPr>
        <w:t xml:space="preserve">analysis </w:t>
      </w:r>
      <w:r w:rsidRPr="006D0C8D">
        <w:rPr>
          <w:color w:val="000000" w:themeColor="text1"/>
        </w:rPr>
        <w:t>showing induction of GFP and expression of endogenous CD28 in iSynPro1-GFP:ffluc</w:t>
      </w:r>
      <w:r>
        <w:rPr>
          <w:color w:val="000000" w:themeColor="text1"/>
        </w:rPr>
        <w:t>_</w:t>
      </w:r>
      <w:r w:rsidRPr="006D0C8D">
        <w:rPr>
          <w:color w:val="000000" w:themeColor="text1"/>
        </w:rPr>
        <w:t xml:space="preserve">CD19CAR T cells upon co-culture with K562 tumor cell lines. Top panel: histograms from one representative donor; bottom panel: histogram plotting MFI from </w:t>
      </w:r>
      <w:r>
        <w:t xml:space="preserve">three donors. </w:t>
      </w:r>
    </w:p>
    <w:p w14:paraId="340B7A03" w14:textId="77777777" w:rsidR="00A60963" w:rsidRDefault="00A60963" w:rsidP="00A60963">
      <w:pPr>
        <w:rPr>
          <w:b/>
          <w:bCs/>
        </w:rPr>
      </w:pPr>
      <w:r>
        <w:rPr>
          <w:b/>
          <w:bCs/>
        </w:rPr>
        <w:t xml:space="preserve">e, </w:t>
      </w:r>
      <w:r>
        <w:t>GFP induction by iSynPro1 in B7H3CAR and EGFR806CAR T cells in response to co-culture with K562 and EGFRvIII</w:t>
      </w:r>
      <w:r w:rsidRPr="00667197">
        <w:rPr>
          <w:vertAlign w:val="superscript"/>
        </w:rPr>
        <w:t>+</w:t>
      </w:r>
      <w:r>
        <w:t xml:space="preserve"> LCL tumor cells, respectively.</w:t>
      </w:r>
    </w:p>
    <w:p w14:paraId="37549A82" w14:textId="77777777" w:rsidR="00A60963" w:rsidRDefault="00A60963" w:rsidP="00A60963">
      <w:pPr>
        <w:rPr>
          <w:b/>
          <w:bCs/>
        </w:rPr>
      </w:pPr>
      <w:r>
        <w:rPr>
          <w:b/>
          <w:bCs/>
        </w:rPr>
        <w:t xml:space="preserve">f, </w:t>
      </w:r>
      <w:r>
        <w:t>GFP MFI in CD19CAR and iSynPro1-GFP:ffluc_CD19CAR CD8</w:t>
      </w:r>
      <w:r w:rsidRPr="00B836F8">
        <w:rPr>
          <w:vertAlign w:val="superscript"/>
        </w:rPr>
        <w:t>+</w:t>
      </w:r>
      <w:r>
        <w:t xml:space="preserve"> T cells upon co-culture with CD19</w:t>
      </w:r>
      <w:r w:rsidRPr="00F47E30">
        <w:rPr>
          <w:vertAlign w:val="superscript"/>
        </w:rPr>
        <w:t xml:space="preserve">+ </w:t>
      </w:r>
      <w:r>
        <w:t>tumor cell lines or unmodified K562s (</w:t>
      </w:r>
      <w:r w:rsidRPr="00140726">
        <w:rPr>
          <w:i/>
          <w:iCs/>
        </w:rPr>
        <w:t>n</w:t>
      </w:r>
      <w:r>
        <w:t xml:space="preserve"> = 3 donors).</w:t>
      </w:r>
    </w:p>
    <w:p w14:paraId="43B849C3" w14:textId="77777777" w:rsidR="00A60963" w:rsidRDefault="00A60963" w:rsidP="00A60963">
      <w:r>
        <w:rPr>
          <w:b/>
          <w:bCs/>
        </w:rPr>
        <w:lastRenderedPageBreak/>
        <w:t xml:space="preserve">g, </w:t>
      </w:r>
      <w:r>
        <w:t>IHC imaging of CD8 and GFP expression in CD19</w:t>
      </w:r>
      <w:r w:rsidRPr="008C70DF">
        <w:rPr>
          <w:vertAlign w:val="superscript"/>
        </w:rPr>
        <w:t>-</w:t>
      </w:r>
      <w:r>
        <w:t xml:space="preserve"> (left) vs CD19</w:t>
      </w:r>
      <w:r w:rsidRPr="008C70DF">
        <w:rPr>
          <w:vertAlign w:val="superscript"/>
        </w:rPr>
        <w:t>+</w:t>
      </w:r>
      <w:r>
        <w:t xml:space="preserve"> (right) flank tumors taken from mice in the experiment detailed in Fig. 4d. DAPI stain included to distinguish cell nuclei.</w:t>
      </w:r>
    </w:p>
    <w:p w14:paraId="0FF2A432" w14:textId="77777777" w:rsidR="00A60963" w:rsidRPr="00AE5E21" w:rsidRDefault="00A60963" w:rsidP="00A60963">
      <w:r>
        <w:rPr>
          <w:i/>
          <w:iCs/>
        </w:rPr>
        <w:t>q</w:t>
      </w:r>
      <w:r>
        <w:t xml:space="preserve"> values are denoted: *, </w:t>
      </w:r>
      <w:r>
        <w:rPr>
          <w:i/>
          <w:iCs/>
        </w:rPr>
        <w:t xml:space="preserve">q </w:t>
      </w:r>
      <w:r>
        <w:t xml:space="preserve">&lt; 0.05, **, </w:t>
      </w:r>
      <w:r>
        <w:rPr>
          <w:i/>
          <w:iCs/>
        </w:rPr>
        <w:t xml:space="preserve">q </w:t>
      </w:r>
      <w:r>
        <w:t xml:space="preserve">&lt; 0.01, Exact </w:t>
      </w:r>
      <w:r>
        <w:rPr>
          <w:i/>
          <w:iCs/>
        </w:rPr>
        <w:t>q</w:t>
      </w:r>
      <w:r>
        <w:t xml:space="preserve"> values are available in </w:t>
      </w:r>
      <w:r w:rsidRPr="00A461A5">
        <w:rPr>
          <w:b/>
        </w:rPr>
        <w:t>Supplemental Table 5</w:t>
      </w:r>
      <w:r>
        <w:t xml:space="preserve">. </w:t>
      </w:r>
    </w:p>
    <w:p w14:paraId="6A91CA48" w14:textId="77777777" w:rsidR="00A60963" w:rsidRDefault="00A60963" w:rsidP="00A60963">
      <w:pPr>
        <w:spacing w:after="0" w:line="240" w:lineRule="auto"/>
      </w:pPr>
      <w:r>
        <w:br w:type="page"/>
      </w:r>
    </w:p>
    <w:p w14:paraId="760A2E3B" w14:textId="77777777" w:rsidR="00A60963" w:rsidRDefault="00A60963" w:rsidP="00A60963">
      <w:r>
        <w:rPr>
          <w:noProof/>
          <w14:ligatures w14:val="standardContextual"/>
        </w:rPr>
        <w:lastRenderedPageBreak/>
        <w:drawing>
          <wp:inline distT="0" distB="0" distL="0" distR="0" wp14:anchorId="6C2D7C8E" wp14:editId="281046D4">
            <wp:extent cx="5943600" cy="5380355"/>
            <wp:effectExtent l="0" t="0" r="0" b="0"/>
            <wp:docPr id="23" name="Picture 2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A screenshot of a compute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8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C73DB" w14:textId="77777777" w:rsidR="00A60963" w:rsidRDefault="00A60963" w:rsidP="00A60963">
      <w:pPr>
        <w:rPr>
          <w:b/>
          <w:bCs/>
        </w:rPr>
      </w:pPr>
      <w:r>
        <w:rPr>
          <w:b/>
          <w:bCs/>
        </w:rPr>
        <w:t>Extended Data Fig. 6| Transcriptional Analysis of PD1:MyD88-expressing CAR T cells.</w:t>
      </w:r>
    </w:p>
    <w:p w14:paraId="3015A473" w14:textId="77777777" w:rsidR="00A60963" w:rsidRPr="00A461A5" w:rsidRDefault="00A60963" w:rsidP="00A60963">
      <w:r>
        <w:rPr>
          <w:b/>
          <w:bCs/>
        </w:rPr>
        <w:t xml:space="preserve">a, </w:t>
      </w:r>
      <w:r>
        <w:t xml:space="preserve">Schematic of the </w:t>
      </w:r>
      <w:r>
        <w:rPr>
          <w:rFonts w:ascii="Calibri" w:eastAsia="Times New Roman" w:hAnsi="Calibri" w:cs="Calibri"/>
          <w:i/>
          <w:iCs/>
        </w:rPr>
        <w:t>piggyBac</w:t>
      </w:r>
      <w:r>
        <w:rPr>
          <w:rFonts w:ascii="Calibri" w:eastAsia="Times New Roman" w:hAnsi="Calibri" w:cs="Calibri"/>
        </w:rPr>
        <w:t xml:space="preserve"> transposon-based </w:t>
      </w:r>
      <w:r>
        <w:rPr>
          <w:rFonts w:eastAsia="Times New Roman"/>
        </w:rPr>
        <w:t xml:space="preserve">vectors </w:t>
      </w:r>
      <w:r>
        <w:t xml:space="preserve">used to introduce CD19CAR alongside iSynPro1(iSP)-driven GFP:ffluc or PD1:MyD88 into primary human T cells. </w:t>
      </w:r>
    </w:p>
    <w:p w14:paraId="4952AE69" w14:textId="77777777" w:rsidR="00A60963" w:rsidRPr="00D62BC6" w:rsidRDefault="00A60963" w:rsidP="00A60963">
      <w:pPr>
        <w:rPr>
          <w:b/>
        </w:rPr>
      </w:pPr>
      <w:r>
        <w:rPr>
          <w:b/>
          <w:bCs/>
        </w:rPr>
        <w:t xml:space="preserve">b, </w:t>
      </w:r>
      <w:r>
        <w:t xml:space="preserve">Percent of cells expressing surface markers HER2tG and EGFRt population by flow cytometry in unstimulated or Raji-stimulated T cells. Data are mean </w:t>
      </w:r>
      <w:r>
        <w:rPr>
          <w:rFonts w:cstheme="minorHAnsi"/>
        </w:rPr>
        <w:t xml:space="preserve">± </w:t>
      </w:r>
      <w:r>
        <w:t>s.e.m. (</w:t>
      </w:r>
      <w:r>
        <w:rPr>
          <w:i/>
        </w:rPr>
        <w:t>n</w:t>
      </w:r>
      <w:r>
        <w:rPr>
          <w:i/>
          <w:iCs/>
        </w:rPr>
        <w:t xml:space="preserve"> </w:t>
      </w:r>
      <w:r>
        <w:t>= 3 donors).</w:t>
      </w:r>
    </w:p>
    <w:p w14:paraId="03F9DBCC" w14:textId="77777777" w:rsidR="00A60963" w:rsidRDefault="00A60963" w:rsidP="00A60963">
      <w:r>
        <w:rPr>
          <w:b/>
          <w:bCs/>
        </w:rPr>
        <w:t xml:space="preserve">c, </w:t>
      </w:r>
      <w:r>
        <w:t>Experimental schema for cell stimulation with CD19t</w:t>
      </w:r>
      <w:r w:rsidRPr="0067374F">
        <w:rPr>
          <w:vertAlign w:val="superscript"/>
        </w:rPr>
        <w:t>+</w:t>
      </w:r>
      <w:r>
        <w:t>/mCherry</w:t>
      </w:r>
      <w:r w:rsidRPr="0067374F">
        <w:rPr>
          <w:vertAlign w:val="superscript"/>
        </w:rPr>
        <w:t>+</w:t>
      </w:r>
      <w:r>
        <w:rPr>
          <w:vertAlign w:val="superscript"/>
        </w:rPr>
        <w:t xml:space="preserve"> </w:t>
      </w:r>
      <w:r>
        <w:t xml:space="preserve">Be2 target cells in preparation for RNAseq studies. </w:t>
      </w:r>
    </w:p>
    <w:p w14:paraId="2371D8EF" w14:textId="77777777" w:rsidR="00A60963" w:rsidRPr="004C4A1D" w:rsidRDefault="00A60963" w:rsidP="00A60963">
      <w:r>
        <w:rPr>
          <w:b/>
          <w:bCs/>
        </w:rPr>
        <w:t xml:space="preserve">d, </w:t>
      </w:r>
      <w:r>
        <w:t>Volcano plot showing gene expression differences between stimulated CD4</w:t>
      </w:r>
      <w:r w:rsidRPr="00A461A5">
        <w:rPr>
          <w:vertAlign w:val="superscript"/>
        </w:rPr>
        <w:t>+</w:t>
      </w:r>
      <w:r>
        <w:t xml:space="preserve"> PD1:MyD88-expressing T cells vs stimulated CD4</w:t>
      </w:r>
      <w:r w:rsidRPr="00B546BA">
        <w:rPr>
          <w:vertAlign w:val="superscript"/>
        </w:rPr>
        <w:t>+</w:t>
      </w:r>
      <w:r>
        <w:t xml:space="preserve"> GFP:ffluc-expressing T cells. Differentially expressed genes, highlighted in color, met the following thresholds: </w:t>
      </w:r>
      <w:r>
        <w:rPr>
          <w:rStyle w:val="ui-provider"/>
        </w:rPr>
        <w:t>FDR &lt;0.01, a two-sided raw p value &lt;0.01 and |log</w:t>
      </w:r>
      <w:r>
        <w:rPr>
          <w:rStyle w:val="ui-provider"/>
          <w:i/>
          <w:iCs/>
        </w:rPr>
        <w:t>2</w:t>
      </w:r>
      <w:r>
        <w:rPr>
          <w:rStyle w:val="ui-provider"/>
        </w:rPr>
        <w:t xml:space="preserve">(fold change)| &gt;=1. Up-regulated genes in PD1:MyD88-expessing cells are highlighted in red, and down-regulated </w:t>
      </w:r>
      <w:r>
        <w:rPr>
          <w:rStyle w:val="ui-provider"/>
        </w:rPr>
        <w:lastRenderedPageBreak/>
        <w:t>genes in PD1:MyD88 are highlighted in blue. Genes of interest within differentially expressed genes are annotated.</w:t>
      </w:r>
    </w:p>
    <w:p w14:paraId="619C08A9" w14:textId="77777777" w:rsidR="00A60963" w:rsidRDefault="00A60963" w:rsidP="00A60963">
      <w:pPr>
        <w:rPr>
          <w:b/>
          <w:bCs/>
        </w:rPr>
      </w:pPr>
      <w:r>
        <w:rPr>
          <w:b/>
          <w:bCs/>
        </w:rPr>
        <w:t>e</w:t>
      </w:r>
      <w:r w:rsidRPr="000C1943">
        <w:rPr>
          <w:b/>
          <w:bCs/>
        </w:rPr>
        <w:t>,</w:t>
      </w:r>
      <w:r>
        <w:rPr>
          <w:b/>
          <w:bCs/>
        </w:rPr>
        <w:t xml:space="preserve"> </w:t>
      </w:r>
      <w:r>
        <w:t>Volcano plot showing gene expression differences between stimulated CD8</w:t>
      </w:r>
      <w:r w:rsidRPr="00B546BA">
        <w:rPr>
          <w:vertAlign w:val="superscript"/>
        </w:rPr>
        <w:t>+</w:t>
      </w:r>
      <w:r>
        <w:t xml:space="preserve"> PD1:MyD88-expressing T cells vs stimulated CD8</w:t>
      </w:r>
      <w:r w:rsidRPr="00B546BA">
        <w:rPr>
          <w:vertAlign w:val="superscript"/>
        </w:rPr>
        <w:t>+</w:t>
      </w:r>
      <w:r>
        <w:t xml:space="preserve"> GFP:ffluc-expressing T cells. All formatting and analysis match part </w:t>
      </w:r>
      <w:r w:rsidRPr="00A461A5">
        <w:rPr>
          <w:b/>
        </w:rPr>
        <w:t>d</w:t>
      </w:r>
      <w:r>
        <w:t xml:space="preserve">. </w:t>
      </w:r>
    </w:p>
    <w:p w14:paraId="3A05324E" w14:textId="77777777" w:rsidR="00A60963" w:rsidRDefault="00A60963" w:rsidP="00A60963">
      <w:pPr>
        <w:rPr>
          <w:highlight w:val="yellow"/>
        </w:rPr>
      </w:pPr>
      <w:r w:rsidDel="00CB5222">
        <w:rPr>
          <w:rStyle w:val="ui-provider"/>
        </w:rPr>
        <w:t xml:space="preserve">Illustration in part </w:t>
      </w:r>
      <w:r w:rsidDel="00CB5222">
        <w:rPr>
          <w:rStyle w:val="ui-provider"/>
          <w:b/>
          <w:bCs/>
        </w:rPr>
        <w:t>c</w:t>
      </w:r>
      <w:r w:rsidDel="00CB5222">
        <w:rPr>
          <w:rStyle w:val="ui-provider"/>
        </w:rPr>
        <w:t xml:space="preserve"> was generated using BioRender.</w:t>
      </w:r>
      <w:r>
        <w:rPr>
          <w:highlight w:val="yellow"/>
        </w:rPr>
        <w:br w:type="page"/>
      </w:r>
    </w:p>
    <w:p w14:paraId="7467BE4A" w14:textId="77777777" w:rsidR="00A60963" w:rsidRDefault="00A60963" w:rsidP="00A60963">
      <w:pPr>
        <w:rPr>
          <w:b/>
          <w:bCs/>
        </w:rPr>
      </w:pPr>
      <w:r>
        <w:rPr>
          <w:b/>
          <w:bCs/>
          <w:noProof/>
          <w14:ligatures w14:val="standardContextual"/>
        </w:rPr>
        <w:lastRenderedPageBreak/>
        <w:drawing>
          <wp:inline distT="0" distB="0" distL="0" distR="0" wp14:anchorId="1379F495" wp14:editId="48A8A922">
            <wp:extent cx="5943600" cy="3180080"/>
            <wp:effectExtent l="0" t="0" r="0" b="1270"/>
            <wp:docPr id="24" name="Picture 2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A screenshot of a computer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C028F" w14:textId="77777777" w:rsidR="00A60963" w:rsidRDefault="00A60963" w:rsidP="00A60963">
      <w:pPr>
        <w:rPr>
          <w:b/>
          <w:bCs/>
        </w:rPr>
      </w:pPr>
      <w:r>
        <w:rPr>
          <w:b/>
          <w:bCs/>
        </w:rPr>
        <w:t>Extended Data Fig. 7 | Characterization of a potency enhancement transgene under iSynPro1 regulation.</w:t>
      </w:r>
    </w:p>
    <w:p w14:paraId="40FB1485" w14:textId="77777777" w:rsidR="00A60963" w:rsidRDefault="00A60963" w:rsidP="00A60963">
      <w:pPr>
        <w:rPr>
          <w:b/>
          <w:bCs/>
        </w:rPr>
      </w:pPr>
      <w:r>
        <w:rPr>
          <w:b/>
          <w:bCs/>
        </w:rPr>
        <w:t xml:space="preserve">a, </w:t>
      </w:r>
      <w:r>
        <w:t>Flow cytometry of CD4</w:t>
      </w:r>
      <w:r w:rsidRPr="00FC155B">
        <w:rPr>
          <w:vertAlign w:val="superscript"/>
        </w:rPr>
        <w:t>+</w:t>
      </w:r>
      <w:r>
        <w:t xml:space="preserve"> effectors from a representative donor showing surface marker expression of EF1- and iSynPro1-driven cassettes in unstimulated or Raji stimulated T cells.</w:t>
      </w:r>
    </w:p>
    <w:p w14:paraId="7B4F13B8" w14:textId="77777777" w:rsidR="00A60963" w:rsidRDefault="00A60963" w:rsidP="00A60963">
      <w:pPr>
        <w:rPr>
          <w:b/>
          <w:bCs/>
        </w:rPr>
      </w:pPr>
      <w:r>
        <w:rPr>
          <w:b/>
          <w:bCs/>
        </w:rPr>
        <w:t xml:space="preserve">b, </w:t>
      </w:r>
      <w:r>
        <w:t>Percent of cells expressing surface marker HER2tG among the EGFRt</w:t>
      </w:r>
      <w:r w:rsidRPr="00A461A5">
        <w:rPr>
          <w:vertAlign w:val="superscript"/>
        </w:rPr>
        <w:t>+</w:t>
      </w:r>
      <w:r>
        <w:t xml:space="preserve"> population by flow cytometry in unstimulated or Raji stimulated T cells. Data are mean </w:t>
      </w:r>
      <w:r>
        <w:rPr>
          <w:rFonts w:cstheme="minorHAnsi"/>
        </w:rPr>
        <w:t xml:space="preserve">± </w:t>
      </w:r>
      <w:r>
        <w:t>s.e.m. (</w:t>
      </w:r>
      <w:r>
        <w:rPr>
          <w:i/>
        </w:rPr>
        <w:t>n</w:t>
      </w:r>
      <w:r>
        <w:rPr>
          <w:i/>
          <w:iCs/>
        </w:rPr>
        <w:t xml:space="preserve"> </w:t>
      </w:r>
      <w:r>
        <w:t>= 3 donors).</w:t>
      </w:r>
    </w:p>
    <w:p w14:paraId="23B47F25" w14:textId="77777777" w:rsidR="00A60963" w:rsidRDefault="00A60963" w:rsidP="00A60963">
      <w:r>
        <w:rPr>
          <w:b/>
          <w:bCs/>
        </w:rPr>
        <w:t xml:space="preserve">c, </w:t>
      </w:r>
      <w:r>
        <w:t>Experimental schema for Incucyte assay monitoring tumor control upon recursive additions of CD19t</w:t>
      </w:r>
      <w:r w:rsidRPr="0067374F">
        <w:rPr>
          <w:vertAlign w:val="superscript"/>
        </w:rPr>
        <w:t>+</w:t>
      </w:r>
      <w:r>
        <w:t>/mCherry</w:t>
      </w:r>
      <w:r w:rsidRPr="0067374F">
        <w:rPr>
          <w:vertAlign w:val="superscript"/>
        </w:rPr>
        <w:t>+</w:t>
      </w:r>
      <w:r>
        <w:rPr>
          <w:vertAlign w:val="superscript"/>
        </w:rPr>
        <w:t xml:space="preserve"> </w:t>
      </w:r>
      <w:r>
        <w:t>Be2 target cells.</w:t>
      </w:r>
    </w:p>
    <w:p w14:paraId="5E7E674F" w14:textId="77777777" w:rsidR="00A60963" w:rsidRDefault="00A60963" w:rsidP="00A60963">
      <w:r>
        <w:rPr>
          <w:b/>
          <w:bCs/>
        </w:rPr>
        <w:t xml:space="preserve">d, </w:t>
      </w:r>
      <w:r>
        <w:t xml:space="preserve">Time-course of CAR T cell control of tumor growth in one representative donor. Data are represented as mean </w:t>
      </w:r>
      <w:r w:rsidRPr="458BACED">
        <w:t xml:space="preserve">± </w:t>
      </w:r>
      <w:r>
        <w:t xml:space="preserve">s.e.m. (top). Bar charts showing average tumor presence at end of assay. Data are represented as mean </w:t>
      </w:r>
      <w:r w:rsidRPr="458BACED">
        <w:t xml:space="preserve">± </w:t>
      </w:r>
      <w:r>
        <w:t xml:space="preserve">s.e.m. (n = 3 donors) (bottom). </w:t>
      </w:r>
      <w:r w:rsidRPr="00A461A5">
        <w:rPr>
          <w:i/>
        </w:rPr>
        <w:t>P</w:t>
      </w:r>
      <w:r>
        <w:t xml:space="preserve"> values were determined</w:t>
      </w:r>
      <w:r w:rsidDel="00DC1F8B">
        <w:t xml:space="preserve"> </w:t>
      </w:r>
      <w:r>
        <w:t>by Dunnett’s multiple comparison test.</w:t>
      </w:r>
    </w:p>
    <w:p w14:paraId="324E3CBC" w14:textId="77777777" w:rsidR="00A60963" w:rsidRDefault="00A60963" w:rsidP="00A60963">
      <w:r>
        <w:rPr>
          <w:b/>
          <w:bCs/>
        </w:rPr>
        <w:t>e</w:t>
      </w:r>
      <w:r w:rsidRPr="000C1943">
        <w:rPr>
          <w:b/>
          <w:bCs/>
        </w:rPr>
        <w:t>,</w:t>
      </w:r>
      <w:r>
        <w:t xml:space="preserve"> Time-course of CAR T cell proliferation in one representative donor. Data are mean </w:t>
      </w:r>
      <w:r w:rsidRPr="3769F83D">
        <w:t xml:space="preserve">± </w:t>
      </w:r>
      <w:r>
        <w:t xml:space="preserve">s.e.m. or triplicate wells (top). Bar charts showing average CAR T cell accumulation at end of assay in three donors </w:t>
      </w:r>
      <w:r w:rsidRPr="3769F83D">
        <w:t xml:space="preserve">± </w:t>
      </w:r>
      <w:r>
        <w:t xml:space="preserve">s.e.m. (bottom). </w:t>
      </w:r>
      <w:r w:rsidRPr="00A461A5">
        <w:rPr>
          <w:i/>
        </w:rPr>
        <w:t>P</w:t>
      </w:r>
      <w:r>
        <w:t xml:space="preserve"> values were determined comparing groups to the average of 19CAR in three donors, utilizing Dunnett’s multiple comparison test. (n = 3 donors). </w:t>
      </w:r>
      <w:r>
        <w:br/>
      </w:r>
      <w:r>
        <w:br/>
      </w:r>
      <w:r w:rsidRPr="00996131">
        <w:rPr>
          <w:i/>
          <w:iCs/>
        </w:rPr>
        <w:t>P</w:t>
      </w:r>
      <w:r>
        <w:t xml:space="preserve"> values are denoted: NS, </w:t>
      </w:r>
      <w:r w:rsidRPr="00A461A5">
        <w:rPr>
          <w:i/>
        </w:rPr>
        <w:t xml:space="preserve">P </w:t>
      </w:r>
      <w:r w:rsidRPr="00A461A5">
        <w:t xml:space="preserve">&gt; 0.05 *, </w:t>
      </w:r>
      <w:r w:rsidRPr="007A7F23">
        <w:rPr>
          <w:i/>
          <w:iCs/>
        </w:rPr>
        <w:t xml:space="preserve">P </w:t>
      </w:r>
      <w:r w:rsidRPr="007A7F23">
        <w:t xml:space="preserve">&lt; 0.05, ***, </w:t>
      </w:r>
      <w:r w:rsidRPr="007A7F23">
        <w:rPr>
          <w:i/>
          <w:iCs/>
        </w:rPr>
        <w:t xml:space="preserve">P </w:t>
      </w:r>
      <w:r w:rsidRPr="007A7F23">
        <w:t>&lt; 0.001</w:t>
      </w:r>
      <w:r>
        <w:t xml:space="preserve">. Exact </w:t>
      </w:r>
      <w:r w:rsidRPr="00A461A5">
        <w:rPr>
          <w:i/>
        </w:rPr>
        <w:t>P</w:t>
      </w:r>
      <w:r>
        <w:t xml:space="preserve"> values are available in </w:t>
      </w:r>
      <w:r w:rsidRPr="007232CC">
        <w:rPr>
          <w:b/>
          <w:bCs/>
        </w:rPr>
        <w:t>Supplemental Table 5</w:t>
      </w:r>
      <w:r>
        <w:t xml:space="preserve">. </w:t>
      </w:r>
      <w:r>
        <w:rPr>
          <w:rStyle w:val="ui-provider"/>
        </w:rPr>
        <w:t xml:space="preserve">Illustration in part </w:t>
      </w:r>
      <w:r>
        <w:rPr>
          <w:rStyle w:val="ui-provider"/>
          <w:b/>
          <w:bCs/>
        </w:rPr>
        <w:t>c</w:t>
      </w:r>
      <w:r>
        <w:rPr>
          <w:rStyle w:val="ui-provider"/>
        </w:rPr>
        <w:t xml:space="preserve"> was generated using BioRender.</w:t>
      </w:r>
    </w:p>
    <w:p w14:paraId="7E7CB583" w14:textId="77777777" w:rsidR="00A60963" w:rsidRDefault="00A60963" w:rsidP="00A60963">
      <w:pPr>
        <w:spacing w:after="0" w:line="240" w:lineRule="auto"/>
      </w:pPr>
      <w:r>
        <w:br w:type="page"/>
      </w:r>
    </w:p>
    <w:p w14:paraId="114C4BCB" w14:textId="77777777" w:rsidR="00A60963" w:rsidRDefault="00A60963" w:rsidP="00A60963">
      <w:pPr>
        <w:tabs>
          <w:tab w:val="num" w:pos="720"/>
        </w:tabs>
        <w:spacing w:before="100" w:beforeAutospacing="1" w:after="100" w:afterAutospacing="1"/>
        <w:rPr>
          <w:rFonts w:cstheme="minorHAnsi"/>
          <w:b/>
          <w:bCs/>
        </w:rPr>
      </w:pPr>
      <w:r>
        <w:rPr>
          <w:rFonts w:cstheme="minorHAnsi"/>
          <w:b/>
          <w:bCs/>
          <w:noProof/>
          <w14:ligatures w14:val="standardContextual"/>
        </w:rPr>
        <w:lastRenderedPageBreak/>
        <w:drawing>
          <wp:inline distT="0" distB="0" distL="0" distR="0" wp14:anchorId="096D4F40" wp14:editId="4186122E">
            <wp:extent cx="5724156" cy="5574803"/>
            <wp:effectExtent l="0" t="0" r="0" b="6985"/>
            <wp:docPr id="25" name="Picture 2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screenshot of a compute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156" cy="5574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6C6D">
        <w:rPr>
          <w:rFonts w:cstheme="minorHAnsi"/>
          <w:b/>
          <w:bCs/>
        </w:rPr>
        <w:t xml:space="preserve"> </w:t>
      </w:r>
    </w:p>
    <w:p w14:paraId="37045F1F" w14:textId="77777777" w:rsidR="00A60963" w:rsidRDefault="00A60963" w:rsidP="00A60963">
      <w:pPr>
        <w:tabs>
          <w:tab w:val="num" w:pos="720"/>
        </w:tabs>
        <w:spacing w:before="100" w:beforeAutospacing="1" w:after="100" w:afterAutospacing="1"/>
        <w:rPr>
          <w:rFonts w:cstheme="minorHAnsi"/>
          <w:b/>
          <w:bCs/>
          <w:i/>
          <w:iCs/>
        </w:rPr>
      </w:pPr>
      <w:r w:rsidRPr="00576C6D">
        <w:rPr>
          <w:rFonts w:cstheme="minorHAnsi"/>
          <w:b/>
          <w:bCs/>
        </w:rPr>
        <w:t xml:space="preserve">Extended Data Figure </w:t>
      </w:r>
      <w:r>
        <w:rPr>
          <w:rFonts w:cstheme="minorHAnsi"/>
          <w:b/>
          <w:bCs/>
        </w:rPr>
        <w:t>8 |</w:t>
      </w:r>
      <w:r w:rsidRPr="00576C6D">
        <w:rPr>
          <w:rFonts w:cstheme="minorHAnsi"/>
          <w:b/>
          <w:bCs/>
        </w:rPr>
        <w:t xml:space="preserve"> iSynPro1 regulation</w:t>
      </w:r>
      <w:r>
        <w:rPr>
          <w:rFonts w:cstheme="minorHAnsi"/>
          <w:b/>
          <w:bCs/>
        </w:rPr>
        <w:t xml:space="preserve"> of a mitogenic transgene</w:t>
      </w:r>
      <w:r w:rsidRPr="00576C6D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>prevents T cell overgrowth and subsequent toxicity</w:t>
      </w:r>
      <w:r w:rsidRPr="00576C6D">
        <w:rPr>
          <w:rFonts w:cstheme="minorHAnsi"/>
          <w:b/>
          <w:bCs/>
          <w:i/>
          <w:iCs/>
        </w:rPr>
        <w:t xml:space="preserve"> </w:t>
      </w:r>
      <w:r>
        <w:rPr>
          <w:rFonts w:cstheme="minorHAnsi"/>
          <w:b/>
          <w:bCs/>
          <w:i/>
          <w:iCs/>
        </w:rPr>
        <w:t xml:space="preserve">in vivo. </w:t>
      </w:r>
    </w:p>
    <w:p w14:paraId="3DC200D4" w14:textId="77777777" w:rsidR="00A60963" w:rsidRDefault="00A60963" w:rsidP="00A60963">
      <w:pPr>
        <w:tabs>
          <w:tab w:val="num" w:pos="720"/>
        </w:tabs>
        <w:spacing w:before="100" w:beforeAutospacing="1" w:after="100" w:afterAutospacing="1"/>
        <w:rPr>
          <w:rFonts w:cstheme="minorHAnsi"/>
        </w:rPr>
      </w:pPr>
      <w:r w:rsidRPr="00140726">
        <w:rPr>
          <w:rFonts w:cstheme="minorHAnsi"/>
          <w:b/>
          <w:bCs/>
        </w:rPr>
        <w:t>a,</w:t>
      </w:r>
      <w:r>
        <w:rPr>
          <w:rFonts w:cstheme="minorHAnsi"/>
        </w:rPr>
        <w:t xml:space="preserve"> Schematics of constructs used to introduce constitutively expressed or iSynPro1-regulated transgenes alongside a constitutively expressed CD19CAR polycistron into primary human T cells. </w:t>
      </w:r>
    </w:p>
    <w:p w14:paraId="56A69351" w14:textId="77777777" w:rsidR="00A60963" w:rsidRDefault="00A60963" w:rsidP="00A60963">
      <w:pPr>
        <w:tabs>
          <w:tab w:val="num" w:pos="720"/>
        </w:tabs>
        <w:spacing w:before="100" w:beforeAutospacing="1" w:after="100" w:afterAutospacing="1"/>
        <w:rPr>
          <w:rFonts w:cstheme="minorHAnsi"/>
        </w:rPr>
      </w:pPr>
      <w:r w:rsidRPr="00140726">
        <w:rPr>
          <w:rFonts w:cstheme="minorHAnsi"/>
          <w:b/>
          <w:bCs/>
        </w:rPr>
        <w:t>b,</w:t>
      </w:r>
      <w:r>
        <w:rPr>
          <w:rFonts w:cstheme="minorHAnsi"/>
        </w:rPr>
        <w:t xml:space="preserve"> Images of spleens and livers taken from a mouse treated with CD19CAR T cells constitutively expressing LASI-7/21 (“LASI-7/21”) and an untreated control mouse (“ctl”). </w:t>
      </w:r>
    </w:p>
    <w:p w14:paraId="4F6E5D25" w14:textId="77777777" w:rsidR="00A60963" w:rsidRDefault="00A60963" w:rsidP="00A60963">
      <w:pPr>
        <w:tabs>
          <w:tab w:val="num" w:pos="720"/>
        </w:tabs>
        <w:spacing w:before="100" w:beforeAutospacing="1" w:after="100" w:afterAutospacing="1"/>
        <w:rPr>
          <w:rFonts w:cstheme="minorHAnsi"/>
        </w:rPr>
      </w:pPr>
      <w:r w:rsidRPr="00140726">
        <w:rPr>
          <w:rFonts w:cstheme="minorHAnsi"/>
          <w:b/>
          <w:bCs/>
        </w:rPr>
        <w:t>c,</w:t>
      </w:r>
      <w:r>
        <w:rPr>
          <w:rFonts w:cstheme="minorHAnsi"/>
        </w:rPr>
        <w:t xml:space="preserve"> Experimental outline for </w:t>
      </w:r>
      <w:r>
        <w:rPr>
          <w:rFonts w:cstheme="minorHAnsi"/>
          <w:i/>
          <w:iCs/>
        </w:rPr>
        <w:t xml:space="preserve">in vivo </w:t>
      </w:r>
      <w:r>
        <w:rPr>
          <w:rFonts w:cstheme="minorHAnsi"/>
        </w:rPr>
        <w:t xml:space="preserve">testing of CD19CAR T cells. </w:t>
      </w:r>
    </w:p>
    <w:p w14:paraId="57F842A9" w14:textId="77777777" w:rsidR="00A60963" w:rsidRDefault="00A60963" w:rsidP="00A60963">
      <w:pPr>
        <w:tabs>
          <w:tab w:val="num" w:pos="720"/>
        </w:tabs>
        <w:spacing w:before="100" w:beforeAutospacing="1" w:after="100" w:afterAutospacing="1"/>
        <w:rPr>
          <w:rFonts w:cstheme="minorHAnsi"/>
        </w:rPr>
      </w:pPr>
      <w:r w:rsidRPr="00140726">
        <w:rPr>
          <w:rFonts w:cstheme="minorHAnsi"/>
          <w:b/>
          <w:bCs/>
        </w:rPr>
        <w:t>d,</w:t>
      </w:r>
      <w:r>
        <w:rPr>
          <w:rFonts w:cstheme="minorHAnsi"/>
        </w:rPr>
        <w:t xml:space="preserve"> Tumor flux values in mice treated with different T cell groups. Each line corresponds to an individual mouse. </w:t>
      </w:r>
    </w:p>
    <w:p w14:paraId="6A222EA6" w14:textId="77777777" w:rsidR="00A60963" w:rsidRDefault="00A60963" w:rsidP="00A60963">
      <w:pPr>
        <w:tabs>
          <w:tab w:val="num" w:pos="720"/>
        </w:tabs>
        <w:spacing w:before="100" w:beforeAutospacing="1" w:after="100" w:afterAutospacing="1"/>
        <w:rPr>
          <w:rFonts w:cstheme="minorHAnsi"/>
        </w:rPr>
      </w:pPr>
      <w:r w:rsidRPr="00140726">
        <w:rPr>
          <w:rFonts w:cstheme="minorHAnsi"/>
          <w:b/>
          <w:bCs/>
        </w:rPr>
        <w:lastRenderedPageBreak/>
        <w:t>e,</w:t>
      </w:r>
      <w:r>
        <w:rPr>
          <w:rFonts w:cstheme="minorHAnsi"/>
        </w:rPr>
        <w:t xml:space="preserve"> </w:t>
      </w:r>
      <w:r w:rsidRPr="00B76C25">
        <w:rPr>
          <w:rFonts w:cstheme="minorHAnsi"/>
        </w:rPr>
        <w:t>Kaplan Meier survival curve</w:t>
      </w:r>
      <w:r>
        <w:rPr>
          <w:rFonts w:cstheme="minorHAnsi"/>
        </w:rPr>
        <w:t xml:space="preserve"> </w:t>
      </w:r>
      <w:r w:rsidRPr="00B76C25">
        <w:rPr>
          <w:rFonts w:cstheme="minorHAnsi"/>
        </w:rPr>
        <w:t xml:space="preserve">with statistics </w:t>
      </w:r>
      <w:r>
        <w:rPr>
          <w:rFonts w:cstheme="minorHAnsi"/>
        </w:rPr>
        <w:t xml:space="preserve">comparing Marker-Only and LASI-7/21 groups. </w:t>
      </w:r>
      <w:r w:rsidRPr="00A461A5">
        <w:rPr>
          <w:i/>
        </w:rPr>
        <w:t>P</w:t>
      </w:r>
      <w:r>
        <w:t xml:space="preserve"> values were determined by</w:t>
      </w:r>
      <w:r w:rsidRPr="00B76C25" w:rsidDel="00A743D1">
        <w:rPr>
          <w:rFonts w:cstheme="minorHAnsi"/>
        </w:rPr>
        <w:t xml:space="preserve"> </w:t>
      </w:r>
      <w:r w:rsidRPr="00B76C25">
        <w:rPr>
          <w:rFonts w:cstheme="minorHAnsi"/>
        </w:rPr>
        <w:t>Mantel-Cox test</w:t>
      </w:r>
      <w:r>
        <w:rPr>
          <w:rFonts w:cstheme="minorHAnsi"/>
        </w:rPr>
        <w:t>. (n = 5 mice per group).</w:t>
      </w:r>
    </w:p>
    <w:p w14:paraId="3C648DAA" w14:textId="77777777" w:rsidR="00A60963" w:rsidRDefault="00A60963" w:rsidP="00A60963">
      <w:pPr>
        <w:tabs>
          <w:tab w:val="num" w:pos="720"/>
        </w:tabs>
        <w:spacing w:before="100" w:beforeAutospacing="1" w:after="100" w:afterAutospacing="1"/>
        <w:rPr>
          <w:rFonts w:cstheme="minorHAnsi"/>
        </w:rPr>
      </w:pPr>
      <w:r w:rsidRPr="00140726">
        <w:rPr>
          <w:rFonts w:cstheme="minorHAnsi"/>
          <w:b/>
          <w:bCs/>
        </w:rPr>
        <w:t>f,</w:t>
      </w:r>
      <w:r>
        <w:rPr>
          <w:rFonts w:cstheme="minorHAnsi"/>
        </w:rPr>
        <w:t xml:space="preserve"> Longitudinal tracking of T cell concentrations in the peripheral blood of mice, with each line representing an individual mouse. </w:t>
      </w:r>
    </w:p>
    <w:p w14:paraId="789B9A28" w14:textId="77777777" w:rsidR="00A60963" w:rsidRDefault="00A60963" w:rsidP="00A60963">
      <w:pPr>
        <w:tabs>
          <w:tab w:val="num" w:pos="720"/>
        </w:tabs>
        <w:spacing w:before="100" w:beforeAutospacing="1" w:after="100" w:afterAutospacing="1"/>
        <w:rPr>
          <w:rFonts w:cstheme="minorHAnsi"/>
        </w:rPr>
      </w:pPr>
      <w:r w:rsidRPr="00140726">
        <w:rPr>
          <w:rFonts w:cstheme="minorHAnsi"/>
          <w:b/>
          <w:bCs/>
        </w:rPr>
        <w:t>g,</w:t>
      </w:r>
      <w:r>
        <w:rPr>
          <w:rFonts w:cstheme="minorHAnsi"/>
        </w:rPr>
        <w:t xml:space="preserve"> Flow cytometric analysis of LASI-7/21 expression in mice treated with CD19CAR T cells bearing constitutively expressed or iSynPro1-regulated LASI-7/21 at day 35 of study. </w:t>
      </w:r>
    </w:p>
    <w:p w14:paraId="0475E3DA" w14:textId="77777777" w:rsidR="00A60963" w:rsidRDefault="00A60963" w:rsidP="00A60963">
      <w:pPr>
        <w:tabs>
          <w:tab w:val="num" w:pos="720"/>
        </w:tabs>
        <w:spacing w:before="100" w:beforeAutospacing="1" w:after="100" w:afterAutospacing="1"/>
      </w:pPr>
      <w:r w:rsidRPr="00996131">
        <w:rPr>
          <w:i/>
          <w:iCs/>
        </w:rPr>
        <w:t>P</w:t>
      </w:r>
      <w:r>
        <w:t xml:space="preserve"> value is denoted</w:t>
      </w:r>
      <w:r w:rsidRPr="009441F3">
        <w:t>:</w:t>
      </w:r>
      <w:r>
        <w:t xml:space="preserve"> </w:t>
      </w:r>
      <w:r w:rsidRPr="00A461A5">
        <w:t xml:space="preserve">*, </w:t>
      </w:r>
      <w:r w:rsidRPr="00A461A5">
        <w:rPr>
          <w:i/>
        </w:rPr>
        <w:t xml:space="preserve">P </w:t>
      </w:r>
      <w:r w:rsidRPr="00A461A5">
        <w:t>&lt; 0.05,</w:t>
      </w:r>
      <w:r>
        <w:t xml:space="preserve"> Exact </w:t>
      </w:r>
      <w:r w:rsidRPr="00A461A5">
        <w:rPr>
          <w:i/>
        </w:rPr>
        <w:t>P</w:t>
      </w:r>
      <w:r>
        <w:t xml:space="preserve"> value is available in </w:t>
      </w:r>
      <w:r w:rsidRPr="00A461A5">
        <w:rPr>
          <w:b/>
        </w:rPr>
        <w:t>Supplemental Table 5</w:t>
      </w:r>
      <w:r>
        <w:t xml:space="preserve">. </w:t>
      </w:r>
      <w:r>
        <w:rPr>
          <w:rStyle w:val="ui-provider"/>
        </w:rPr>
        <w:t xml:space="preserve">Illustration in part </w:t>
      </w:r>
      <w:r>
        <w:rPr>
          <w:rStyle w:val="ui-provider"/>
          <w:b/>
          <w:bCs/>
        </w:rPr>
        <w:t>c</w:t>
      </w:r>
      <w:r>
        <w:rPr>
          <w:rStyle w:val="ui-provider"/>
        </w:rPr>
        <w:t xml:space="preserve"> was generated using BioRender.</w:t>
      </w:r>
      <w:r>
        <w:br/>
      </w:r>
      <w:r>
        <w:br w:type="page"/>
      </w:r>
    </w:p>
    <w:p w14:paraId="39B2C44A" w14:textId="77777777" w:rsidR="00A60963" w:rsidRDefault="00A60963" w:rsidP="00A60963">
      <w:pPr>
        <w:tabs>
          <w:tab w:val="num" w:pos="720"/>
        </w:tabs>
        <w:spacing w:before="100" w:beforeAutospacing="1" w:after="100" w:afterAutospacing="1"/>
        <w:rPr>
          <w:rFonts w:cstheme="minorHAnsi"/>
          <w:b/>
          <w:bCs/>
        </w:rPr>
      </w:pPr>
      <w:r>
        <w:rPr>
          <w:rFonts w:cstheme="minorHAnsi"/>
          <w:b/>
          <w:bCs/>
          <w:noProof/>
          <w14:ligatures w14:val="standardContextual"/>
        </w:rPr>
        <w:lastRenderedPageBreak/>
        <w:drawing>
          <wp:inline distT="0" distB="0" distL="0" distR="0" wp14:anchorId="4F7456F0" wp14:editId="3D380210">
            <wp:extent cx="5943600" cy="3672840"/>
            <wp:effectExtent l="0" t="0" r="0" b="3810"/>
            <wp:docPr id="26" name="Picture 26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screenshot of a graph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1172A" w14:textId="77777777" w:rsidR="00A60963" w:rsidRPr="003C2474" w:rsidRDefault="00A60963" w:rsidP="00A60963">
      <w:pPr>
        <w:tabs>
          <w:tab w:val="num" w:pos="720"/>
        </w:tabs>
        <w:spacing w:before="100" w:beforeAutospacing="1" w:after="100" w:afterAutospacing="1"/>
        <w:rPr>
          <w:rFonts w:cstheme="minorHAnsi"/>
          <w:b/>
          <w:bCs/>
          <w:i/>
          <w:iCs/>
        </w:rPr>
      </w:pPr>
      <w:r w:rsidRPr="003C2474">
        <w:rPr>
          <w:rFonts w:cstheme="minorHAnsi"/>
          <w:b/>
          <w:bCs/>
        </w:rPr>
        <w:t xml:space="preserve">Extended Data Figure </w:t>
      </w:r>
      <w:r>
        <w:rPr>
          <w:rFonts w:cstheme="minorHAnsi"/>
          <w:b/>
          <w:bCs/>
        </w:rPr>
        <w:t>9</w:t>
      </w:r>
      <w:r w:rsidRPr="003C2474">
        <w:rPr>
          <w:rFonts w:cstheme="minorHAnsi"/>
          <w:b/>
          <w:bCs/>
        </w:rPr>
        <w:t xml:space="preserve"> | </w:t>
      </w:r>
      <w:r w:rsidRPr="003C2474">
        <w:rPr>
          <w:rStyle w:val="Strong"/>
          <w:rFonts w:cstheme="minorHAnsi"/>
        </w:rPr>
        <w:t xml:space="preserve">Quality </w:t>
      </w:r>
      <w:r>
        <w:rPr>
          <w:rStyle w:val="Strong"/>
          <w:rFonts w:cstheme="minorHAnsi"/>
        </w:rPr>
        <w:t>measurements</w:t>
      </w:r>
      <w:r w:rsidRPr="003C2474">
        <w:rPr>
          <w:rStyle w:val="Strong"/>
          <w:rFonts w:cstheme="minorHAnsi"/>
        </w:rPr>
        <w:t xml:space="preserve"> of iSynPro library reconstruction and assessment</w:t>
      </w:r>
    </w:p>
    <w:p w14:paraId="0282564A" w14:textId="77777777" w:rsidR="00A60963" w:rsidRPr="003C2474" w:rsidRDefault="00A60963" w:rsidP="00A60963">
      <w:pPr>
        <w:pStyle w:val="NormalWeb"/>
        <w:spacing w:after="240" w:afterAutospacing="0"/>
        <w:rPr>
          <w:rFonts w:asciiTheme="minorHAnsi" w:hAnsiTheme="minorHAnsi" w:cstheme="minorHAnsi"/>
          <w:sz w:val="22"/>
          <w:szCs w:val="22"/>
        </w:rPr>
      </w:pPr>
      <w:r w:rsidRPr="003C2474">
        <w:rPr>
          <w:rStyle w:val="Strong"/>
          <w:rFonts w:asciiTheme="minorHAnsi" w:eastAsia="SimSun" w:hAnsiTheme="minorHAnsi" w:cstheme="minorHAnsi"/>
          <w:sz w:val="22"/>
          <w:szCs w:val="22"/>
        </w:rPr>
        <w:t>a,</w:t>
      </w:r>
      <w:r>
        <w:rPr>
          <w:rStyle w:val="Strong"/>
          <w:rFonts w:asciiTheme="minorHAnsi" w:eastAsia="SimSun" w:hAnsiTheme="minorHAnsi" w:cstheme="minorHAnsi"/>
          <w:sz w:val="22"/>
          <w:szCs w:val="22"/>
        </w:rPr>
        <w:t xml:space="preserve"> </w:t>
      </w:r>
      <w:r w:rsidRPr="003C2474">
        <w:rPr>
          <w:rFonts w:asciiTheme="minorHAnsi" w:hAnsiTheme="minorHAnsi" w:cstheme="minorHAnsi"/>
          <w:sz w:val="22"/>
          <w:szCs w:val="22"/>
        </w:rPr>
        <w:t xml:space="preserve">Scatterplot showing </w:t>
      </w:r>
      <w:r w:rsidRPr="003C2474">
        <w:rPr>
          <w:rStyle w:val="Strong"/>
          <w:rFonts w:asciiTheme="minorHAnsi" w:eastAsia="SimSun" w:hAnsiTheme="minorHAnsi" w:cstheme="minorHAnsi"/>
          <w:i/>
          <w:iCs/>
          <w:sz w:val="22"/>
          <w:szCs w:val="22"/>
        </w:rPr>
        <w:t>readthrough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3C2474">
        <w:rPr>
          <w:rFonts w:asciiTheme="minorHAnsi" w:hAnsiTheme="minorHAnsi" w:cstheme="minorHAnsi"/>
          <w:sz w:val="22"/>
          <w:szCs w:val="22"/>
        </w:rPr>
        <w:t xml:space="preserve">and </w:t>
      </w:r>
      <w:r w:rsidRPr="003C2474">
        <w:rPr>
          <w:rStyle w:val="Strong"/>
          <w:rFonts w:asciiTheme="minorHAnsi" w:eastAsia="SimSun" w:hAnsiTheme="minorHAnsi" w:cstheme="minorHAnsi"/>
          <w:i/>
          <w:iCs/>
          <w:sz w:val="22"/>
          <w:szCs w:val="22"/>
        </w:rPr>
        <w:t>overlap</w:t>
      </w:r>
      <w:r w:rsidRPr="003C2474">
        <w:rPr>
          <w:rFonts w:asciiTheme="minorHAnsi" w:hAnsiTheme="minorHAnsi" w:cstheme="minorHAnsi"/>
          <w:sz w:val="22"/>
          <w:szCs w:val="22"/>
        </w:rPr>
        <w:t xml:space="preserve"> score probabilities for read pairs during contig reconstruction by </w:t>
      </w:r>
      <w:r w:rsidRPr="00C8505B">
        <w:rPr>
          <w:rStyle w:val="Strong"/>
          <w:rFonts w:asciiTheme="minorHAnsi" w:eastAsia="SimSun" w:hAnsiTheme="minorHAnsi" w:cstheme="minorHAnsi"/>
          <w:i/>
          <w:sz w:val="22"/>
          <w:szCs w:val="22"/>
        </w:rPr>
        <w:t>alignMerge</w:t>
      </w:r>
      <w:r w:rsidRPr="003C2474">
        <w:rPr>
          <w:rFonts w:asciiTheme="minorHAnsi" w:hAnsiTheme="minorHAnsi" w:cstheme="minorHAnsi"/>
          <w:sz w:val="22"/>
          <w:szCs w:val="22"/>
        </w:rPr>
        <w:t>. Legend shows final inferred length for reconstructed contigs.</w:t>
      </w:r>
    </w:p>
    <w:p w14:paraId="5D3518EB" w14:textId="77777777" w:rsidR="00A60963" w:rsidRPr="003C2474" w:rsidRDefault="00A60963" w:rsidP="00A60963">
      <w:pPr>
        <w:pStyle w:val="NormalWeb"/>
        <w:spacing w:after="240" w:afterAutospacing="0"/>
        <w:rPr>
          <w:rFonts w:asciiTheme="minorHAnsi" w:hAnsiTheme="minorHAnsi" w:cstheme="minorHAnsi"/>
          <w:sz w:val="22"/>
          <w:szCs w:val="22"/>
        </w:rPr>
      </w:pPr>
      <w:r w:rsidRPr="003C2474">
        <w:rPr>
          <w:rStyle w:val="Strong"/>
          <w:rFonts w:asciiTheme="minorHAnsi" w:eastAsia="SimSun" w:hAnsiTheme="minorHAnsi" w:cstheme="minorHAnsi"/>
          <w:sz w:val="22"/>
          <w:szCs w:val="22"/>
        </w:rPr>
        <w:t>b,</w:t>
      </w:r>
      <w:r>
        <w:rPr>
          <w:rStyle w:val="Strong"/>
          <w:rFonts w:asciiTheme="minorHAnsi" w:eastAsia="SimSun" w:hAnsiTheme="minorHAnsi" w:cstheme="minorHAnsi"/>
          <w:sz w:val="22"/>
          <w:szCs w:val="22"/>
        </w:rPr>
        <w:t xml:space="preserve"> </w:t>
      </w:r>
      <w:r w:rsidRPr="003C2474">
        <w:rPr>
          <w:rFonts w:asciiTheme="minorHAnsi" w:hAnsiTheme="minorHAnsi" w:cstheme="minorHAnsi"/>
          <w:sz w:val="22"/>
          <w:szCs w:val="22"/>
        </w:rPr>
        <w:t xml:space="preserve">Barplot displaying progressive TRE contig denoising for different libraries following successive algorithmic iterations of </w:t>
      </w:r>
      <w:r w:rsidRPr="00C8505B">
        <w:rPr>
          <w:rFonts w:asciiTheme="minorHAnsi" w:hAnsiTheme="minorHAnsi" w:cstheme="minorHAnsi"/>
          <w:i/>
          <w:sz w:val="22"/>
          <w:szCs w:val="22"/>
        </w:rPr>
        <w:t>TREsCaller</w:t>
      </w:r>
      <w:r w:rsidRPr="003C2474">
        <w:rPr>
          <w:rFonts w:asciiTheme="minorHAnsi" w:hAnsiTheme="minorHAnsi" w:cstheme="minorHAnsi"/>
          <w:sz w:val="22"/>
          <w:szCs w:val="22"/>
        </w:rPr>
        <w:t xml:space="preserve"> mapping: exact (for perfect match), inexact 1 (for one mismatch) and inexact 2 (for pairwise alignment)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5909C684" w14:textId="77777777" w:rsidR="00A60963" w:rsidRPr="003C2474" w:rsidRDefault="00A60963" w:rsidP="00A60963">
      <w:pPr>
        <w:pStyle w:val="NormalWeb"/>
        <w:spacing w:after="240" w:afterAutospacing="0"/>
        <w:rPr>
          <w:rFonts w:asciiTheme="minorHAnsi" w:hAnsiTheme="minorHAnsi" w:cstheme="minorHAnsi"/>
          <w:sz w:val="22"/>
          <w:szCs w:val="22"/>
        </w:rPr>
      </w:pPr>
      <w:r w:rsidRPr="003C2474">
        <w:rPr>
          <w:rStyle w:val="Strong"/>
          <w:rFonts w:asciiTheme="minorHAnsi" w:eastAsia="SimSun" w:hAnsiTheme="minorHAnsi" w:cstheme="minorHAnsi"/>
          <w:sz w:val="22"/>
          <w:szCs w:val="22"/>
        </w:rPr>
        <w:t>c,</w:t>
      </w:r>
      <w:r>
        <w:rPr>
          <w:rStyle w:val="Strong"/>
          <w:rFonts w:asciiTheme="minorHAnsi" w:eastAsia="SimSun" w:hAnsiTheme="minorHAnsi" w:cstheme="minorHAnsi"/>
          <w:sz w:val="22"/>
          <w:szCs w:val="22"/>
        </w:rPr>
        <w:t xml:space="preserve"> </w:t>
      </w:r>
      <w:r w:rsidRPr="003C2474">
        <w:rPr>
          <w:rFonts w:asciiTheme="minorHAnsi" w:hAnsiTheme="minorHAnsi" w:cstheme="minorHAnsi"/>
          <w:sz w:val="22"/>
          <w:szCs w:val="22"/>
        </w:rPr>
        <w:t>Cluster parameter optimization evaluating within cluster sum of squares with increasing # clusters.</w:t>
      </w:r>
    </w:p>
    <w:p w14:paraId="671189F2" w14:textId="77777777" w:rsidR="00A60963" w:rsidRPr="003C2474" w:rsidRDefault="00A60963" w:rsidP="00A60963">
      <w:pPr>
        <w:pStyle w:val="NormalWeb"/>
        <w:spacing w:after="240" w:afterAutospacing="0"/>
        <w:rPr>
          <w:rFonts w:asciiTheme="minorHAnsi" w:hAnsiTheme="minorHAnsi" w:cstheme="minorHAnsi"/>
          <w:sz w:val="22"/>
          <w:szCs w:val="22"/>
        </w:rPr>
      </w:pPr>
      <w:r w:rsidRPr="003C2474">
        <w:rPr>
          <w:rStyle w:val="Strong"/>
          <w:rFonts w:asciiTheme="minorHAnsi" w:eastAsia="SimSun" w:hAnsiTheme="minorHAnsi" w:cstheme="minorHAnsi"/>
          <w:sz w:val="22"/>
          <w:szCs w:val="22"/>
        </w:rPr>
        <w:t>d,</w:t>
      </w:r>
      <w:r>
        <w:rPr>
          <w:rStyle w:val="Strong"/>
          <w:rFonts w:asciiTheme="minorHAnsi" w:eastAsia="SimSun" w:hAnsiTheme="minorHAnsi" w:cstheme="minorHAnsi"/>
          <w:sz w:val="22"/>
          <w:szCs w:val="22"/>
        </w:rPr>
        <w:t xml:space="preserve"> </w:t>
      </w:r>
      <w:r w:rsidRPr="003C2474">
        <w:rPr>
          <w:rFonts w:asciiTheme="minorHAnsi" w:hAnsiTheme="minorHAnsi" w:cstheme="minorHAnsi"/>
          <w:sz w:val="22"/>
          <w:szCs w:val="22"/>
        </w:rPr>
        <w:t xml:space="preserve">Plot of </w:t>
      </w:r>
      <w:r>
        <w:rPr>
          <w:rFonts w:asciiTheme="minorHAnsi" w:hAnsiTheme="minorHAnsi" w:cstheme="minorHAnsi"/>
          <w:sz w:val="22"/>
          <w:szCs w:val="22"/>
        </w:rPr>
        <w:t>the mean of motif enrichment</w:t>
      </w:r>
      <w:r w:rsidRPr="003C2474">
        <w:rPr>
          <w:rFonts w:asciiTheme="minorHAnsi" w:hAnsiTheme="minorHAnsi" w:cstheme="minorHAnsi"/>
          <w:sz w:val="22"/>
          <w:szCs w:val="22"/>
        </w:rPr>
        <w:t xml:space="preserve"> odds ratio</w:t>
      </w:r>
      <w:r>
        <w:rPr>
          <w:rFonts w:asciiTheme="minorHAnsi" w:hAnsiTheme="minorHAnsi" w:cstheme="minorHAnsi"/>
          <w:sz w:val="22"/>
          <w:szCs w:val="22"/>
        </w:rPr>
        <w:t>s for enriched TRE motifs</w:t>
      </w:r>
      <w:r w:rsidRPr="003C2474">
        <w:rPr>
          <w:rFonts w:asciiTheme="minorHAnsi" w:hAnsiTheme="minorHAnsi" w:cstheme="minorHAnsi"/>
          <w:sz w:val="22"/>
          <w:szCs w:val="22"/>
        </w:rPr>
        <w:t xml:space="preserve"> as a function of</w:t>
      </w:r>
      <w:r>
        <w:rPr>
          <w:rFonts w:asciiTheme="minorHAnsi" w:hAnsiTheme="minorHAnsi" w:cstheme="minorHAnsi"/>
          <w:sz w:val="22"/>
          <w:szCs w:val="22"/>
        </w:rPr>
        <w:t xml:space="preserve"> the number of </w:t>
      </w:r>
      <w:r w:rsidRPr="003C2474">
        <w:rPr>
          <w:rFonts w:asciiTheme="minorHAnsi" w:hAnsiTheme="minorHAnsi" w:cstheme="minorHAnsi"/>
          <w:sz w:val="22"/>
          <w:szCs w:val="22"/>
        </w:rPr>
        <w:t>cluster</w:t>
      </w:r>
      <w:r>
        <w:rPr>
          <w:rFonts w:asciiTheme="minorHAnsi" w:hAnsiTheme="minorHAnsi" w:cstheme="minorHAnsi"/>
          <w:sz w:val="22"/>
          <w:szCs w:val="22"/>
        </w:rPr>
        <w:t xml:space="preserve">s. Enrichment odds ratio is determined by motif abundance within the cluster as compared to the entire population. Enrichments were assessed over motif sizes of 2-4 TREs (inclusive) and evaluated by Fisher’s test with a p-value threshold of 0.05 after Bonferroni correction.  </w:t>
      </w:r>
    </w:p>
    <w:p w14:paraId="26E5FA82" w14:textId="77777777" w:rsidR="00A60963" w:rsidRPr="00E23722" w:rsidRDefault="00A60963" w:rsidP="00A60963">
      <w:pPr>
        <w:pStyle w:val="NormalWeb"/>
        <w:spacing w:after="240"/>
        <w:rPr>
          <w:rFonts w:asciiTheme="minorHAnsi" w:hAnsiTheme="minorHAnsi" w:cstheme="minorHAnsi"/>
          <w:sz w:val="22"/>
          <w:szCs w:val="22"/>
        </w:rPr>
      </w:pPr>
      <w:r w:rsidRPr="003C2474">
        <w:rPr>
          <w:rStyle w:val="Strong"/>
          <w:rFonts w:asciiTheme="minorHAnsi" w:eastAsia="SimSun" w:hAnsiTheme="minorHAnsi" w:cstheme="minorHAnsi"/>
          <w:sz w:val="22"/>
          <w:szCs w:val="22"/>
        </w:rPr>
        <w:t xml:space="preserve">e, </w:t>
      </w:r>
      <w:r w:rsidRPr="003C2474">
        <w:rPr>
          <w:rFonts w:asciiTheme="minorHAnsi" w:hAnsiTheme="minorHAnsi" w:cstheme="minorHAnsi"/>
          <w:sz w:val="22"/>
          <w:szCs w:val="22"/>
        </w:rPr>
        <w:t xml:space="preserve">Plot showing proportion of </w:t>
      </w:r>
      <w:r>
        <w:rPr>
          <w:rFonts w:asciiTheme="minorHAnsi" w:hAnsiTheme="minorHAnsi" w:cstheme="minorHAnsi"/>
          <w:sz w:val="22"/>
          <w:szCs w:val="22"/>
        </w:rPr>
        <w:t xml:space="preserve">TRE motif enrichments observed as a function of the number of clusters. For each cluster and TRE motif evaluated, the proportion of positive tests (Fisher’s </w:t>
      </w:r>
      <w:r w:rsidRPr="00CF3BF3">
        <w:rPr>
          <w:rFonts w:asciiTheme="minorHAnsi" w:hAnsiTheme="minorHAnsi" w:cstheme="minorHAnsi"/>
          <w:i/>
          <w:iCs/>
          <w:sz w:val="22"/>
          <w:szCs w:val="22"/>
        </w:rPr>
        <w:t>p</w:t>
      </w:r>
      <w:r>
        <w:rPr>
          <w:rFonts w:asciiTheme="minorHAnsi" w:hAnsiTheme="minorHAnsi" w:cstheme="minorHAnsi"/>
          <w:sz w:val="22"/>
          <w:szCs w:val="22"/>
        </w:rPr>
        <w:t xml:space="preserve"> value &lt; 0.05 after Bonferroni correction) is shown. Enrichments determined as in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d, </w:t>
      </w:r>
      <w:r>
        <w:rPr>
          <w:rFonts w:asciiTheme="minorHAnsi" w:hAnsiTheme="minorHAnsi" w:cstheme="minorHAnsi"/>
          <w:sz w:val="22"/>
          <w:szCs w:val="22"/>
        </w:rPr>
        <w:t>above.</w:t>
      </w:r>
    </w:p>
    <w:p w14:paraId="3CB9509E" w14:textId="77777777" w:rsidR="002F0F5E" w:rsidRDefault="00A60963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963"/>
    <w:rsid w:val="0021090F"/>
    <w:rsid w:val="003A76DF"/>
    <w:rsid w:val="00A60963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58947"/>
  <w15:chartTrackingRefBased/>
  <w15:docId w15:val="{C3E0CB8D-EB7A-40CF-ADAF-B22D772B3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9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609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A60963"/>
  </w:style>
  <w:style w:type="character" w:styleId="Strong">
    <w:name w:val="Strong"/>
    <w:basedOn w:val="DefaultParagraphFont"/>
    <w:uiPriority w:val="22"/>
    <w:qFormat/>
    <w:rsid w:val="00A609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1418</Words>
  <Characters>8086</Characters>
  <Application>Microsoft Office Word</Application>
  <DocSecurity>0</DocSecurity>
  <Lines>67</Lines>
  <Paragraphs>18</Paragraphs>
  <ScaleCrop>false</ScaleCrop>
  <Company>Springer Nature</Company>
  <LinksUpToDate>false</LinksUpToDate>
  <CharactersWithSpaces>9486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2023-10-17T11:25:00Z</dcterms:created>
  <dcterms:modified xsi:type="dcterms:W3CDTF">2023-10-17T11:26:00Z</dcterms:modified>
</cp:coreProperties>
</file>