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80" w:lineRule="auto"/>
        <w:rPr>
          <w:b/>
          <w:bCs/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Supplemental materials</w:t>
      </w:r>
    </w:p>
    <w:p>
      <w:pPr>
        <w:spacing w:line="480" w:lineRule="auto"/>
        <w:rPr>
          <w:rFonts w:ascii="Calibri" w:hAnsi="Calibri" w:cs="Calibri"/>
          <w:i/>
          <w:i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Calibri" w:hAnsi="Calibri" w:cs="Calibri"/>
          <w:i/>
          <w:i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Correlation analysis between SIRT3 and ferroptosis</w:t>
      </w:r>
      <w:r>
        <w:rPr>
          <w:rFonts w:ascii="Calibri" w:hAnsi="Calibri" w:cs="Calibri"/>
          <w:i/>
          <w:i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Calibri" w:hAnsi="Calibri" w:cs="Calibri"/>
          <w:i/>
          <w:i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related genes (FRGs)</w:t>
      </w:r>
    </w:p>
    <w:p>
      <w:pPr>
        <w:spacing w:after="156" w:afterLines="50" w:line="480" w:lineRule="auto"/>
        <w:rPr>
          <w:rFonts w:ascii="Calibri" w:hAnsi="Calibri" w:cs="Calibri"/>
          <w:i/>
          <w:i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Calibri" w:hAnsi="Calibri" w:cs="Calibri"/>
          <w:sz w:val="24"/>
          <w:highlight w:val="none"/>
        </w:rPr>
        <w:t xml:space="preserve">Correlation analysis </w:t>
      </w:r>
      <w:r>
        <w:rPr>
          <w:rFonts w:hint="eastAsia" w:ascii="Calibri" w:hAnsi="Calibri" w:cs="Calibri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between SIRT3 </w:t>
      </w:r>
      <w:r>
        <w:rPr>
          <w:rFonts w:ascii="Calibri" w:hAnsi="Calibri" w:cs="Calibri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expression </w:t>
      </w:r>
      <w:r>
        <w:rPr>
          <w:rFonts w:hint="eastAsia" w:ascii="Calibri" w:hAnsi="Calibri" w:cs="Calibri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and ferroptosis</w:t>
      </w:r>
      <w:r>
        <w:rPr>
          <w:rFonts w:ascii="Calibri" w:hAnsi="Calibri" w:cs="Calibri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Calibri" w:hAnsi="Calibri" w:cs="Calibri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related gene</w:t>
      </w:r>
      <w:r>
        <w:rPr>
          <w:rFonts w:ascii="Calibri" w:hAnsi="Calibri" w:cs="Calibri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expression</w:t>
      </w:r>
      <w:r>
        <w:rPr>
          <w:rFonts w:hint="eastAsia" w:ascii="Calibri" w:hAnsi="Calibri" w:cs="Calibri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Calibri" w:hAnsi="Calibri" w:cs="Calibri"/>
          <w:sz w:val="24"/>
          <w:highlight w:val="none"/>
        </w:rPr>
        <w:t>was performed using the RNA-Seq data for GBM and normal tissues from TCGA database and the Genotype-Tissue Expression (GTEx) database by GEPIA</w:t>
      </w:r>
      <w:r>
        <w:rPr>
          <w:rFonts w:hint="eastAsia" w:ascii="Calibri" w:hAnsi="Calibri" w:cs="Calibri"/>
          <w:sz w:val="24"/>
          <w:highlight w:val="none"/>
        </w:rPr>
        <w:t xml:space="preserve"> (</w:t>
      </w:r>
      <w:r>
        <w:rPr>
          <w:rFonts w:ascii="Calibri" w:hAnsi="Calibri" w:cs="Calibri"/>
          <w:sz w:val="24"/>
          <w:highlight w:val="none"/>
        </w:rPr>
        <w:t>http://gepia.cancer-pku.cn/</w:t>
      </w:r>
      <w:r>
        <w:rPr>
          <w:rFonts w:hint="eastAsia" w:ascii="Calibri" w:hAnsi="Calibri" w:cs="Calibri"/>
          <w:sz w:val="24"/>
          <w:highlight w:val="none"/>
        </w:rPr>
        <w:t>)</w:t>
      </w:r>
      <w:r>
        <w:rPr>
          <w:rFonts w:ascii="Calibri" w:hAnsi="Calibri" w:cs="Calibri"/>
          <w:sz w:val="24"/>
          <w:highlight w:val="none"/>
        </w:rPr>
        <w:t>.</w:t>
      </w:r>
    </w:p>
    <w:p>
      <w:pPr>
        <w:spacing w:after="156" w:afterLines="50" w:line="480" w:lineRule="auto"/>
        <w:rPr>
          <w:i/>
          <w:i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i/>
          <w:iCs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AKT and AMPK-mTOR pathway activity upon SIRT3 inhibition</w:t>
      </w:r>
    </w:p>
    <w:p>
      <w:pPr>
        <w:spacing w:after="156" w:afterLines="50" w:line="480" w:lineRule="auto"/>
        <w:rPr>
          <w:rFonts w:ascii="Calibri" w:hAnsi="Calibri" w:eastAsia="宋体" w:cs="Calibri"/>
          <w:b/>
          <w:bCs/>
          <w:sz w:val="24"/>
          <w:highlight w:val="none"/>
        </w:rPr>
      </w:pPr>
      <w:bookmarkStart w:id="0" w:name="OLE_LINK19"/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P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hospho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-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AKT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(Thr308)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, phospho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-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AKT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(Ser473), AKT, 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phospho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-AMPKα(Thr172),</w:t>
      </w:r>
      <w:r>
        <w:rPr>
          <w:highlight w:val="none"/>
        </w:rPr>
        <w:t xml:space="preserve"> 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AMPKα,</w:t>
      </w:r>
      <w:r>
        <w:rPr>
          <w:highlight w:val="none"/>
        </w:rPr>
        <w:t xml:space="preserve"> </w:t>
      </w:r>
      <w:r>
        <w:rPr>
          <w:rFonts w:hint="eastAsia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hospho-mTOR, and mTOR expression levels were detected by 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western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blot</w:t>
      </w:r>
      <w:r>
        <w:rPr>
          <w:rFonts w:hint="eastAsia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ting</w:t>
      </w:r>
      <w:r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.</w:t>
      </w:r>
      <w:bookmarkEnd w:id="0"/>
      <w:r>
        <w:rPr>
          <w:rFonts w:ascii="Calibri" w:hAnsi="Calibri" w:eastAsia="宋体" w:cs="Calibri"/>
          <w:b/>
          <w:bCs/>
          <w:sz w:val="24"/>
          <w:highlight w:val="none"/>
        </w:rPr>
        <w:br w:type="page"/>
      </w:r>
    </w:p>
    <w:p>
      <w:pPr>
        <w:spacing w:after="312" w:afterLines="100" w:line="480" w:lineRule="auto"/>
        <w:jc w:val="center"/>
        <w:rPr>
          <w:rFonts w:ascii="Calibri" w:hAnsi="Calibri" w:cs="Calibri"/>
          <w:bCs/>
          <w:sz w:val="24"/>
          <w:highlight w:val="none"/>
        </w:rPr>
      </w:pPr>
      <w:r>
        <w:rPr>
          <w:rFonts w:ascii="Calibri" w:hAnsi="Calibri" w:eastAsia="宋体" w:cs="Calibri"/>
          <w:b/>
          <w:bCs/>
          <w:sz w:val="24"/>
          <w:highlight w:val="none"/>
        </w:rPr>
        <w:t xml:space="preserve">Table </w:t>
      </w:r>
      <w:r>
        <w:rPr>
          <w:rFonts w:hint="eastAsia" w:ascii="Calibri" w:hAnsi="Calibri" w:eastAsia="宋体" w:cs="Calibri"/>
          <w:b/>
          <w:bCs/>
          <w:sz w:val="24"/>
          <w:highlight w:val="none"/>
        </w:rPr>
        <w:t>S</w:t>
      </w:r>
      <w:r>
        <w:rPr>
          <w:rFonts w:ascii="Calibri" w:hAnsi="Calibri" w:eastAsia="宋体" w:cs="Calibri"/>
          <w:b/>
          <w:sz w:val="24"/>
          <w:highlight w:val="none"/>
        </w:rPr>
        <w:t xml:space="preserve">1 </w:t>
      </w:r>
      <w:r>
        <w:rPr>
          <w:rFonts w:ascii="Calibri" w:hAnsi="Calibri" w:cs="Calibri"/>
          <w:b/>
          <w:bCs/>
          <w:sz w:val="24"/>
          <w:highlight w:val="none"/>
        </w:rPr>
        <w:t>Antibodies and Reagents</w:t>
      </w:r>
    </w:p>
    <w:tbl>
      <w:tblPr>
        <w:tblStyle w:val="2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6"/>
        <w:gridCol w:w="61"/>
        <w:gridCol w:w="1246"/>
        <w:gridCol w:w="255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31" w:type="pct"/>
            <w:tcBorders>
              <w:bottom w:val="single" w:color="auto" w:sz="8" w:space="0"/>
            </w:tcBorders>
            <w:vAlign w:val="bottom"/>
          </w:tcPr>
          <w:p>
            <w:pPr>
              <w:spacing w:before="60" w:after="60" w:line="240" w:lineRule="auto"/>
              <w:rPr>
                <w:rFonts w:ascii="Calibri" w:hAnsi="Calibri" w:cs="Calibri"/>
                <w:bCs/>
                <w:sz w:val="18"/>
                <w:szCs w:val="18"/>
                <w:highlight w:val="none"/>
              </w:rPr>
            </w:pPr>
            <w:bookmarkStart w:id="1" w:name="_Hlk126161942"/>
            <w:r>
              <w:rPr>
                <w:rFonts w:ascii="Calibri" w:hAnsi="Calibri" w:cs="Calibri"/>
                <w:b/>
                <w:bCs/>
                <w:sz w:val="18"/>
                <w:szCs w:val="18"/>
                <w:highlight w:val="none"/>
              </w:rPr>
              <w:t>Reagents and Antibodies</w:t>
            </w:r>
          </w:p>
        </w:tc>
        <w:tc>
          <w:tcPr>
            <w:tcW w:w="766" w:type="pct"/>
            <w:gridSpan w:val="2"/>
            <w:tcBorders>
              <w:bottom w:val="single" w:color="auto" w:sz="8" w:space="0"/>
            </w:tcBorders>
            <w:vAlign w:val="bottom"/>
          </w:tcPr>
          <w:p>
            <w:pPr>
              <w:spacing w:before="60" w:after="60"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highlight w:val="none"/>
              </w:rPr>
              <w:t>Identifier</w:t>
            </w:r>
          </w:p>
        </w:tc>
        <w:tc>
          <w:tcPr>
            <w:tcW w:w="1501" w:type="pct"/>
            <w:tcBorders>
              <w:bottom w:val="single" w:color="auto" w:sz="8" w:space="0"/>
            </w:tcBorders>
            <w:vAlign w:val="bottom"/>
          </w:tcPr>
          <w:p>
            <w:pPr>
              <w:spacing w:before="60" w:after="60"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highlight w:val="none"/>
              </w:rPr>
              <w:t>Source</w:t>
            </w:r>
          </w:p>
        </w:tc>
      </w:tr>
      <w:bookmarkEnd w:id="1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ATF4 Rabbit Monoclonal Antibody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AF2560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Beyotime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ATF3 Rabbit Polyclonal Antibody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AF6240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Beyotime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p53 Mouse Monoclonal Antibody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AF0255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Beyotime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Beta Tubulin Rabbit Monoclonal Antibody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AF1216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Beyotime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Heme Oxygenase 1 (HO-1) Rabbit Monoclonal Antibody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AF1333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Beyotime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Anti-Ferritin Antibody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ab75973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Abcam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Anti-Nrf2 Antibody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ab62352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Abcam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Anti-SLC40A1 Antibody ab78066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ab78066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Abcam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IRP2 Antibody (7H6)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sc-33682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Santa Cruz Biotechnology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Acetylated-Lysine Antibody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9441S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Cell Signaling Technology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Anti-SIRT3 Antibody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5490S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Cell Signaling Technology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IRP1 (D6S4J) Rabbit mAb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20272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Cell Signaling Technology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xCT/SLC7A11 (D2M7A) Rabbit mAb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12691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Cell Signaling Technology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Transferrin Receptor Antibody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13-6890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 xml:space="preserve">Invitrogen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SLC7A11 Polyclonal Antibody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PA1-16893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 xml:space="preserve">Invitrogen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SIRT3 Polyclonal Antibody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PA5-86035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 xml:space="preserve">Invitrogen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Beta Actin Mouse Monoclonal Antibody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60008-1-Ig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Proteintech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bookmarkStart w:id="2" w:name="OLE_LINK146"/>
            <w:bookmarkStart w:id="3" w:name="OLE_LINK145"/>
            <w:r>
              <w:rPr>
                <w:rFonts w:ascii="Calibri" w:hAnsi="Calibri" w:cs="Calibri"/>
                <w:color w:val="222222"/>
                <w:sz w:val="18"/>
                <w:szCs w:val="18"/>
                <w:highlight w:val="none"/>
              </w:rPr>
              <w:t>Minimum Essential Medium</w:t>
            </w:r>
            <w:bookmarkEnd w:id="2"/>
            <w:bookmarkEnd w:id="3"/>
            <w:r>
              <w:rPr>
                <w:rFonts w:ascii="Calibri" w:hAnsi="Calibri" w:cs="Calibri"/>
                <w:color w:val="222222"/>
                <w:sz w:val="18"/>
                <w:szCs w:val="18"/>
                <w:highlight w:val="none"/>
              </w:rPr>
              <w:t xml:space="preserve"> (MEM</w:t>
            </w:r>
            <w:r>
              <w:rPr>
                <w:rFonts w:hint="eastAsia" w:ascii="Calibri" w:hAnsi="Calibri" w:cs="Calibri"/>
                <w:color w:val="222222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11095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Gibco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DH5α Competent Cell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C502-03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Vazyme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Mito-FerroGreen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M489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DOJINDO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bookmarkStart w:id="4" w:name="OLE_LINK267"/>
            <w:bookmarkStart w:id="5" w:name="OLE_LINK268"/>
            <w:r>
              <w:rPr>
                <w:rFonts w:ascii="Calibri" w:hAnsi="Calibri" w:cs="Calibri"/>
                <w:sz w:val="18"/>
                <w:szCs w:val="18"/>
                <w:highlight w:val="none"/>
              </w:rPr>
              <w:t>MDA Assay Kit</w:t>
            </w:r>
            <w:bookmarkEnd w:id="4"/>
            <w:bookmarkEnd w:id="5"/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M496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DOJINDO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Iron Assay Kit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I291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DOJINDO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FerroOrange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F374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DOJINDO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Cell Counting Kit-8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CK04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DOJINDO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Cystine uptake assay kit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UP05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DOJINDO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bookmarkStart w:id="6" w:name="_Hlk126323581"/>
            <w:r>
              <w:rPr>
                <w:rFonts w:ascii="Calibri" w:hAnsi="Calibri" w:cs="Calibri"/>
                <w:sz w:val="18"/>
                <w:szCs w:val="18"/>
                <w:highlight w:val="none"/>
              </w:rPr>
              <w:t>NAC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S0077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Beyotime</w:t>
            </w:r>
          </w:p>
        </w:tc>
      </w:tr>
      <w:bookmarkEnd w:id="6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GSH and GSSG Assay Kit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S0053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Beyotime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Reactive Oxygen Species Assay Kit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S0033S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Beyotime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Iron Colorimetric Assay Kit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K390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Biovision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MitoSOX Red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M36008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 xml:space="preserve">Invitrogen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BODIPY 665/676 (Lipid Peroxidation Sensor)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B3932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 xml:space="preserve">Invitrogen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Erastin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S7242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Selleck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RSL3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S8155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Selleck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3-TYP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S8628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Selleck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bookmarkStart w:id="7" w:name="_Hlk126323561"/>
            <w:r>
              <w:rPr>
                <w:rFonts w:ascii="Calibri" w:hAnsi="Calibri" w:cs="Calibri"/>
                <w:sz w:val="18"/>
                <w:szCs w:val="18"/>
                <w:highlight w:val="none"/>
              </w:rPr>
              <w:t>Deferoxamine mesylate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S5742</w:t>
            </w:r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Selleck</w:t>
            </w:r>
          </w:p>
        </w:tc>
      </w:tr>
      <w:bookmarkEnd w:id="7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pct"/>
            <w:gridSpan w:val="2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cs="Calibri"/>
                <w:sz w:val="18"/>
                <w:szCs w:val="18"/>
                <w:highlight w:val="none"/>
              </w:rPr>
              <w:t>Glioblastoma Tissue Chip</w:t>
            </w:r>
          </w:p>
        </w:tc>
        <w:tc>
          <w:tcPr>
            <w:tcW w:w="73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bookmarkStart w:id="8" w:name="OLE_LINK24"/>
            <w:bookmarkStart w:id="9" w:name="OLE_LINK23"/>
            <w:r>
              <w:rPr>
                <w:rFonts w:ascii="Calibri" w:hAnsi="Calibri" w:cs="Calibri"/>
                <w:sz w:val="18"/>
                <w:szCs w:val="18"/>
                <w:highlight w:val="none"/>
              </w:rPr>
              <w:t>NCT805</w:t>
            </w:r>
            <w:bookmarkEnd w:id="8"/>
            <w:bookmarkEnd w:id="9"/>
          </w:p>
        </w:tc>
        <w:tc>
          <w:tcPr>
            <w:tcW w:w="1501" w:type="pct"/>
            <w:vAlign w:val="bottom"/>
          </w:tcPr>
          <w:p>
            <w:pPr>
              <w:widowControl/>
              <w:spacing w:line="240" w:lineRule="auto"/>
              <w:rPr>
                <w:rFonts w:ascii="Calibri" w:hAnsi="Calibri" w:cs="Calibri"/>
                <w:sz w:val="18"/>
                <w:szCs w:val="18"/>
                <w:highlight w:val="none"/>
              </w:rPr>
            </w:pPr>
            <w:bookmarkStart w:id="10" w:name="OLE_LINK123"/>
            <w:bookmarkStart w:id="11" w:name="OLE_LINK122"/>
            <w:r>
              <w:rPr>
                <w:rFonts w:ascii="Calibri" w:hAnsi="Calibri" w:cs="Calibri"/>
                <w:sz w:val="18"/>
                <w:szCs w:val="18"/>
                <w:highlight w:val="none"/>
              </w:rPr>
              <w:t>Taibsbio</w:t>
            </w:r>
            <w:bookmarkEnd w:id="10"/>
            <w:bookmarkEnd w:id="11"/>
          </w:p>
        </w:tc>
      </w:tr>
    </w:tbl>
    <w:p>
      <w:pPr>
        <w:spacing w:line="240" w:lineRule="auto"/>
        <w:rPr>
          <w:rFonts w:ascii="Calibri" w:hAnsi="Calibri" w:eastAsia="宋体" w:cs="Calibri"/>
          <w:b/>
          <w:sz w:val="24"/>
          <w:highlight w:val="none"/>
        </w:rPr>
      </w:pPr>
      <w:bookmarkStart w:id="12" w:name="OLE_LINK135"/>
      <w:bookmarkStart w:id="13" w:name="OLE_LINK134"/>
      <w:r>
        <w:rPr>
          <w:rFonts w:ascii="Calibri" w:hAnsi="Calibri" w:eastAsia="宋体" w:cs="Calibri"/>
          <w:b/>
          <w:sz w:val="24"/>
          <w:highlight w:val="none"/>
        </w:rPr>
        <w:br w:type="page"/>
      </w:r>
    </w:p>
    <w:p>
      <w:pPr>
        <w:pStyle w:val="4"/>
        <w:spacing w:before="0" w:beforeLines="0" w:after="312" w:afterLines="100" w:line="240" w:lineRule="auto"/>
        <w:jc w:val="center"/>
        <w:rPr>
          <w:rFonts w:ascii="Calibri" w:hAnsi="Calibri" w:eastAsia="宋体" w:cs="Calibri"/>
          <w:b/>
          <w:bCs w:val="0"/>
          <w:sz w:val="24"/>
          <w:szCs w:val="24"/>
          <w:highlight w:val="none"/>
          <w:lang w:val="en-US"/>
        </w:rPr>
      </w:pPr>
      <w:r>
        <w:rPr>
          <w:rFonts w:ascii="Calibri" w:hAnsi="Calibri" w:eastAsia="宋体" w:cs="Calibri"/>
          <w:b/>
          <w:bCs w:val="0"/>
          <w:sz w:val="24"/>
          <w:szCs w:val="24"/>
          <w:highlight w:val="none"/>
          <w:lang w:val="en-US"/>
        </w:rPr>
        <w:t>Table</w:t>
      </w:r>
      <w:bookmarkEnd w:id="12"/>
      <w:bookmarkEnd w:id="13"/>
      <w:r>
        <w:rPr>
          <w:rFonts w:ascii="Calibri" w:hAnsi="Calibri" w:eastAsia="宋体" w:cs="Calibri"/>
          <w:b/>
          <w:bCs w:val="0"/>
          <w:sz w:val="24"/>
          <w:szCs w:val="24"/>
          <w:highlight w:val="none"/>
          <w:lang w:val="en-US"/>
        </w:rPr>
        <w:t xml:space="preserve"> </w:t>
      </w:r>
      <w:r>
        <w:rPr>
          <w:rFonts w:hint="eastAsia" w:ascii="Calibri" w:hAnsi="Calibri" w:eastAsia="宋体" w:cs="Calibri"/>
          <w:b/>
          <w:bCs w:val="0"/>
          <w:sz w:val="24"/>
          <w:szCs w:val="24"/>
          <w:highlight w:val="none"/>
          <w:lang w:val="en-US"/>
        </w:rPr>
        <w:t>S</w:t>
      </w:r>
      <w:r>
        <w:rPr>
          <w:rFonts w:ascii="Calibri" w:hAnsi="Calibri" w:eastAsia="宋体" w:cs="Calibri"/>
          <w:b/>
          <w:bCs w:val="0"/>
          <w:sz w:val="24"/>
          <w:szCs w:val="24"/>
          <w:highlight w:val="none"/>
          <w:lang w:val="en-US"/>
        </w:rPr>
        <w:t>2 Details of samples in tissue microarray</w:t>
      </w:r>
    </w:p>
    <w:tbl>
      <w:tblPr>
        <w:tblStyle w:val="2"/>
        <w:tblW w:w="699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67"/>
        <w:gridCol w:w="567"/>
        <w:gridCol w:w="2654"/>
        <w:gridCol w:w="663"/>
        <w:gridCol w:w="1280"/>
        <w:gridCol w:w="10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No.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Age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Sex</w:t>
            </w:r>
          </w:p>
        </w:tc>
        <w:tc>
          <w:tcPr>
            <w:tcW w:w="26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Pathology diagnosis</w:t>
            </w:r>
          </w:p>
        </w:tc>
        <w:tc>
          <w:tcPr>
            <w:tcW w:w="3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Grade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Tissue ID.</w:t>
            </w: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Type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Nct090105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Nct090105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Nct020020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Nct020020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Nct090045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Nct090045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Nct090029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Nct090029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Nct090002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Nct090002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Nct080110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Nct080110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High grade glioma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Nct080101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High grade glioma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Nct080101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Nct070128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Nct070128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 with necrosis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Nct060288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 with necrosis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Nct060288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Nct060389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Nct060389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Nct060303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Nct060303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Nct030071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Nct030071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Nct080070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Nct080070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Nct080080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Nct080080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Nct080027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Nct080027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High grade glioma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Nct080022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High grade glioma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Nct080022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Nct070179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Nct070179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Nct060275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Nct060275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 with degeneration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Nct060254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 with degeneration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Nct060254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Nct060160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Nct060160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Nct060123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Nct060123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Nct090016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Nct090016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Nct090026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Nct090026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Nct090085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Nct090085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Nct090090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Nct090090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Nct090118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Nct090118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Nct090017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Nct090017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Nct060370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 with necrosis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Nct060370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Nct090024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Nct090024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 with necrosis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Nct060390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Nct060390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Nct020175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Nct020175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Nct060373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 (sparse)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Nct060373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Nct040169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Nct040169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Nct050085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Nct050085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Nct070083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Glioblastoma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Nct070083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Malignant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Cerebrum tissue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Nct06N002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Normal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Cerebrum tissue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Nct06N002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Normal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Cerebrum tissue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Nct05N006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Normal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Cerebrum tissue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Nct05N006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Normal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Cerebrum tissue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Nct05N023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Normal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M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Cerebrum tissue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Nct05N023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Normal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Cerebrum tissue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Nct03N006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Normal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Cerebrum tissue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Nct03N006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Normal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Cerebrum tissue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Nct11N001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Normal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F</w:t>
            </w:r>
          </w:p>
        </w:tc>
        <w:tc>
          <w:tcPr>
            <w:tcW w:w="26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Cerebrum tissue</w:t>
            </w:r>
          </w:p>
        </w:tc>
        <w:tc>
          <w:tcPr>
            <w:tcW w:w="31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jc w:val="center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Nct11N001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  <w:highlight w:val="none"/>
              </w:rPr>
              <w:t>Normal</w:t>
            </w:r>
          </w:p>
        </w:tc>
      </w:tr>
    </w:tbl>
    <w:p>
      <w:pPr>
        <w:spacing w:line="240" w:lineRule="auto"/>
        <w:rPr>
          <w:rFonts w:ascii="Calibri" w:hAnsi="Calibri" w:cs="Calibri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Calibri" w:hAnsi="Calibri" w:cs="Calibri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br w:type="page"/>
      </w:r>
    </w:p>
    <w:p>
      <w:pPr>
        <w:spacing w:after="312" w:afterLines="100" w:line="240" w:lineRule="auto"/>
        <w:jc w:val="center"/>
        <w:rPr>
          <w:rFonts w:ascii="Calibri" w:hAnsi="Calibri" w:eastAsia="宋体" w:cs="Calibri"/>
          <w:b/>
          <w:sz w:val="24"/>
          <w:highlight w:val="none"/>
        </w:rPr>
      </w:pPr>
      <w:r>
        <w:rPr>
          <w:rFonts w:ascii="Calibri" w:hAnsi="Calibri" w:eastAsia="宋体" w:cs="Calibri"/>
          <w:b/>
          <w:sz w:val="24"/>
          <w:highlight w:val="none"/>
        </w:rPr>
        <w:t>Table 3 Primer</w:t>
      </w:r>
      <w:r>
        <w:rPr>
          <w:rFonts w:hint="eastAsia" w:ascii="Calibri" w:hAnsi="Calibri" w:eastAsia="宋体" w:cs="Calibri"/>
          <w:b/>
          <w:sz w:val="24"/>
          <w:highlight w:val="none"/>
        </w:rPr>
        <w:t>s</w:t>
      </w:r>
      <w:r>
        <w:rPr>
          <w:rFonts w:ascii="Calibri" w:hAnsi="Calibri" w:eastAsia="宋体" w:cs="Calibri"/>
          <w:b/>
          <w:sz w:val="24"/>
          <w:highlight w:val="none"/>
        </w:rPr>
        <w:t xml:space="preserve"> </w:t>
      </w:r>
      <w:r>
        <w:rPr>
          <w:rFonts w:hint="eastAsia" w:ascii="Calibri" w:hAnsi="Calibri" w:eastAsia="宋体" w:cs="Calibri"/>
          <w:b/>
          <w:sz w:val="24"/>
          <w:highlight w:val="none"/>
        </w:rPr>
        <w:t xml:space="preserve">for </w:t>
      </w:r>
      <w:r>
        <w:rPr>
          <w:rFonts w:ascii="Calibri" w:hAnsi="Calibri" w:eastAsia="宋体" w:cs="Calibri"/>
          <w:b/>
          <w:sz w:val="24"/>
          <w:highlight w:val="none"/>
        </w:rPr>
        <w:t>q</w:t>
      </w:r>
      <w:r>
        <w:rPr>
          <w:rFonts w:hint="eastAsia" w:ascii="Calibri" w:hAnsi="Calibri" w:eastAsia="宋体" w:cs="Calibri"/>
          <w:b/>
          <w:sz w:val="24"/>
          <w:highlight w:val="none"/>
        </w:rPr>
        <w:t>RT-</w:t>
      </w:r>
      <w:r>
        <w:rPr>
          <w:rFonts w:ascii="Calibri" w:hAnsi="Calibri" w:eastAsia="宋体" w:cs="Calibri"/>
          <w:b/>
          <w:sz w:val="24"/>
          <w:highlight w:val="none"/>
        </w:rPr>
        <w:t xml:space="preserve">PCR </w:t>
      </w:r>
    </w:p>
    <w:tbl>
      <w:tblPr>
        <w:tblStyle w:val="2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2514"/>
        <w:gridCol w:w="411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tcBorders>
              <w:bottom w:val="single" w:color="auto" w:sz="8" w:space="0"/>
            </w:tcBorders>
          </w:tcPr>
          <w:p>
            <w:pPr>
              <w:spacing w:before="60" w:after="60" w:line="240" w:lineRule="auto"/>
              <w:jc w:val="center"/>
              <w:rPr>
                <w:rFonts w:ascii="Calibri" w:hAnsi="Calibri" w:eastAsia="宋体" w:cs="Calibri"/>
                <w:bCs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bCs/>
                <w:sz w:val="18"/>
                <w:szCs w:val="18"/>
                <w:highlight w:val="none"/>
              </w:rPr>
              <w:t>Gene</w:t>
            </w:r>
          </w:p>
        </w:tc>
        <w:tc>
          <w:tcPr>
            <w:tcW w:w="3891" w:type="pct"/>
            <w:gridSpan w:val="2"/>
            <w:tcBorders>
              <w:bottom w:val="single" w:color="auto" w:sz="8" w:space="0"/>
            </w:tcBorders>
          </w:tcPr>
          <w:p>
            <w:pPr>
              <w:spacing w:before="60" w:after="60" w:line="240" w:lineRule="auto"/>
              <w:jc w:val="center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sz w:val="18"/>
                <w:szCs w:val="18"/>
                <w:highlight w:val="none"/>
              </w:rPr>
              <w:t>Primer Sequence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18s</w:t>
            </w: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bCs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Forward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bCs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GAAACGGCTACCACATCC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Reverse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CACCAGACTTGCCCTCCA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SIRT3</w:t>
            </w: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Forward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CCCCAAGCCCTTTTTCACTTT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Reverse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CGACACTCTCTCAAGCCCA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BNIP3L</w:t>
            </w: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Forward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TGTGGAAATGCACACCAGCAGG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Reverse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CTACTGGACCAGTCTGATACCC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GABARAPL1</w:t>
            </w: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Forward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TTGTAGAGAAGGCTCCAAAAGCC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Reverse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GGTCTCAGGTGGATTCTCTTCC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GABARAP</w:t>
            </w: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Forward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ATCTCCGAGCTGAGGATGCCTT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Reverse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GACACTTTCGTCACTGTAGGCAA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BECN1</w:t>
            </w: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Forward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CTGGACACTCAGCTCAACGTCA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Reverse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CTCTAGTGCCAGCTCCTTTAGC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MAPK10</w:t>
            </w: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Forward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GTGTGGAAGTGGGAGACTCAAC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Reverse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GTCAAGGACAGCATCATACGCG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SQSTM1</w:t>
            </w: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Forward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TGTGTAGCGTCTGCGAGGGAAA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Reverse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AGTGTCCGTGTTTCACCTTCCG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TBC1D17</w:t>
            </w: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Forward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TCCGCATGAAGCTGCAGTGGAA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Reverse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CCTCGTAGAACTTGTTGGTCCTG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TP53</w:t>
            </w: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Forward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CCTCAGCATCTTATCCGAGTGG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Reverse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TGGATGGTGGTACAGTCAGAGC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SLC7A11</w:t>
            </w: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Forward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TCTCCAAAGGAGGTTACCTGC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Reverse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AGACTCCCCTCAGTAAAGTGAC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IRP1</w:t>
            </w: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Forward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AACCCATTCGCACACCTTG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9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</w:p>
        </w:tc>
        <w:tc>
          <w:tcPr>
            <w:tcW w:w="147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Reverse Sequence</w:t>
            </w:r>
          </w:p>
        </w:tc>
        <w:tc>
          <w:tcPr>
            <w:tcW w:w="2415" w:type="pct"/>
            <w:vAlign w:val="center"/>
          </w:tcPr>
          <w:p>
            <w:pPr>
              <w:spacing w:before="60" w:after="60" w:line="240" w:lineRule="auto"/>
              <w:rPr>
                <w:rFonts w:ascii="Calibri" w:hAnsi="Calibri" w:eastAsia="宋体" w:cs="Calibri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Calibri"/>
                <w:color w:val="000000"/>
                <w:sz w:val="18"/>
                <w:szCs w:val="18"/>
                <w:highlight w:val="none"/>
              </w:rPr>
              <w:t>ATGGTAAGCGCCCATATCTTG</w:t>
            </w:r>
          </w:p>
        </w:tc>
      </w:tr>
    </w:tbl>
    <w:p>
      <w:pPr>
        <w:widowControl/>
        <w:spacing w:line="480" w:lineRule="auto"/>
        <w:jc w:val="left"/>
        <w:rPr>
          <w:b/>
          <w:bCs/>
          <w:sz w:val="24"/>
          <w:highlight w:val="none"/>
        </w:rPr>
      </w:pPr>
      <w:r>
        <w:rPr>
          <w:b/>
          <w:bCs/>
          <w:sz w:val="24"/>
          <w:highlight w:val="none"/>
        </w:rPr>
        <w:br w:type="page"/>
      </w:r>
    </w:p>
    <w:p>
      <w:pPr>
        <w:spacing w:after="156" w:afterLines="50" w:line="480" w:lineRule="auto"/>
        <w:jc w:val="center"/>
        <w:rPr>
          <w:rFonts w:hint="eastAsia" w:eastAsiaTheme="minorEastAsia"/>
          <w:b/>
          <w:bCs/>
          <w:sz w:val="24"/>
          <w:highlight w:val="none"/>
          <w:lang w:eastAsia="zh-CN"/>
        </w:rPr>
      </w:pPr>
      <w:r>
        <w:rPr>
          <w:rFonts w:hint="eastAsia" w:eastAsiaTheme="minorEastAsia"/>
          <w:b/>
          <w:bCs/>
          <w:sz w:val="24"/>
          <w:highlight w:val="none"/>
          <w:lang w:eastAsia="zh-CN"/>
        </w:rPr>
        <w:drawing>
          <wp:inline distT="0" distB="0" distL="114300" distR="114300">
            <wp:extent cx="5113655" cy="3502025"/>
            <wp:effectExtent l="0" t="0" r="10795" b="3175"/>
            <wp:docPr id="4" name="图片 4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rcRect l="12862" t="12834" r="7881" b="14767"/>
                    <a:stretch>
                      <a:fillRect/>
                    </a:stretch>
                  </pic:blipFill>
                  <pic:spPr>
                    <a:xfrm>
                      <a:off x="0" y="0"/>
                      <a:ext cx="5113655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56" w:afterLines="50" w:line="480" w:lineRule="auto"/>
        <w:jc w:val="center"/>
        <w:rPr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Fig.</w:t>
      </w:r>
      <w:r>
        <w:rPr>
          <w:b/>
          <w:bCs/>
          <w:sz w:val="24"/>
          <w:highlight w:val="none"/>
        </w:rPr>
        <w:t xml:space="preserve"> </w:t>
      </w:r>
      <w:r>
        <w:rPr>
          <w:rFonts w:hint="eastAsia"/>
          <w:b/>
          <w:bCs/>
          <w:sz w:val="24"/>
          <w:highlight w:val="none"/>
        </w:rPr>
        <w:t xml:space="preserve">S1 </w:t>
      </w:r>
      <w:r>
        <w:rPr>
          <w:rFonts w:hint="eastAsia"/>
          <w:sz w:val="24"/>
          <w:highlight w:val="none"/>
        </w:rPr>
        <w:t>SIRT3 expression in tissue microarray.</w:t>
      </w:r>
      <w:r>
        <w:rPr>
          <w:rFonts w:hint="eastAsia"/>
          <w:sz w:val="24"/>
          <w:highlight w:val="none"/>
        </w:rPr>
        <w:br w:type="page"/>
      </w:r>
    </w:p>
    <w:p>
      <w:pPr>
        <w:spacing w:after="156" w:afterLines="50" w:line="480" w:lineRule="auto"/>
        <w:jc w:val="center"/>
        <w:rPr>
          <w:rFonts w:hint="eastAsia" w:eastAsiaTheme="minorEastAsia"/>
          <w:sz w:val="24"/>
          <w:highlight w:val="none"/>
          <w:lang w:eastAsia="zh-CN"/>
        </w:rPr>
      </w:pPr>
      <w:r>
        <w:rPr>
          <w:rFonts w:hint="eastAsia" w:eastAsiaTheme="minorEastAsia"/>
          <w:sz w:val="24"/>
          <w:highlight w:val="none"/>
          <w:lang w:eastAsia="zh-CN"/>
        </w:rPr>
        <w:drawing>
          <wp:inline distT="0" distB="0" distL="114300" distR="114300">
            <wp:extent cx="4968240" cy="3505835"/>
            <wp:effectExtent l="0" t="0" r="3810" b="18415"/>
            <wp:docPr id="13" name="图片 13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rcRect l="14553" t="6161" r="14758" b="5174"/>
                    <a:stretch>
                      <a:fillRect/>
                    </a:stretch>
                  </pic:blipFill>
                  <pic:spPr>
                    <a:xfrm>
                      <a:off x="0" y="0"/>
                      <a:ext cx="496824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56" w:afterLines="50" w:line="480" w:lineRule="auto"/>
        <w:jc w:val="center"/>
        <w:rPr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Fig.</w:t>
      </w:r>
      <w:r>
        <w:rPr>
          <w:b/>
          <w:bCs/>
          <w:sz w:val="24"/>
          <w:highlight w:val="none"/>
        </w:rPr>
        <w:t xml:space="preserve"> </w:t>
      </w:r>
      <w:r>
        <w:rPr>
          <w:rFonts w:hint="eastAsia"/>
          <w:b/>
          <w:bCs/>
          <w:sz w:val="24"/>
          <w:highlight w:val="none"/>
        </w:rPr>
        <w:t>S2</w:t>
      </w:r>
      <w:r>
        <w:rPr>
          <w:rFonts w:hint="eastAsia"/>
          <w:sz w:val="24"/>
          <w:highlight w:val="none"/>
        </w:rPr>
        <w:t xml:space="preserve"> SIRT3 </w:t>
      </w:r>
      <w:r>
        <w:rPr>
          <w:sz w:val="24"/>
          <w:highlight w:val="none"/>
        </w:rPr>
        <w:t xml:space="preserve">expression </w:t>
      </w:r>
      <w:r>
        <w:rPr>
          <w:rFonts w:hint="eastAsia"/>
          <w:sz w:val="24"/>
          <w:highlight w:val="none"/>
        </w:rPr>
        <w:t>was positively correlated with SLC7A11</w:t>
      </w:r>
      <w:r>
        <w:rPr>
          <w:sz w:val="24"/>
          <w:highlight w:val="none"/>
        </w:rPr>
        <w:t xml:space="preserve"> expression</w:t>
      </w:r>
      <w:r>
        <w:rPr>
          <w:rFonts w:hint="eastAsia"/>
          <w:sz w:val="24"/>
          <w:highlight w:val="none"/>
        </w:rPr>
        <w:t>.</w:t>
      </w:r>
      <w:r>
        <w:rPr>
          <w:rFonts w:hint="eastAsia"/>
          <w:sz w:val="24"/>
          <w:highlight w:val="none"/>
        </w:rPr>
        <w:br w:type="page"/>
      </w:r>
    </w:p>
    <w:p>
      <w:pPr>
        <w:spacing w:after="156" w:afterLines="50" w:line="480" w:lineRule="auto"/>
        <w:jc w:val="center"/>
        <w:rPr>
          <w:rFonts w:hint="eastAsia" w:eastAsiaTheme="minorEastAsia"/>
          <w:sz w:val="24"/>
          <w:highlight w:val="none"/>
          <w:lang w:eastAsia="zh-CN"/>
        </w:rPr>
      </w:pPr>
      <w:r>
        <w:rPr>
          <w:rFonts w:hint="eastAsia" w:eastAsiaTheme="minorEastAsia"/>
          <w:sz w:val="24"/>
          <w:highlight w:val="none"/>
          <w:lang w:eastAsia="zh-CN"/>
        </w:rPr>
        <w:drawing>
          <wp:inline distT="0" distB="0" distL="114300" distR="114300">
            <wp:extent cx="5200650" cy="3455670"/>
            <wp:effectExtent l="0" t="0" r="0" b="11430"/>
            <wp:docPr id="5" name="图片 5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rcRect l="11800" t="11675" r="7653" b="16940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56" w:afterLines="50" w:line="480" w:lineRule="auto"/>
        <w:jc w:val="center"/>
        <w:rPr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Fig.</w:t>
      </w:r>
      <w:r>
        <w:rPr>
          <w:b/>
          <w:bCs/>
          <w:sz w:val="24"/>
          <w:highlight w:val="none"/>
        </w:rPr>
        <w:t xml:space="preserve"> </w:t>
      </w:r>
      <w:r>
        <w:rPr>
          <w:rFonts w:hint="eastAsia"/>
          <w:b/>
          <w:bCs/>
          <w:sz w:val="24"/>
          <w:highlight w:val="none"/>
        </w:rPr>
        <w:t>S3</w:t>
      </w:r>
      <w:r>
        <w:rPr>
          <w:rFonts w:hint="eastAsia"/>
          <w:sz w:val="24"/>
          <w:highlight w:val="none"/>
        </w:rPr>
        <w:t xml:space="preserve"> SLC7A11 expression in tissue microarray.</w:t>
      </w:r>
      <w:r>
        <w:rPr>
          <w:rFonts w:hint="eastAsia"/>
          <w:sz w:val="24"/>
          <w:highlight w:val="none"/>
        </w:rPr>
        <w:br w:type="page"/>
      </w:r>
    </w:p>
    <w:p>
      <w:pPr>
        <w:spacing w:after="156" w:afterLines="50" w:line="480" w:lineRule="auto"/>
        <w:jc w:val="center"/>
        <w:rPr>
          <w:rFonts w:hint="eastAsia" w:eastAsiaTheme="minorEastAsia"/>
          <w:sz w:val="24"/>
          <w:highlight w:val="none"/>
          <w:lang w:eastAsia="zh-CN"/>
        </w:rPr>
      </w:pPr>
      <w:r>
        <w:rPr>
          <w:rFonts w:hint="eastAsia" w:eastAsiaTheme="minorEastAsia"/>
          <w:sz w:val="24"/>
          <w:highlight w:val="none"/>
          <w:lang w:eastAsia="zh-CN"/>
        </w:rPr>
        <w:drawing>
          <wp:inline distT="0" distB="0" distL="114300" distR="114300">
            <wp:extent cx="2844165" cy="1783080"/>
            <wp:effectExtent l="0" t="0" r="13335" b="7620"/>
            <wp:docPr id="17" name="图片 17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rcRect l="27645" t="32046" r="32609" b="34767"/>
                    <a:stretch>
                      <a:fillRect/>
                    </a:stretch>
                  </pic:blipFill>
                  <pic:spPr>
                    <a:xfrm>
                      <a:off x="0" y="0"/>
                      <a:ext cx="2844165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56" w:afterLines="50" w:line="480" w:lineRule="auto"/>
        <w:rPr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Fig.</w:t>
      </w:r>
      <w:r>
        <w:rPr>
          <w:b/>
          <w:bCs/>
          <w:sz w:val="24"/>
          <w:highlight w:val="none"/>
        </w:rPr>
        <w:t xml:space="preserve"> </w:t>
      </w:r>
      <w:r>
        <w:rPr>
          <w:rFonts w:hint="eastAsia"/>
          <w:b/>
          <w:bCs/>
          <w:sz w:val="24"/>
          <w:highlight w:val="none"/>
        </w:rPr>
        <w:t>S4</w:t>
      </w:r>
      <w:r>
        <w:rPr>
          <w:rFonts w:hint="eastAsia"/>
          <w:sz w:val="24"/>
          <w:highlight w:val="none"/>
        </w:rPr>
        <w:t xml:space="preserve"> </w:t>
      </w:r>
      <w:r>
        <w:rPr>
          <w:sz w:val="24"/>
          <w:highlight w:val="none"/>
        </w:rPr>
        <w:t>Treatment with NAC to r</w:t>
      </w:r>
      <w:r>
        <w:rPr>
          <w:rFonts w:hint="eastAsia"/>
          <w:sz w:val="24"/>
          <w:highlight w:val="none"/>
        </w:rPr>
        <w:t>educ</w:t>
      </w:r>
      <w:r>
        <w:rPr>
          <w:sz w:val="24"/>
          <w:highlight w:val="none"/>
        </w:rPr>
        <w:t>e</w:t>
      </w:r>
      <w:r>
        <w:rPr>
          <w:rFonts w:hint="eastAsia"/>
          <w:sz w:val="24"/>
          <w:highlight w:val="none"/>
        </w:rPr>
        <w:t xml:space="preserve"> ROS level reversed RSL3-induced SIRT3 and SLC7A11 protein upregulation. </w:t>
      </w:r>
      <w:r>
        <w:rPr>
          <w:rFonts w:hint="eastAsia"/>
          <w:sz w:val="24"/>
          <w:highlight w:val="none"/>
        </w:rPr>
        <w:br w:type="page"/>
      </w:r>
    </w:p>
    <w:p>
      <w:pPr>
        <w:spacing w:after="156" w:afterLines="50" w:line="480" w:lineRule="auto"/>
        <w:jc w:val="center"/>
        <w:rPr>
          <w:rFonts w:hint="eastAsia" w:eastAsiaTheme="minorEastAsia"/>
          <w:sz w:val="24"/>
          <w:highlight w:val="none"/>
          <w:lang w:eastAsia="zh-CN"/>
        </w:rPr>
      </w:pPr>
      <w:r>
        <w:rPr>
          <w:rFonts w:hint="eastAsia" w:eastAsiaTheme="minorEastAsia"/>
          <w:sz w:val="24"/>
          <w:highlight w:val="none"/>
          <w:lang w:eastAsia="zh-CN"/>
        </w:rPr>
        <w:drawing>
          <wp:inline distT="0" distB="0" distL="114300" distR="114300">
            <wp:extent cx="5024120" cy="2035810"/>
            <wp:effectExtent l="0" t="0" r="5080" b="2540"/>
            <wp:docPr id="18" name="图片 18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Figure S5"/>
                    <pic:cNvPicPr>
                      <a:picLocks noChangeAspect="1"/>
                    </pic:cNvPicPr>
                  </pic:nvPicPr>
                  <pic:blipFill>
                    <a:blip r:embed="rId8"/>
                    <a:srcRect l="11948" t="20388" r="18138" b="29261"/>
                    <a:stretch>
                      <a:fillRect/>
                    </a:stretch>
                  </pic:blipFill>
                  <pic:spPr>
                    <a:xfrm>
                      <a:off x="0" y="0"/>
                      <a:ext cx="5024120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56" w:afterLines="50" w:line="480" w:lineRule="auto"/>
        <w:rPr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24"/>
          <w:highlight w:val="none"/>
        </w:rPr>
        <w:t>Fig.</w:t>
      </w:r>
      <w:r>
        <w:rPr>
          <w:b/>
          <w:bCs/>
          <w:sz w:val="24"/>
          <w:highlight w:val="none"/>
        </w:rPr>
        <w:t xml:space="preserve"> </w:t>
      </w:r>
      <w:r>
        <w:rPr>
          <w:rFonts w:hint="eastAsia"/>
          <w:b/>
          <w:bCs/>
          <w:sz w:val="24"/>
          <w:highlight w:val="none"/>
        </w:rPr>
        <w:t>S5</w:t>
      </w:r>
      <w:r>
        <w:rPr>
          <w:rFonts w:hint="eastAsia"/>
          <w:sz w:val="24"/>
          <w:highlight w:val="none"/>
        </w:rPr>
        <w:t xml:space="preserve"> Inhibition of SIRT3 promoted RSL3-induced U87MG cell ferroptosis </w:t>
      </w:r>
      <w:r>
        <w:rPr>
          <w:rFonts w:hint="eastAsia"/>
          <w:i/>
          <w:iCs/>
          <w:sz w:val="24"/>
          <w:highlight w:val="none"/>
        </w:rPr>
        <w:t xml:space="preserve">in vitro. </w:t>
      </w:r>
      <w:r>
        <w:rPr>
          <w:rFonts w:hint="eastAsia"/>
          <w:b/>
          <w:bCs/>
          <w:sz w:val="24"/>
          <w:highlight w:val="none"/>
        </w:rPr>
        <w:t>A</w:t>
      </w:r>
      <w:r>
        <w:rPr>
          <w:rFonts w:hint="eastAsia"/>
          <w:sz w:val="24"/>
          <w:highlight w:val="none"/>
        </w:rPr>
        <w:t xml:space="preserve"> Knockdown of SIRT3 in U87MG cells upregulated pan-acetylation in mitochondria. </w:t>
      </w:r>
      <w:r>
        <w:rPr>
          <w:rFonts w:hint="eastAsia"/>
          <w:b/>
          <w:bCs/>
          <w:sz w:val="24"/>
          <w:highlight w:val="none"/>
        </w:rPr>
        <w:t>B</w:t>
      </w:r>
      <w:r>
        <w:rPr>
          <w:rFonts w:hint="eastAsia"/>
          <w:sz w:val="24"/>
          <w:highlight w:val="none"/>
        </w:rPr>
        <w:t xml:space="preserve"> 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Inhibition of SIRT3 promoted RSL3-induced U87MG cell death, </w:t>
      </w:r>
      <w:r>
        <w:rPr>
          <w:rFonts w:hint="eastAsia"/>
          <w:sz w:val="24"/>
          <w:highlight w:val="none"/>
        </w:rPr>
        <w:t>which was partially rescued by DFO and totally rescued by NAC in comparison with control cells.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****p&lt;0.0001.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br w:type="page"/>
      </w:r>
    </w:p>
    <w:p>
      <w:pPr>
        <w:spacing w:after="156" w:afterLines="50" w:line="480" w:lineRule="auto"/>
        <w:jc w:val="center"/>
        <w:rPr>
          <w:rFonts w:hint="eastAsia" w:eastAsiaTheme="minorEastAsia"/>
          <w:sz w:val="24"/>
          <w:highlight w:val="none"/>
          <w:lang w:eastAsia="zh-CN"/>
        </w:rPr>
      </w:pPr>
      <w:r>
        <w:rPr>
          <w:rFonts w:hint="eastAsia" w:eastAsiaTheme="minorEastAsia"/>
          <w:sz w:val="24"/>
          <w:highlight w:val="none"/>
          <w:lang w:eastAsia="zh-CN"/>
        </w:rPr>
        <w:drawing>
          <wp:inline distT="0" distB="0" distL="114300" distR="114300">
            <wp:extent cx="3096260" cy="2173605"/>
            <wp:effectExtent l="0" t="0" r="8890" b="17145"/>
            <wp:docPr id="19" name="图片 19" descr="Figure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Figure S6"/>
                    <pic:cNvPicPr>
                      <a:picLocks noChangeAspect="1"/>
                    </pic:cNvPicPr>
                  </pic:nvPicPr>
                  <pic:blipFill>
                    <a:blip r:embed="rId9"/>
                    <a:srcRect l="25978" t="26570" r="29118" b="31417"/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56" w:afterLines="50" w:line="480" w:lineRule="auto"/>
        <w:jc w:val="center"/>
        <w:rPr>
          <w:sz w:val="24"/>
          <w:highlight w:val="none"/>
        </w:rPr>
      </w:pPr>
      <w:r>
        <w:rPr>
          <w:rFonts w:hint="eastAsia"/>
          <w:b/>
          <w:bCs/>
          <w:sz w:val="24"/>
          <w:highlight w:val="none"/>
        </w:rPr>
        <w:t>Fig.</w:t>
      </w:r>
      <w:r>
        <w:rPr>
          <w:b/>
          <w:bCs/>
          <w:sz w:val="24"/>
          <w:highlight w:val="none"/>
        </w:rPr>
        <w:t xml:space="preserve"> </w:t>
      </w:r>
      <w:r>
        <w:rPr>
          <w:rFonts w:hint="eastAsia"/>
          <w:b/>
          <w:bCs/>
          <w:sz w:val="24"/>
          <w:highlight w:val="none"/>
        </w:rPr>
        <w:t>S6</w:t>
      </w:r>
      <w:r>
        <w:rPr>
          <w:rFonts w:hint="eastAsia"/>
          <w:sz w:val="24"/>
          <w:highlight w:val="none"/>
        </w:rPr>
        <w:t xml:space="preserve"> SIRT3</w:t>
      </w:r>
      <w:r>
        <w:rPr>
          <w:rFonts w:hint="eastAsia"/>
          <w:b/>
          <w:bCs/>
          <w:sz w:val="24"/>
          <w:highlight w:val="none"/>
        </w:rPr>
        <w:t xml:space="preserve"> </w:t>
      </w:r>
      <w:r>
        <w:rPr>
          <w:rFonts w:hint="eastAsia"/>
          <w:sz w:val="24"/>
          <w:highlight w:val="none"/>
        </w:rPr>
        <w:t>inhibition reduced SLC7A11 expression upon RSL3 treatment.</w:t>
      </w:r>
      <w:r>
        <w:rPr>
          <w:rFonts w:hint="eastAsia"/>
          <w:sz w:val="24"/>
          <w:highlight w:val="none"/>
        </w:rPr>
        <w:br w:type="page"/>
      </w:r>
    </w:p>
    <w:p>
      <w:pPr>
        <w:spacing w:after="156" w:afterLines="50" w:line="480" w:lineRule="auto"/>
        <w:jc w:val="center"/>
        <w:rPr>
          <w:rFonts w:hint="eastAsia" w:eastAsiaTheme="minorEastAsia"/>
          <w:sz w:val="24"/>
          <w:highlight w:val="none"/>
          <w:lang w:eastAsia="zh-CN"/>
        </w:rPr>
      </w:pPr>
      <w:r>
        <w:rPr>
          <w:rFonts w:hint="eastAsia" w:eastAsiaTheme="minorEastAsia"/>
          <w:sz w:val="24"/>
          <w:highlight w:val="none"/>
          <w:lang w:eastAsia="zh-CN"/>
        </w:rPr>
        <w:drawing>
          <wp:inline distT="0" distB="0" distL="114300" distR="114300">
            <wp:extent cx="4679950" cy="3775075"/>
            <wp:effectExtent l="0" t="0" r="6350" b="15875"/>
            <wp:docPr id="20" name="图片 20" descr="Figure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igure S7"/>
                    <pic:cNvPicPr>
                      <a:picLocks noChangeAspect="1"/>
                    </pic:cNvPicPr>
                  </pic:nvPicPr>
                  <pic:blipFill>
                    <a:blip r:embed="rId10"/>
                    <a:srcRect l="8418" t="8519" r="12258" b="6167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77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56" w:afterLines="50" w:line="480" w:lineRule="auto"/>
        <w:rPr>
          <w:sz w:val="24"/>
        </w:rPr>
      </w:pPr>
      <w:r>
        <w:rPr>
          <w:rFonts w:hint="eastAsia"/>
          <w:b/>
          <w:bCs/>
          <w:sz w:val="24"/>
          <w:highlight w:val="none"/>
        </w:rPr>
        <w:t>Fig.</w:t>
      </w:r>
      <w:r>
        <w:rPr>
          <w:b/>
          <w:bCs/>
          <w:sz w:val="24"/>
          <w:highlight w:val="none"/>
        </w:rPr>
        <w:t xml:space="preserve"> </w:t>
      </w:r>
      <w:r>
        <w:rPr>
          <w:rFonts w:hint="eastAsia"/>
          <w:b/>
          <w:bCs/>
          <w:sz w:val="24"/>
          <w:highlight w:val="none"/>
        </w:rPr>
        <w:t>S7</w:t>
      </w:r>
      <w:r>
        <w:rPr>
          <w:rFonts w:hint="eastAsia"/>
          <w:sz w:val="24"/>
          <w:highlight w:val="none"/>
        </w:rPr>
        <w:t xml:space="preserve"> SIRT3 </w:t>
      </w:r>
      <w:r>
        <w:rPr>
          <w:sz w:val="24"/>
          <w:highlight w:val="none"/>
        </w:rPr>
        <w:t xml:space="preserve">expression </w:t>
      </w:r>
      <w:r>
        <w:rPr>
          <w:rFonts w:hint="eastAsia"/>
          <w:sz w:val="24"/>
          <w:highlight w:val="none"/>
        </w:rPr>
        <w:t xml:space="preserve">regulated SLC7A11 expression through IRP1. </w:t>
      </w:r>
      <w:r>
        <w:rPr>
          <w:rFonts w:hint="eastAsia"/>
          <w:b/>
          <w:bCs/>
          <w:sz w:val="24"/>
          <w:highlight w:val="none"/>
        </w:rPr>
        <w:t>A</w:t>
      </w:r>
      <w:r>
        <w:rPr>
          <w:rFonts w:hint="eastAsia"/>
          <w:sz w:val="24"/>
          <w:highlight w:val="none"/>
        </w:rPr>
        <w:t xml:space="preserve"> Knockdown of SIRT3 inhibited IRP1 expression in U251 cells at mRNA level. </w:t>
      </w:r>
      <w:r>
        <w:rPr>
          <w:rFonts w:hint="eastAsia"/>
          <w:b/>
          <w:bCs/>
          <w:sz w:val="24"/>
          <w:highlight w:val="none"/>
        </w:rPr>
        <w:t>B</w:t>
      </w:r>
      <w:r>
        <w:rPr>
          <w:rFonts w:hint="eastAsia"/>
          <w:sz w:val="24"/>
          <w:highlight w:val="none"/>
        </w:rPr>
        <w:t xml:space="preserve"> Knockdown of SIRT3 inhibited IRP1 expression in U251 cells at protein level. </w:t>
      </w:r>
      <w:r>
        <w:rPr>
          <w:rFonts w:hint="eastAsia"/>
          <w:b/>
          <w:bCs/>
          <w:sz w:val="24"/>
          <w:highlight w:val="none"/>
        </w:rPr>
        <w:t>C</w:t>
      </w:r>
      <w:r>
        <w:rPr>
          <w:rFonts w:hint="eastAsia"/>
          <w:sz w:val="24"/>
          <w:highlight w:val="none"/>
        </w:rPr>
        <w:t xml:space="preserve"> Forced expression of IRP1 in U251 cells </w:t>
      </w:r>
      <w:r>
        <w:rPr>
          <w:sz w:val="24"/>
          <w:highlight w:val="none"/>
        </w:rPr>
        <w:t xml:space="preserve">with SIRT3 knockdown </w:t>
      </w:r>
      <w:r>
        <w:rPr>
          <w:rFonts w:hint="eastAsia"/>
          <w:sz w:val="24"/>
          <w:highlight w:val="none"/>
        </w:rPr>
        <w:t xml:space="preserve">rescued SLC7A11 expression at </w:t>
      </w:r>
      <w:r>
        <w:rPr>
          <w:sz w:val="24"/>
          <w:highlight w:val="none"/>
        </w:rPr>
        <w:t xml:space="preserve">the </w:t>
      </w:r>
      <w:r>
        <w:rPr>
          <w:rFonts w:hint="eastAsia"/>
          <w:sz w:val="24"/>
          <w:highlight w:val="none"/>
        </w:rPr>
        <w:t xml:space="preserve">mRNA level. </w:t>
      </w:r>
      <w:r>
        <w:rPr>
          <w:rFonts w:hint="eastAsia"/>
          <w:b/>
          <w:bCs/>
          <w:sz w:val="24"/>
          <w:highlight w:val="none"/>
        </w:rPr>
        <w:t>D</w:t>
      </w:r>
      <w:r>
        <w:rPr>
          <w:rFonts w:hint="eastAsia"/>
          <w:sz w:val="24"/>
          <w:highlight w:val="none"/>
        </w:rPr>
        <w:t xml:space="preserve"> Forced expression of IRP1 in U251 cells</w:t>
      </w:r>
      <w:r>
        <w:rPr>
          <w:sz w:val="24"/>
          <w:highlight w:val="none"/>
        </w:rPr>
        <w:t xml:space="preserve"> with SIRT3 knockdown</w:t>
      </w:r>
      <w:r>
        <w:rPr>
          <w:rFonts w:hint="eastAsia"/>
          <w:sz w:val="24"/>
          <w:highlight w:val="none"/>
        </w:rPr>
        <w:t xml:space="preserve"> rescued SLC7A11 expression at </w:t>
      </w:r>
      <w:r>
        <w:rPr>
          <w:sz w:val="24"/>
          <w:highlight w:val="none"/>
        </w:rPr>
        <w:t xml:space="preserve">the </w:t>
      </w:r>
      <w:r>
        <w:rPr>
          <w:rFonts w:hint="eastAsia"/>
          <w:sz w:val="24"/>
          <w:highlight w:val="none"/>
        </w:rPr>
        <w:t xml:space="preserve">protein level. </w:t>
      </w:r>
      <w:r>
        <w:rPr>
          <w:rFonts w:hint="eastAsia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****p&lt;0.0001. </w:t>
      </w:r>
      <w:r>
        <w:rPr>
          <w:rFonts w:hint="eastAsia"/>
          <w:sz w:val="24"/>
        </w:rPr>
        <w:br w:type="page"/>
      </w:r>
    </w:p>
    <w:p>
      <w:pPr>
        <w:spacing w:line="480" w:lineRule="auto"/>
        <w:jc w:val="center"/>
        <w:rPr>
          <w:rFonts w:hint="eastAsia" w:eastAsiaTheme="minorEastAsia"/>
          <w:sz w:val="24"/>
          <w:lang w:eastAsia="zh-CN"/>
        </w:rPr>
      </w:pPr>
      <w:r>
        <w:rPr>
          <w:rFonts w:hint="eastAsia" w:eastAsiaTheme="minorEastAsia"/>
          <w:sz w:val="24"/>
          <w:lang w:eastAsia="zh-CN"/>
        </w:rPr>
        <w:drawing>
          <wp:inline distT="0" distB="0" distL="114300" distR="114300">
            <wp:extent cx="5100955" cy="2131695"/>
            <wp:effectExtent l="0" t="0" r="4445" b="1905"/>
            <wp:docPr id="21" name="图片 21" descr="Figure 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Figure S8"/>
                    <pic:cNvPicPr>
                      <a:picLocks noChangeAspect="1"/>
                    </pic:cNvPicPr>
                  </pic:nvPicPr>
                  <pic:blipFill>
                    <a:blip r:embed="rId11"/>
                    <a:srcRect l="10175" t="24847" r="11278" b="31385"/>
                    <a:stretch>
                      <a:fillRect/>
                    </a:stretch>
                  </pic:blipFill>
                  <pic:spPr>
                    <a:xfrm>
                      <a:off x="0" y="0"/>
                      <a:ext cx="510095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 w:eastAsiaTheme="minorEastAsia"/>
          <w:sz w:val="24"/>
          <w:lang w:eastAsia="zh-CN"/>
        </w:rPr>
      </w:pPr>
      <w:r>
        <w:rPr>
          <w:rFonts w:hint="eastAsia"/>
          <w:b/>
          <w:bCs/>
          <w:sz w:val="24"/>
        </w:rPr>
        <w:t>Fig.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S8</w:t>
      </w:r>
      <w:r>
        <w:rPr>
          <w:rFonts w:hint="eastAsia"/>
          <w:sz w:val="24"/>
        </w:rPr>
        <w:t xml:space="preserve"> Knockdown of SIRT3 did not alter the </w:t>
      </w:r>
      <w:r>
        <w:rPr>
          <w:sz w:val="24"/>
        </w:rPr>
        <w:t xml:space="preserve">signaling </w:t>
      </w:r>
      <w:r>
        <w:rPr>
          <w:rFonts w:hint="eastAsia"/>
          <w:sz w:val="24"/>
        </w:rPr>
        <w:t xml:space="preserve">activities of </w:t>
      </w:r>
      <w:r>
        <w:rPr>
          <w:sz w:val="24"/>
        </w:rPr>
        <w:t xml:space="preserve">the </w:t>
      </w:r>
      <w:r>
        <w:rPr>
          <w:rFonts w:hint="eastAsia"/>
          <w:sz w:val="24"/>
        </w:rPr>
        <w:t xml:space="preserve">AKT and AMPK-mTOR pathways in U251 cells. </w:t>
      </w:r>
      <w:r>
        <w:rPr>
          <w:rFonts w:hint="eastAsia"/>
          <w:b/>
          <w:bCs/>
          <w:sz w:val="24"/>
        </w:rPr>
        <w:t>A</w:t>
      </w:r>
      <w:r>
        <w:rPr>
          <w:rFonts w:hint="eastAsia"/>
          <w:sz w:val="24"/>
        </w:rPr>
        <w:t xml:space="preserve"> Knockdown of SIRT3 did not alter AKT pathway</w:t>
      </w:r>
      <w:r>
        <w:rPr>
          <w:sz w:val="24"/>
        </w:rPr>
        <w:t xml:space="preserve"> signaling activity</w:t>
      </w:r>
      <w:r>
        <w:rPr>
          <w:rFonts w:hint="eastAsia"/>
          <w:sz w:val="24"/>
        </w:rPr>
        <w:t xml:space="preserve">. </w:t>
      </w:r>
      <w:r>
        <w:rPr>
          <w:rFonts w:hint="eastAsia"/>
          <w:b/>
          <w:bCs/>
          <w:sz w:val="24"/>
        </w:rPr>
        <w:t>B</w:t>
      </w:r>
      <w:r>
        <w:rPr>
          <w:rFonts w:hint="eastAsia"/>
          <w:sz w:val="24"/>
        </w:rPr>
        <w:t xml:space="preserve"> Knockdown of SIRT3 did not alter AMPK-mTOR pathway</w:t>
      </w:r>
      <w:r>
        <w:rPr>
          <w:sz w:val="24"/>
        </w:rPr>
        <w:t xml:space="preserve"> signaling activity</w:t>
      </w:r>
      <w:r>
        <w:rPr>
          <w:rFonts w:hint="eastAsia"/>
          <w:sz w:val="24"/>
        </w:rPr>
        <w:t>.</w:t>
      </w:r>
    </w:p>
    <w:p>
      <w:bookmarkStart w:id="14" w:name="_GoBack"/>
      <w:bookmarkEnd w:id="1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lYWYwMDc4ZDY1YzdhYTkyZTMyNGJiZWNlZDZmNWMifQ=="/>
  </w:docVars>
  <w:rsids>
    <w:rsidRoot w:val="60A70745"/>
    <w:rsid w:val="60A7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1.1不引用目录"/>
    <w:basedOn w:val="1"/>
    <w:next w:val="1"/>
    <w:qFormat/>
    <w:uiPriority w:val="0"/>
    <w:pPr>
      <w:spacing w:before="50" w:beforeLines="50" w:after="50" w:afterLines="50" w:line="400" w:lineRule="exact"/>
    </w:pPr>
    <w:rPr>
      <w:rFonts w:ascii="Times New Roman" w:hAnsi="Times New Roman" w:eastAsia="黑体" w:cs="Times New Roman"/>
      <w:bCs/>
      <w:sz w:val="28"/>
      <w:szCs w:val="3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2023-09-07T08:30:00Z</dcterms:created>
  <dc:creator>CR</dc:creator>
  <cp:lastModifiedBy>CR</cp:lastModifiedBy>
  <dcterms:modified xsi:type="dcterms:W3CDTF">2023-09-07T08:32:10Z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570342F4391843BF8C2BE28EC55E1DDC_11</vt:lpwstr>
  </property>
</Properties>
</file>