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D34FF3" w14:textId="77777777" w:rsidR="00FC1E13" w:rsidRDefault="00FC1E13" w:rsidP="00FC1E13">
      <w:pPr>
        <w:spacing w:after="8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 xml:space="preserve">Appendices </w:t>
      </w:r>
    </w:p>
    <w:p w14:paraId="47AF122A" w14:textId="77777777" w:rsidR="00FC1E13" w:rsidRDefault="00FC1E13" w:rsidP="00FC1E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"/>
        </w:rPr>
        <w:t>Appendix A.1 - Description of variables and data source</w:t>
      </w:r>
    </w:p>
    <w:tbl>
      <w:tblPr>
        <w:tblStyle w:val="a7"/>
        <w:tblW w:w="10215" w:type="dxa"/>
        <w:jc w:val="center"/>
        <w:tblInd w:w="0" w:type="dxa"/>
        <w:tblBorders>
          <w:top w:val="single" w:sz="4" w:space="0" w:color="000000"/>
          <w:bottom w:val="single" w:sz="4" w:space="0" w:color="000000"/>
          <w:insideH w:val="nil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71"/>
        <w:gridCol w:w="5392"/>
        <w:gridCol w:w="852"/>
      </w:tblGrid>
      <w:tr w:rsidR="00FC1E13" w14:paraId="2728D466" w14:textId="77777777" w:rsidTr="00FC1E13">
        <w:trPr>
          <w:jc w:val="center"/>
        </w:trPr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2258BCE3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"/>
              </w:rPr>
              <w:t>Variable</w:t>
            </w:r>
          </w:p>
        </w:tc>
        <w:tc>
          <w:tcPr>
            <w:tcW w:w="53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1530BF5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"/>
              </w:rPr>
              <w:t>Description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9FE9863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C1E13" w14:paraId="0A038B50" w14:textId="77777777" w:rsidTr="00FC1E13">
        <w:trPr>
          <w:jc w:val="center"/>
        </w:trPr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64691D00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"/>
              </w:rPr>
              <w:t>Treatment</w:t>
            </w:r>
          </w:p>
        </w:tc>
        <w:tc>
          <w:tcPr>
            <w:tcW w:w="53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F8A81F0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Access to information – Ministry of Citizenship (MC)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FA78E1B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MC</w:t>
            </w:r>
          </w:p>
        </w:tc>
      </w:tr>
      <w:tr w:rsidR="00FC1E13" w14:paraId="23F7D039" w14:textId="77777777" w:rsidTr="00FC1E13">
        <w:trPr>
          <w:jc w:val="center"/>
        </w:trPr>
        <w:tc>
          <w:tcPr>
            <w:tcW w:w="935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50425F3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"/>
              </w:rPr>
              <w:t>Result: Mortality Rate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extDirection w:val="btLr"/>
            <w:hideMark/>
          </w:tcPr>
          <w:p w14:paraId="4B30A35C" w14:textId="77777777" w:rsidR="00FC1E13" w:rsidRDefault="00FC1E13">
            <w:pPr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"/>
              </w:rPr>
              <w:t>DataSUS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"/>
              </w:rPr>
              <w:t xml:space="preserve"> – available until 2019</w:t>
            </w:r>
          </w:p>
        </w:tc>
      </w:tr>
      <w:tr w:rsidR="00FC1E13" w14:paraId="703098E5" w14:textId="77777777" w:rsidTr="00FC1E13">
        <w:trPr>
          <w:jc w:val="center"/>
        </w:trPr>
        <w:tc>
          <w:tcPr>
            <w:tcW w:w="3969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74FBDF57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Due to preventable deaths – under 5 years old</w:t>
            </w:r>
          </w:p>
        </w:tc>
        <w:tc>
          <w:tcPr>
            <w:tcW w:w="538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hideMark/>
          </w:tcPr>
          <w:p w14:paraId="7DB3F521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Deaths resulting from causes that the health system is unable to address, per thousand children up to five years of age.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7BCFDBCF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2B581C06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667D69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By fetal deaths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14:paraId="5DE5CE21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Deaths up to 22 weeks of pregnancy and those occurring up to seven days after birth, per thousand children born alive.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5421AF8A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068B2A19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37D251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By infant deaths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14:paraId="6E8C59D8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Deaths of children up to one year, per thousand children born alive.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195FAD61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32E27E78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DABBFA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By maternal deaths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14:paraId="196A36D2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Deaths of women during or after the end of pregnancy, per thousand women of childbearing age (15 to 49 years).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1AC5D754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7E28FD85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1A89FA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Due to external causes – 1 to 4 years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14:paraId="332C0121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 thousand inhabitants of the respective age group.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3A342981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09DE9F5D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0592D859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Due to external causes – up to one year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D8279B7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 thousand live births.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418441D7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6C158384" w14:textId="77777777" w:rsidTr="00FC1E13">
        <w:trPr>
          <w:jc w:val="center"/>
        </w:trPr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C94667C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"/>
              </w:rPr>
              <w:t xml:space="preserve">Result: Nutritional status </w:t>
            </w:r>
          </w:p>
        </w:tc>
        <w:tc>
          <w:tcPr>
            <w:tcW w:w="53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42C89A0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textDirection w:val="btLr"/>
            <w:hideMark/>
          </w:tcPr>
          <w:p w14:paraId="5BA88C26" w14:textId="77777777" w:rsidR="00FC1E13" w:rsidRDefault="00FC1E13">
            <w:pPr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"/>
              </w:rPr>
              <w:t>SISVAN – available from 2012 to 2021</w:t>
            </w:r>
          </w:p>
        </w:tc>
      </w:tr>
      <w:tr w:rsidR="00FC1E13" w14:paraId="37E71874" w14:textId="77777777" w:rsidTr="00FC1E13">
        <w:trPr>
          <w:jc w:val="center"/>
        </w:trPr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0634682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Of the pregnant woman</w:t>
            </w:r>
          </w:p>
        </w:tc>
        <w:tc>
          <w:tcPr>
            <w:tcW w:w="53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B949DE7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Proportion of individuals in the municipality diagnosed with low weight, adequate weight, overweight and obesity.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1F7A74FF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FC1E13" w14:paraId="5778984B" w14:textId="77777777" w:rsidTr="00FC1E13">
        <w:trPr>
          <w:jc w:val="center"/>
        </w:trPr>
        <w:tc>
          <w:tcPr>
            <w:tcW w:w="3969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37A1EE5C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Children from 0 to 6 months – weight x height</w:t>
            </w:r>
          </w:p>
        </w:tc>
        <w:tc>
          <w:tcPr>
            <w:tcW w:w="5386" w:type="dxa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14:paraId="5A421F8E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Proportion of individuals in the municipality with a denomination of pronounced thinness, thinness, adequate weight, risk of overweight, overweight and obesity.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35C16626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FC1E13" w14:paraId="176BFCC4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487762F1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Children from 0 to 2 Years – weight x height</w:t>
            </w:r>
          </w:p>
        </w:tc>
        <w:tc>
          <w:tcPr>
            <w:tcW w:w="5386" w:type="dxa"/>
            <w:vMerge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14:paraId="271B8E65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6732802C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FC1E13" w14:paraId="36A48A53" w14:textId="77777777" w:rsidTr="00FC1E13">
        <w:trPr>
          <w:jc w:val="center"/>
        </w:trPr>
        <w:tc>
          <w:tcPr>
            <w:tcW w:w="935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4CCAA72" w14:textId="77777777" w:rsidR="00FC1E13" w:rsidRDefault="00FC1E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"/>
              </w:rPr>
              <w:t>Covariates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hideMark/>
          </w:tcPr>
          <w:p w14:paraId="5AB39694" w14:textId="77777777" w:rsidR="00FC1E13" w:rsidRDefault="00FC1E13">
            <w:pPr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"/>
              </w:rPr>
              <w:t>CadÚnico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"/>
              </w:rPr>
              <w:t xml:space="preserve"> Microdata – Available from 2012 to 2018</w:t>
            </w:r>
          </w:p>
        </w:tc>
      </w:tr>
      <w:tr w:rsidR="00FC1E13" w14:paraId="18DBBF7D" w14:textId="77777777" w:rsidTr="00FC1E13">
        <w:trPr>
          <w:jc w:val="center"/>
        </w:trPr>
        <w:tc>
          <w:tcPr>
            <w:tcW w:w="3969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615B74D5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0" w:name="_Hlk108083352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 capita income</w:t>
            </w:r>
          </w:p>
        </w:tc>
        <w:tc>
          <w:tcPr>
            <w:tcW w:w="538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hideMark/>
          </w:tcPr>
          <w:p w14:paraId="0C9DF1B0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Average value of per capita family income.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24DAC67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52FD202B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4DF09B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urban population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14:paraId="66144E1C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families living in urban areas.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4058647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3CB26480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C7EB4F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Number of rooms in the household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14:paraId="379B1FCC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Average number of rooms in households.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51FB6BD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75E08E3D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C6554C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Number of bedrooms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14:paraId="2DC3136F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Average number of rooms used as bedrooms in the household.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FCD6676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63B984A9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BD9E0A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households that have an earth floor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14:paraId="7F64C46A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households whose predominant floor material is earth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7D00E18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19729542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232E58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houses in masonry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14:paraId="63B5D5D6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households whose predominant material on the external walls of the household is masonry.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1D953D9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08CAA0E0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D4CE41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households with water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14:paraId="0DF9862F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households with water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89D6223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2820AB8C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8A61C7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households with mains or well water supply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14:paraId="37D5F62C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households whose form of water supply is the general network or well/spring.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651B886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4BE70771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61DC8D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households with a bathroom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14:paraId="2D56B3AA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households with a bathroom.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2373B33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3213BECC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1553E3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households with sewage drainage – cesspool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14:paraId="42402380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households with a form of sanitary drainage that is not a sewage system.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19EBF0A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645FF0EC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8B5B9F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households with garbage collection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14:paraId="0F46AF7E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households whose form of garbage collection is collection.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5C72840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33CB3841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AA6720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households with electricity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14:paraId="574304D9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households with electricity.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11DEAF3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0B02FBEE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39F680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households with pavement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14:paraId="48B23AA8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households with pavement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88114AC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71EFBD19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878D3D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Percentage of households receiving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"/>
              </w:rPr>
              <w:t xml:space="preserve">Bolsa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"/>
              </w:rPr>
              <w:t>Família</w:t>
            </w:r>
            <w:proofErr w:type="spellEnd"/>
          </w:p>
        </w:tc>
        <w:tc>
          <w:tcPr>
            <w:tcW w:w="5386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14:paraId="47422458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Percentage of beneficiary households in the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"/>
              </w:rPr>
              <w:t>Programa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"/>
              </w:rPr>
              <w:t xml:space="preserve"> Bolsa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"/>
              </w:rPr>
              <w:t>Família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"/>
              </w:rPr>
              <w:t>.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F790CE0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3811EAAD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364C1D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female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F12BAE4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C98AC2B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767057A9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64CED5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color/race – white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05F8F02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CFDFA19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476EC16E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DFF2A4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color/race – black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06C6E59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AD20DF8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0374DFBA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FF7232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color/race – yellow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8CCF52E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9E6B9DB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0D20F9A7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B79BE4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color/race – brown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FE451F1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5287BC4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3A13E065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164147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children under three in school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14:paraId="01D310D2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children under three years of age attending school.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938FB78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46241C15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945D35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mothers with completed primary education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1C87DEB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39354AD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0BFCCD34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563B0A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mothers with completed secondary education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123F55A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B886E51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730EC5B5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590B12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lastRenderedPageBreak/>
              <w:t>Percentage of fathers with completed primary education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F0AA0CE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5C7F4FF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2AB43B2C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C3A040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fathers with completed secondary education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3E77584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19420A0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FC1E13" w14:paraId="39AB98F4" w14:textId="77777777" w:rsidTr="00FC1E13">
        <w:trPr>
          <w:jc w:val="center"/>
        </w:trPr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5F4EBE6E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Percentage of working mothers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AEC772F" w14:textId="77777777" w:rsidR="00FC1E13" w:rsidRDefault="00FC1E1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CA539EB" w14:textId="77777777" w:rsidR="00FC1E13" w:rsidRDefault="00FC1E1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</w:tbl>
    <w:bookmarkEnd w:id="0"/>
    <w:p w14:paraId="0717A568" w14:textId="77777777" w:rsidR="00FC1E13" w:rsidRDefault="00FC1E13" w:rsidP="00FC1E1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"/>
        </w:rPr>
        <w:t>Source: prepared by the authors.</w:t>
      </w:r>
    </w:p>
    <w:p w14:paraId="31313550" w14:textId="77777777" w:rsidR="00FC1E13" w:rsidRDefault="00FC1E13" w:rsidP="00FC1E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7D7102F" w14:textId="77777777" w:rsidR="00FC1E13" w:rsidRDefault="00FC1E13" w:rsidP="00FC1E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094B7EA" w14:textId="77777777" w:rsidR="00FC1E13" w:rsidRDefault="00FC1E13" w:rsidP="00FC1E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"/>
        </w:rPr>
        <w:t>Appendix A.2 - Trajectory graphs of treatment and control groups</w:t>
      </w:r>
    </w:p>
    <w:p w14:paraId="04604183" w14:textId="7A51F7D6" w:rsidR="00FC1E13" w:rsidRDefault="00FC1E13" w:rsidP="00FC1E13">
      <w:pPr>
        <w:spacing w:after="0" w:line="240" w:lineRule="auto"/>
        <w:ind w:hanging="851"/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val="en-US"/>
        </w:rPr>
        <w:drawing>
          <wp:inline distT="0" distB="0" distL="0" distR="0" wp14:anchorId="1E818B8D" wp14:editId="6E16C35F">
            <wp:extent cx="5943600" cy="1655445"/>
            <wp:effectExtent l="0" t="0" r="0" b="1905"/>
            <wp:docPr id="1" name="Picture 1" descr="Interface gráfica do usuário, Texto, Aplicativ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nterface gráfica do usuário, Texto, Aplicativ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5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BDE639" w14:textId="77777777" w:rsidR="00FC1E13" w:rsidRDefault="00FC1E13" w:rsidP="00FC1E1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"/>
        </w:rPr>
        <w:t>Source: prepared by the authors.</w:t>
      </w:r>
    </w:p>
    <w:p w14:paraId="3F361C48" w14:textId="77777777" w:rsidR="00FC1E13" w:rsidRDefault="00FC1E13" w:rsidP="00FC1E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9E7CE80" w14:textId="77777777" w:rsidR="00FC1E13" w:rsidRDefault="00FC1E13" w:rsidP="00FC1E13">
      <w:pPr>
        <w:rPr>
          <w:lang w:val="en-US"/>
        </w:rPr>
      </w:pPr>
    </w:p>
    <w:p w14:paraId="24E3983C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E13"/>
    <w:rsid w:val="00AD1398"/>
    <w:rsid w:val="00FC1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CE18A"/>
  <w15:chartTrackingRefBased/>
  <w15:docId w15:val="{CB4A44FA-DAC9-4F40-8005-9B76B1B88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1E13"/>
    <w:pPr>
      <w:spacing w:line="256" w:lineRule="auto"/>
    </w:pPr>
    <w:rPr>
      <w:rFonts w:ascii="Calibri" w:eastAsia="Calibri" w:hAnsi="Calibri" w:cs="Calibri"/>
      <w:lang w:val="pt-BR"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a7">
    <w:name w:val="a7"/>
    <w:basedOn w:val="TableNormal"/>
    <w:rsid w:val="00FC1E13"/>
    <w:pPr>
      <w:spacing w:after="0" w:line="240" w:lineRule="auto"/>
    </w:pPr>
    <w:rPr>
      <w:rFonts w:ascii="Calibri" w:eastAsia="Calibri" w:hAnsi="Calibri" w:cs="Calibri"/>
      <w:kern w:val="2"/>
      <w:lang w:val="pt-BR" w:eastAsia="pt-BR"/>
      <w14:ligatures w14:val="standardContextual"/>
    </w:rPr>
    <w:tblPr>
      <w:tblStyleRowBandSize w:val="1"/>
      <w:tblStyleColBandSize w:val="1"/>
      <w:tblInd w:w="0" w:type="nil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2178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526</Words>
  <Characters>3001</Characters>
  <Application>Microsoft Office Word</Application>
  <DocSecurity>0</DocSecurity>
  <Lines>25</Lines>
  <Paragraphs>7</Paragraphs>
  <ScaleCrop>false</ScaleCrop>
  <Company>Springer Nature</Company>
  <LinksUpToDate>false</LinksUpToDate>
  <CharactersWithSpaces>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2023-10-31T05:42:00Z</dcterms:created>
  <dcterms:modified xsi:type="dcterms:W3CDTF">2023-10-31T05:42:00Z</dcterms:modified>
</cp:coreProperties>
</file>