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EEDB1" w14:textId="77777777" w:rsidR="00615452" w:rsidRDefault="00615452" w:rsidP="00615452">
      <w:pPr>
        <w:spacing w:line="480" w:lineRule="auto"/>
        <w:jc w:val="left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Supplement </w:t>
      </w:r>
      <w:proofErr w:type="gramStart"/>
      <w:r>
        <w:rPr>
          <w:rFonts w:cs="Times New Roman"/>
          <w:b/>
          <w:bCs/>
          <w:sz w:val="24"/>
          <w:szCs w:val="24"/>
        </w:rPr>
        <w:t>figure</w:t>
      </w:r>
      <w:proofErr w:type="gramEnd"/>
    </w:p>
    <w:p w14:paraId="30C15A0C" w14:textId="77777777" w:rsidR="00615452" w:rsidRDefault="00615452" w:rsidP="00615452">
      <w:pPr>
        <w:spacing w:line="480" w:lineRule="auto"/>
        <w:jc w:val="left"/>
        <w:rPr>
          <w:rFonts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3BDE07B" wp14:editId="465981EF">
            <wp:extent cx="5253990" cy="4712970"/>
            <wp:effectExtent l="0" t="0" r="3810" b="0"/>
            <wp:docPr id="10" name="图片 10" descr="A group of bar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 group of bar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471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8416D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Fig.S1: Functional enrichment analysis results of ICD-related hub genes </w:t>
      </w:r>
    </w:p>
    <w:p w14:paraId="45E29584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</w:p>
    <w:p w14:paraId="208EB528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</w:p>
    <w:p w14:paraId="1DC88EF5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2DA90F4" wp14:editId="45F7C665">
            <wp:extent cx="5274310" cy="2207895"/>
            <wp:effectExtent l="0" t="0" r="2540" b="1905"/>
            <wp:docPr id="11" name="图片 11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 diagram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11529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Fig S2: Lasso-Cox correlation results for the 23 ICD-related signatures.</w:t>
      </w:r>
    </w:p>
    <w:p w14:paraId="3A359CAA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A. The change trajectory of each independent variable, the horizontal axis represents the log value of the independent variable lambda, and the vertical axis represents the coefficient of the independent variable. </w:t>
      </w:r>
    </w:p>
    <w:p w14:paraId="35C7E646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B. Confidence intervals under each lambda.</w:t>
      </w:r>
    </w:p>
    <w:p w14:paraId="50D9CDF7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C: regression coefficient of Signature. </w:t>
      </w:r>
    </w:p>
    <w:p w14:paraId="4EBF61F5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</w:p>
    <w:p w14:paraId="1F1DDD0E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</w:p>
    <w:p w14:paraId="57B62EE3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D82DDF1" wp14:editId="30894ACE">
            <wp:extent cx="5247005" cy="5387975"/>
            <wp:effectExtent l="0" t="0" r="0" b="3175"/>
            <wp:docPr id="12" name="图片 12" descr="A collage of graphs and ch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 collage of graphs and char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538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19B47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Fig.S3: Validation results of the ICD-related prognostic risk model in the independent dataset GSE83300</w:t>
      </w:r>
    </w:p>
    <w:p w14:paraId="211E99FC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A: Score distribution diagram of each sample in the training set GSE83300 cohort.</w:t>
      </w:r>
    </w:p>
    <w:p w14:paraId="2E060BF4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B: survival of each sample in the training set GSE83300 cohort.</w:t>
      </w:r>
    </w:p>
    <w:p w14:paraId="39054AFC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C: Expression heatmap in Signature high and low score groups.</w:t>
      </w:r>
    </w:p>
    <w:p w14:paraId="1B1A79FE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D: survival of high and low score groups.</w:t>
      </w:r>
    </w:p>
    <w:p w14:paraId="61C6D3F2" w14:textId="77777777" w:rsidR="00615452" w:rsidRDefault="00615452" w:rsidP="00615452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E: time-dependent ROC curve</w:t>
      </w:r>
    </w:p>
    <w:p w14:paraId="595BC098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452"/>
    <w:rsid w:val="001777A1"/>
    <w:rsid w:val="00615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E2E42"/>
  <w15:chartTrackingRefBased/>
  <w15:docId w15:val="{7F5005F3-A441-4385-AB01-820C8906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5452"/>
    <w:pPr>
      <w:widowControl w:val="0"/>
      <w:spacing w:after="0" w:line="240" w:lineRule="auto"/>
      <w:jc w:val="both"/>
    </w:pPr>
    <w:rPr>
      <w:rFonts w:ascii="Times New Roman" w:eastAsia="SimSun" w:hAnsi="Times New Roman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2024-04-10T19:19:00Z</dcterms:created>
  <dcterms:modified xsi:type="dcterms:W3CDTF">2024-04-10T19:20:00Z</dcterms:modified>
</cp:coreProperties>
</file>