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13031" w14:textId="77777777" w:rsidR="000E6DE3" w:rsidRPr="00184931" w:rsidRDefault="000E6DE3" w:rsidP="000E6DE3">
      <w:pPr>
        <w:spacing w:line="480" w:lineRule="auto"/>
        <w:jc w:val="left"/>
        <w:rPr>
          <w:rFonts w:cs="Times New Roman"/>
          <w:b/>
          <w:bCs/>
          <w:noProof/>
          <w:sz w:val="24"/>
          <w:szCs w:val="24"/>
        </w:rPr>
      </w:pPr>
      <w:r w:rsidRPr="00184931">
        <w:rPr>
          <w:rFonts w:cs="Times New Roman"/>
          <w:b/>
          <w:bCs/>
          <w:noProof/>
          <w:sz w:val="24"/>
          <w:szCs w:val="24"/>
        </w:rPr>
        <w:t>Supplement figure</w:t>
      </w:r>
    </w:p>
    <w:p w14:paraId="2FF2B918" w14:textId="77777777" w:rsidR="000E6DE3" w:rsidRDefault="000E6DE3" w:rsidP="000E6DE3">
      <w:pPr>
        <w:spacing w:line="480" w:lineRule="auto"/>
        <w:jc w:val="left"/>
        <w:rPr>
          <w:rFonts w:cs="Times New Roman"/>
          <w:noProof/>
          <w:sz w:val="24"/>
          <w:szCs w:val="24"/>
        </w:rPr>
      </w:pPr>
    </w:p>
    <w:p w14:paraId="0DB399C6" w14:textId="77777777" w:rsidR="000E6DE3" w:rsidRPr="00184931" w:rsidRDefault="000E6DE3" w:rsidP="000E6DE3">
      <w:pPr>
        <w:spacing w:line="480" w:lineRule="auto"/>
        <w:jc w:val="left"/>
        <w:rPr>
          <w:rFonts w:cs="Times New Roman"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1BB0F905" wp14:editId="6F4DF46E">
            <wp:extent cx="5253990" cy="4712970"/>
            <wp:effectExtent l="0" t="0" r="381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990" cy="471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F026B" w14:textId="77777777" w:rsidR="000E6DE3" w:rsidRPr="00184931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  <w:r w:rsidRPr="00184931">
        <w:rPr>
          <w:rFonts w:cs="Times New Roman"/>
          <w:noProof/>
          <w:sz w:val="24"/>
          <w:szCs w:val="24"/>
        </w:rPr>
        <w:t>Fig.S1: Functional enrichment analysis results of ICD-related hub genes </w:t>
      </w:r>
    </w:p>
    <w:p w14:paraId="46AC9345" w14:textId="77777777" w:rsidR="000E6DE3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  <w:r w:rsidRPr="00184931">
        <w:rPr>
          <w:rFonts w:cs="Times New Roman"/>
          <w:noProof/>
          <w:sz w:val="24"/>
          <w:szCs w:val="24"/>
        </w:rPr>
        <w:t xml:space="preserve"> </w:t>
      </w:r>
    </w:p>
    <w:p w14:paraId="659A9415" w14:textId="77777777" w:rsidR="000E6DE3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</w:p>
    <w:p w14:paraId="762FD78C" w14:textId="77777777" w:rsidR="000E6DE3" w:rsidRPr="00184931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CA718F9" wp14:editId="5175C96B">
            <wp:extent cx="5274310" cy="2207895"/>
            <wp:effectExtent l="0" t="0" r="254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0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6D019C" w14:textId="77777777" w:rsidR="000E6DE3" w:rsidRPr="00184931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  <w:r w:rsidRPr="00184931">
        <w:rPr>
          <w:rFonts w:cs="Times New Roman"/>
          <w:noProof/>
          <w:sz w:val="24"/>
          <w:szCs w:val="24"/>
        </w:rPr>
        <w:t>Fig S2: Lasso-Cox correlation results for the 23 ICD-related signatures.</w:t>
      </w:r>
    </w:p>
    <w:p w14:paraId="04E378F2" w14:textId="77777777" w:rsidR="000E6DE3" w:rsidRPr="00184931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  <w:r w:rsidRPr="00184931">
        <w:rPr>
          <w:rFonts w:cs="Times New Roman"/>
          <w:noProof/>
          <w:sz w:val="24"/>
          <w:szCs w:val="24"/>
        </w:rPr>
        <w:t xml:space="preserve">A. The change trajectory of each independent variable, the horizontal axis represents the log value of the independent variable lambda, and the vertical axis represents the coefficient of the independent variable. </w:t>
      </w:r>
    </w:p>
    <w:p w14:paraId="25A38307" w14:textId="77777777" w:rsidR="000E6DE3" w:rsidRPr="00184931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  <w:r w:rsidRPr="00184931">
        <w:rPr>
          <w:rFonts w:cs="Times New Roman"/>
          <w:noProof/>
          <w:sz w:val="24"/>
          <w:szCs w:val="24"/>
        </w:rPr>
        <w:t>B. Confidence intervals under each lambda.</w:t>
      </w:r>
    </w:p>
    <w:p w14:paraId="0CE67658" w14:textId="77777777" w:rsidR="000E6DE3" w:rsidRPr="00184931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  <w:r w:rsidRPr="00184931">
        <w:rPr>
          <w:rFonts w:cs="Times New Roman"/>
          <w:noProof/>
          <w:sz w:val="24"/>
          <w:szCs w:val="24"/>
        </w:rPr>
        <w:t>C: regression coefficient of Signature. </w:t>
      </w:r>
    </w:p>
    <w:p w14:paraId="0056B66F" w14:textId="77777777" w:rsidR="000E6DE3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  <w:r w:rsidRPr="00184931">
        <w:rPr>
          <w:rFonts w:cs="Times New Roman"/>
          <w:noProof/>
          <w:sz w:val="24"/>
          <w:szCs w:val="24"/>
        </w:rPr>
        <w:t xml:space="preserve"> </w:t>
      </w:r>
    </w:p>
    <w:p w14:paraId="19A17719" w14:textId="77777777" w:rsidR="000E6DE3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</w:p>
    <w:p w14:paraId="6262CB74" w14:textId="77777777" w:rsidR="000E6DE3" w:rsidRPr="00184931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EBCFA38" wp14:editId="22D802D9">
            <wp:extent cx="5247005" cy="5387975"/>
            <wp:effectExtent l="0" t="0" r="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005" cy="538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41364" w14:textId="77777777" w:rsidR="000E6DE3" w:rsidRPr="00184931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  <w:r w:rsidRPr="00184931">
        <w:rPr>
          <w:rFonts w:cs="Times New Roman"/>
          <w:noProof/>
          <w:sz w:val="24"/>
          <w:szCs w:val="24"/>
        </w:rPr>
        <w:t>Fig.S3: Validation results of the ICD-related prognostic risk model in the independent dataset GSE83300</w:t>
      </w:r>
    </w:p>
    <w:p w14:paraId="1A089EC0" w14:textId="77777777" w:rsidR="000E6DE3" w:rsidRPr="00184931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  <w:r w:rsidRPr="00184931">
        <w:rPr>
          <w:rFonts w:cs="Times New Roman"/>
          <w:noProof/>
          <w:sz w:val="24"/>
          <w:szCs w:val="24"/>
        </w:rPr>
        <w:t>A: Score distribution diagram of each sample in the training set GSE83300 cohort.</w:t>
      </w:r>
    </w:p>
    <w:p w14:paraId="57BEE0CD" w14:textId="77777777" w:rsidR="000E6DE3" w:rsidRPr="00184931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  <w:r w:rsidRPr="00184931">
        <w:rPr>
          <w:rFonts w:cs="Times New Roman"/>
          <w:noProof/>
          <w:sz w:val="24"/>
          <w:szCs w:val="24"/>
        </w:rPr>
        <w:t>B: survival of each sample in the training set GSE83300 cohort.</w:t>
      </w:r>
    </w:p>
    <w:p w14:paraId="50C2FA07" w14:textId="77777777" w:rsidR="000E6DE3" w:rsidRPr="00184931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  <w:r w:rsidRPr="00184931">
        <w:rPr>
          <w:rFonts w:cs="Times New Roman"/>
          <w:noProof/>
          <w:sz w:val="24"/>
          <w:szCs w:val="24"/>
        </w:rPr>
        <w:t>C: Expression heatmap in Signature high and low score groups.</w:t>
      </w:r>
    </w:p>
    <w:p w14:paraId="62FECB69" w14:textId="77777777" w:rsidR="000E6DE3" w:rsidRPr="00184931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  <w:r w:rsidRPr="00184931">
        <w:rPr>
          <w:rFonts w:cs="Times New Roman"/>
          <w:noProof/>
          <w:sz w:val="24"/>
          <w:szCs w:val="24"/>
        </w:rPr>
        <w:t>D: survival of high and low score groups.</w:t>
      </w:r>
    </w:p>
    <w:p w14:paraId="63CE786C" w14:textId="77777777" w:rsidR="000E6DE3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  <w:r w:rsidRPr="00184931">
        <w:rPr>
          <w:rFonts w:cs="Times New Roman"/>
          <w:noProof/>
          <w:sz w:val="24"/>
          <w:szCs w:val="24"/>
        </w:rPr>
        <w:t>E: time-dependent ROC curve</w:t>
      </w:r>
    </w:p>
    <w:p w14:paraId="02EEBC0D" w14:textId="77777777" w:rsidR="000E6DE3" w:rsidRDefault="000E6DE3" w:rsidP="000E6DE3">
      <w:pPr>
        <w:spacing w:line="480" w:lineRule="auto"/>
        <w:rPr>
          <w:rFonts w:cs="Times New Roman"/>
          <w:noProof/>
          <w:sz w:val="24"/>
          <w:szCs w:val="24"/>
        </w:rPr>
      </w:pPr>
    </w:p>
    <w:p w14:paraId="7332CF6C" w14:textId="77777777" w:rsidR="00D42BE7" w:rsidRDefault="00D42BE7"/>
    <w:sectPr w:rsidR="00D42B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DE3"/>
    <w:rsid w:val="000E6DE3"/>
    <w:rsid w:val="00D4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BD3FE"/>
  <w15:chartTrackingRefBased/>
  <w15:docId w15:val="{8BAC9570-4891-416A-AB93-CF3BB1107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6DE3"/>
    <w:pPr>
      <w:widowControl w:val="0"/>
      <w:spacing w:after="0" w:line="240" w:lineRule="auto"/>
      <w:jc w:val="both"/>
    </w:pPr>
    <w:rPr>
      <w:rFonts w:ascii="Times New Roman" w:eastAsia="SimSun" w:hAnsi="Times New Roman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128</Words>
  <Characters>732</Characters>
  <Application>Microsoft Office Word</Application>
  <DocSecurity>0</DocSecurity>
  <Lines>6</Lines>
  <Paragraphs>1</Paragraphs>
  <ScaleCrop>false</ScaleCrop>
  <Company>SpringerNature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2023-09-29T10:31:00Z</dcterms:created>
  <dcterms:modified xsi:type="dcterms:W3CDTF">2023-09-29T10:31:00Z</dcterms:modified>
</cp:coreProperties>
</file>