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529D" w:rsidRDefault="00D8529D" w:rsidP="00D8529D">
      <w:pPr>
        <w:spacing w:line="480" w:lineRule="auto"/>
        <w:rPr>
          <w:rFonts w:ascii="Times New Roman" w:hAnsi="Times New Roman" w:cs="Times New Roman"/>
          <w:b/>
          <w:sz w:val="20"/>
          <w:szCs w:val="20"/>
        </w:rPr>
      </w:pPr>
      <w:r>
        <w:rPr>
          <w:rFonts w:ascii="Times New Roman" w:hAnsi="Times New Roman" w:cs="Times New Roman" w:hint="eastAsia"/>
          <w:b/>
          <w:sz w:val="20"/>
          <w:szCs w:val="20"/>
        </w:rPr>
        <w:t>S</w:t>
      </w:r>
      <w:r>
        <w:rPr>
          <w:rFonts w:ascii="Times New Roman" w:hAnsi="Times New Roman" w:cs="Times New Roman"/>
          <w:b/>
          <w:sz w:val="20"/>
          <w:szCs w:val="20"/>
        </w:rPr>
        <w:t>upplementary information</w:t>
      </w:r>
    </w:p>
    <w:p w:rsidR="00D8529D" w:rsidRDefault="00D8529D" w:rsidP="00D8529D">
      <w:pPr>
        <w:rPr>
          <w:rFonts w:ascii="Times New Roman" w:hAnsi="Times New Roman" w:cs="Times New Roman"/>
          <w:sz w:val="20"/>
          <w:szCs w:val="20"/>
        </w:rPr>
      </w:pPr>
      <w:r w:rsidRPr="00F51E14">
        <w:rPr>
          <w:rFonts w:ascii="Times New Roman" w:hAnsi="Times New Roman" w:cs="Times New Roman"/>
          <w:b/>
          <w:sz w:val="20"/>
          <w:szCs w:val="20"/>
        </w:rPr>
        <w:t>Additional file 1: Table S1</w:t>
      </w:r>
      <w:r>
        <w:rPr>
          <w:rFonts w:ascii="Times New Roman" w:hAnsi="Times New Roman" w:cs="Times New Roman"/>
          <w:sz w:val="20"/>
          <w:szCs w:val="20"/>
        </w:rPr>
        <w:t>.</w:t>
      </w:r>
      <w:r w:rsidRPr="00F51E14">
        <w:rPr>
          <w:rFonts w:ascii="Times New Roman" w:hAnsi="Times New Roman" w:cs="Times New Roman"/>
          <w:sz w:val="20"/>
          <w:szCs w:val="20"/>
        </w:rPr>
        <w:t xml:space="preserve"> GEO datasets used in the study.</w:t>
      </w:r>
      <w:r>
        <w:rPr>
          <w:rFonts w:ascii="Times New Roman" w:hAnsi="Times New Roman" w:cs="Times New Roman"/>
          <w:sz w:val="20"/>
          <w:szCs w:val="20"/>
        </w:rPr>
        <w:t xml:space="preserve"> </w:t>
      </w:r>
    </w:p>
    <w:p w:rsidR="00D8529D" w:rsidRPr="00F51E14" w:rsidRDefault="00D8529D" w:rsidP="00D8529D">
      <w:pPr>
        <w:ind w:firstLineChars="750" w:firstLine="1506"/>
        <w:rPr>
          <w:rFonts w:ascii="Times New Roman" w:hAnsi="Times New Roman" w:cs="Times New Roman"/>
          <w:sz w:val="20"/>
          <w:szCs w:val="20"/>
        </w:rPr>
      </w:pPr>
      <w:r w:rsidRPr="00F51E14">
        <w:rPr>
          <w:rFonts w:ascii="Times New Roman" w:hAnsi="Times New Roman" w:cs="Times New Roman" w:hint="eastAsia"/>
          <w:b/>
          <w:sz w:val="20"/>
          <w:szCs w:val="20"/>
        </w:rPr>
        <w:t>T</w:t>
      </w:r>
      <w:r w:rsidRPr="00F51E14">
        <w:rPr>
          <w:rFonts w:ascii="Times New Roman" w:hAnsi="Times New Roman" w:cs="Times New Roman"/>
          <w:b/>
          <w:sz w:val="20"/>
          <w:szCs w:val="20"/>
        </w:rPr>
        <w:t>able S2</w:t>
      </w:r>
      <w:r w:rsidRPr="00AD3C09">
        <w:rPr>
          <w:rFonts w:ascii="Times New Roman" w:hAnsi="Times New Roman" w:cs="Times New Roman"/>
          <w:sz w:val="20"/>
          <w:szCs w:val="20"/>
        </w:rPr>
        <w:t xml:space="preserve">. </w:t>
      </w:r>
      <w:r>
        <w:rPr>
          <w:rFonts w:ascii="Times New Roman" w:hAnsi="Times New Roman" w:cs="Times New Roman"/>
          <w:sz w:val="20"/>
          <w:szCs w:val="20"/>
        </w:rPr>
        <w:t>Significant KEGG terms in GSEA analysis</w:t>
      </w:r>
      <w:r>
        <w:rPr>
          <w:rFonts w:ascii="Times New Roman" w:hAnsi="Times New Roman" w:cs="Times New Roman" w:hint="eastAsia"/>
          <w:sz w:val="20"/>
          <w:szCs w:val="20"/>
        </w:rPr>
        <w:t xml:space="preserve"> </w:t>
      </w:r>
      <w:r>
        <w:rPr>
          <w:rFonts w:ascii="Times New Roman" w:hAnsi="Times New Roman" w:cs="Times New Roman"/>
          <w:sz w:val="20"/>
          <w:szCs w:val="20"/>
        </w:rPr>
        <w:t>of IGFBP7.</w:t>
      </w:r>
      <w:r w:rsidRPr="00F51E14">
        <w:t xml:space="preserve"> </w:t>
      </w:r>
      <w:r w:rsidRPr="00F51E14">
        <w:rPr>
          <w:rFonts w:ascii="Times New Roman" w:hAnsi="Times New Roman" w:cs="Times New Roman"/>
          <w:sz w:val="20"/>
          <w:szCs w:val="20"/>
        </w:rPr>
        <w:t>NES: normalized enrichment score; NOM p-val: nominal p val; FDR q-val: false discovery rate. NES&gt;1&amp;FDR q-val &lt;0.05 was considered statistically significant.</w:t>
      </w:r>
    </w:p>
    <w:p w:rsidR="00D8529D" w:rsidRDefault="00D8529D" w:rsidP="00D8529D">
      <w:pPr>
        <w:spacing w:line="480" w:lineRule="auto"/>
        <w:rPr>
          <w:rFonts w:ascii="Times New Roman" w:hAnsi="Times New Roman" w:cs="Times New Roman"/>
          <w:sz w:val="20"/>
          <w:szCs w:val="20"/>
        </w:rPr>
      </w:pPr>
      <w:r w:rsidRPr="00F51E14">
        <w:rPr>
          <w:rFonts w:ascii="Times New Roman" w:hAnsi="Times New Roman" w:cs="Times New Roman"/>
          <w:b/>
          <w:sz w:val="20"/>
          <w:szCs w:val="20"/>
        </w:rPr>
        <w:t>Additional file 2: Figure S1.</w:t>
      </w:r>
      <w:r w:rsidRPr="00F51E14">
        <w:rPr>
          <w:rFonts w:ascii="Times New Roman" w:hAnsi="Times New Roman" w:cs="Times New Roman"/>
          <w:sz w:val="20"/>
          <w:szCs w:val="20"/>
        </w:rPr>
        <w:t xml:space="preserve"> IGFBP7 mRNA expression and methylation status in gastric cancer. A, IGFBP7 mRNA expression and methylation status in GC data as analyzed in MEXPRESS. The samples are ordered according to IGFBP7 expression from the lowest (left) to the highest (right). The bottom of the figure shows the 450K probes related to the IGFBP7 gene. The probes in the promoter region of IGFBP7 are highlighted with a black line. * P&lt; 0.05. ** P &lt; 0.01, *** P&lt; 0.001. B. Promoter methylation level of IGFBP7 as assessed with UALCAN. C. The relationship between promoter methylation of IGFBP7 and overall survival as assessed with the Xena database.</w:t>
      </w:r>
      <w:r>
        <w:rPr>
          <w:rFonts w:ascii="Times New Roman" w:hAnsi="Times New Roman" w:cs="Times New Roman"/>
          <w:sz w:val="20"/>
          <w:szCs w:val="20"/>
        </w:rPr>
        <w:t xml:space="preserve"> </w:t>
      </w:r>
    </w:p>
    <w:p w:rsidR="00D8529D" w:rsidRDefault="00D8529D" w:rsidP="00D8529D">
      <w:pPr>
        <w:spacing w:line="480" w:lineRule="auto"/>
        <w:rPr>
          <w:rFonts w:ascii="Times New Roman" w:hAnsi="Times New Roman" w:cs="Times New Roman"/>
          <w:sz w:val="20"/>
          <w:szCs w:val="20"/>
        </w:rPr>
      </w:pPr>
      <w:r w:rsidRPr="00F51E14">
        <w:rPr>
          <w:rFonts w:ascii="Times New Roman" w:hAnsi="Times New Roman" w:cs="Times New Roman"/>
          <w:b/>
          <w:sz w:val="20"/>
          <w:szCs w:val="20"/>
        </w:rPr>
        <w:t>Figure S2</w:t>
      </w:r>
      <w:r>
        <w:rPr>
          <w:rFonts w:ascii="Times New Roman" w:hAnsi="Times New Roman" w:cs="Times New Roman"/>
          <w:b/>
          <w:sz w:val="20"/>
          <w:szCs w:val="20"/>
        </w:rPr>
        <w:t xml:space="preserve">. </w:t>
      </w:r>
      <w:r w:rsidRPr="00AD3C09">
        <w:rPr>
          <w:rFonts w:ascii="Times New Roman" w:hAnsi="Times New Roman" w:cs="Times New Roman"/>
          <w:sz w:val="20"/>
          <w:szCs w:val="20"/>
        </w:rPr>
        <w:t>Gene ontology and pathway enrichment analys</w:t>
      </w:r>
      <w:r>
        <w:rPr>
          <w:rFonts w:ascii="Times New Roman" w:hAnsi="Times New Roman" w:cs="Times New Roman"/>
          <w:sz w:val="20"/>
          <w:szCs w:val="20"/>
        </w:rPr>
        <w:t>e</w:t>
      </w:r>
      <w:r w:rsidRPr="00AD3C09">
        <w:rPr>
          <w:rFonts w:ascii="Times New Roman" w:hAnsi="Times New Roman" w:cs="Times New Roman"/>
          <w:sz w:val="20"/>
          <w:szCs w:val="20"/>
        </w:rPr>
        <w:t>s of</w:t>
      </w:r>
      <w:r>
        <w:rPr>
          <w:rFonts w:ascii="Times New Roman" w:hAnsi="Times New Roman" w:cs="Times New Roman"/>
          <w:sz w:val="20"/>
          <w:szCs w:val="20"/>
        </w:rPr>
        <w:t xml:space="preserve"> the</w:t>
      </w:r>
      <w:r w:rsidRPr="00AD3C09">
        <w:rPr>
          <w:rFonts w:ascii="Times New Roman" w:hAnsi="Times New Roman" w:cs="Times New Roman"/>
          <w:sz w:val="20"/>
          <w:szCs w:val="20"/>
        </w:rPr>
        <w:t xml:space="preserve"> top 200 coexpressed genes of IGFBP7. Briefly, </w:t>
      </w:r>
      <w:r>
        <w:rPr>
          <w:rFonts w:ascii="Times New Roman" w:hAnsi="Times New Roman" w:cs="Times New Roman"/>
          <w:sz w:val="20"/>
          <w:szCs w:val="20"/>
        </w:rPr>
        <w:t xml:space="preserve">the </w:t>
      </w:r>
      <w:r w:rsidRPr="00AD3C09">
        <w:rPr>
          <w:rFonts w:ascii="Times New Roman" w:hAnsi="Times New Roman" w:cs="Times New Roman"/>
          <w:sz w:val="20"/>
          <w:szCs w:val="20"/>
        </w:rPr>
        <w:t xml:space="preserve">top 200 </w:t>
      </w:r>
      <w:r w:rsidRPr="00FB2EE1">
        <w:rPr>
          <w:rFonts w:ascii="Times New Roman" w:hAnsi="Times New Roman" w:cs="Times New Roman"/>
          <w:sz w:val="20"/>
          <w:szCs w:val="20"/>
          <w:u w:color="FA5050"/>
        </w:rPr>
        <w:t>coexpressed</w:t>
      </w:r>
      <w:r w:rsidRPr="00AD3C09">
        <w:rPr>
          <w:rFonts w:ascii="Times New Roman" w:hAnsi="Times New Roman" w:cs="Times New Roman"/>
          <w:sz w:val="20"/>
          <w:szCs w:val="20"/>
        </w:rPr>
        <w:t xml:space="preserve"> genes according to the adjust</w:t>
      </w:r>
      <w:r>
        <w:rPr>
          <w:rFonts w:ascii="Times New Roman" w:hAnsi="Times New Roman" w:cs="Times New Roman"/>
          <w:sz w:val="20"/>
          <w:szCs w:val="20"/>
        </w:rPr>
        <w:t>ed</w:t>
      </w:r>
      <w:r w:rsidRPr="00AD3C09">
        <w:rPr>
          <w:rFonts w:ascii="Times New Roman" w:hAnsi="Times New Roman" w:cs="Times New Roman"/>
          <w:sz w:val="20"/>
          <w:szCs w:val="20"/>
        </w:rPr>
        <w:t xml:space="preserve"> </w:t>
      </w:r>
      <w:r w:rsidRPr="00FB2EE1">
        <w:rPr>
          <w:rFonts w:ascii="Times New Roman" w:hAnsi="Times New Roman" w:cs="Times New Roman"/>
          <w:sz w:val="20"/>
          <w:szCs w:val="20"/>
          <w:u w:color="FA5050"/>
        </w:rPr>
        <w:t>p</w:t>
      </w:r>
      <w:r w:rsidRPr="00AD3C09">
        <w:rPr>
          <w:rFonts w:ascii="Times New Roman" w:hAnsi="Times New Roman" w:cs="Times New Roman"/>
          <w:sz w:val="20"/>
          <w:szCs w:val="20"/>
        </w:rPr>
        <w:t xml:space="preserve"> value in </w:t>
      </w:r>
      <w:r w:rsidRPr="00FB2EE1">
        <w:rPr>
          <w:rFonts w:ascii="Times New Roman" w:hAnsi="Times New Roman" w:cs="Times New Roman"/>
          <w:sz w:val="20"/>
          <w:szCs w:val="20"/>
          <w:u w:color="FA5050"/>
        </w:rPr>
        <w:t>c</w:t>
      </w:r>
      <w:r>
        <w:rPr>
          <w:rFonts w:ascii="Times New Roman" w:hAnsi="Times New Roman" w:cs="Times New Roman"/>
          <w:sz w:val="20"/>
          <w:szCs w:val="20"/>
          <w:u w:color="FA5050"/>
        </w:rPr>
        <w:t>B</w:t>
      </w:r>
      <w:r w:rsidRPr="00FB2EE1">
        <w:rPr>
          <w:rFonts w:ascii="Times New Roman" w:hAnsi="Times New Roman" w:cs="Times New Roman"/>
          <w:sz w:val="20"/>
          <w:szCs w:val="20"/>
          <w:u w:color="FA5050"/>
        </w:rPr>
        <w:t>io</w:t>
      </w:r>
      <w:r>
        <w:rPr>
          <w:rFonts w:ascii="Times New Roman" w:hAnsi="Times New Roman" w:cs="Times New Roman"/>
          <w:sz w:val="20"/>
          <w:szCs w:val="20"/>
          <w:u w:color="FA5050"/>
        </w:rPr>
        <w:t>P</w:t>
      </w:r>
      <w:r w:rsidRPr="00FB2EE1">
        <w:rPr>
          <w:rFonts w:ascii="Times New Roman" w:hAnsi="Times New Roman" w:cs="Times New Roman"/>
          <w:sz w:val="20"/>
          <w:szCs w:val="20"/>
          <w:u w:color="FA5050"/>
        </w:rPr>
        <w:t>ortal</w:t>
      </w:r>
      <w:r w:rsidRPr="00AD3C09">
        <w:rPr>
          <w:rFonts w:ascii="Times New Roman" w:hAnsi="Times New Roman" w:cs="Times New Roman"/>
          <w:sz w:val="20"/>
          <w:szCs w:val="20"/>
        </w:rPr>
        <w:t xml:space="preserve"> database </w:t>
      </w:r>
      <w:r>
        <w:rPr>
          <w:rFonts w:ascii="Times New Roman" w:hAnsi="Times New Roman" w:cs="Times New Roman"/>
          <w:sz w:val="20"/>
          <w:szCs w:val="20"/>
        </w:rPr>
        <w:t xml:space="preserve">analysis </w:t>
      </w:r>
      <w:r w:rsidRPr="00AD3C09">
        <w:rPr>
          <w:rFonts w:ascii="Times New Roman" w:hAnsi="Times New Roman" w:cs="Times New Roman"/>
          <w:sz w:val="20"/>
          <w:szCs w:val="20"/>
        </w:rPr>
        <w:t xml:space="preserve">were </w:t>
      </w:r>
      <w:r w:rsidRPr="00FB2EE1">
        <w:rPr>
          <w:rFonts w:ascii="Times New Roman" w:hAnsi="Times New Roman" w:cs="Times New Roman"/>
          <w:sz w:val="20"/>
          <w:szCs w:val="20"/>
          <w:u w:color="FA5050"/>
        </w:rPr>
        <w:t xml:space="preserve">used, </w:t>
      </w:r>
      <w:r>
        <w:rPr>
          <w:rFonts w:ascii="Times New Roman" w:hAnsi="Times New Roman" w:cs="Times New Roman"/>
          <w:sz w:val="20"/>
          <w:szCs w:val="20"/>
          <w:u w:color="FA5050"/>
        </w:rPr>
        <w:t xml:space="preserve">and </w:t>
      </w:r>
      <w:r w:rsidRPr="00FB2EE1">
        <w:rPr>
          <w:rFonts w:ascii="Times New Roman" w:hAnsi="Times New Roman" w:cs="Times New Roman"/>
          <w:sz w:val="20"/>
          <w:szCs w:val="20"/>
          <w:u w:color="FA5050"/>
        </w:rPr>
        <w:t>enrichment</w:t>
      </w:r>
      <w:r w:rsidRPr="00AD3C09">
        <w:rPr>
          <w:rFonts w:ascii="Times New Roman" w:hAnsi="Times New Roman" w:cs="Times New Roman"/>
          <w:sz w:val="20"/>
          <w:szCs w:val="20"/>
        </w:rPr>
        <w:t xml:space="preserve"> analysis </w:t>
      </w:r>
      <w:r w:rsidRPr="00FB2EE1">
        <w:rPr>
          <w:rFonts w:ascii="Times New Roman" w:hAnsi="Times New Roman" w:cs="Times New Roman"/>
          <w:sz w:val="20"/>
          <w:szCs w:val="20"/>
          <w:u w:color="FA5050"/>
        </w:rPr>
        <w:t>w</w:t>
      </w:r>
      <w:r>
        <w:rPr>
          <w:rFonts w:ascii="Times New Roman" w:hAnsi="Times New Roman" w:cs="Times New Roman"/>
          <w:sz w:val="20"/>
          <w:szCs w:val="20"/>
          <w:u w:color="FA5050"/>
        </w:rPr>
        <w:t>as</w:t>
      </w:r>
      <w:r w:rsidRPr="00AD3C09">
        <w:rPr>
          <w:rFonts w:ascii="Times New Roman" w:hAnsi="Times New Roman" w:cs="Times New Roman"/>
          <w:sz w:val="20"/>
          <w:szCs w:val="20"/>
        </w:rPr>
        <w:t xml:space="preserve"> performed using </w:t>
      </w:r>
      <w:r w:rsidRPr="00FB2EE1">
        <w:rPr>
          <w:rFonts w:ascii="Times New Roman" w:hAnsi="Times New Roman" w:cs="Times New Roman"/>
          <w:sz w:val="20"/>
          <w:szCs w:val="20"/>
          <w:u w:color="FA5050"/>
        </w:rPr>
        <w:t>cluster</w:t>
      </w:r>
      <w:r>
        <w:rPr>
          <w:rFonts w:ascii="Times New Roman" w:hAnsi="Times New Roman" w:cs="Times New Roman"/>
          <w:sz w:val="20"/>
          <w:szCs w:val="20"/>
          <w:u w:color="FA5050"/>
        </w:rPr>
        <w:t>P</w:t>
      </w:r>
      <w:r w:rsidRPr="00FB2EE1">
        <w:rPr>
          <w:rFonts w:ascii="Times New Roman" w:hAnsi="Times New Roman" w:cs="Times New Roman"/>
          <w:sz w:val="20"/>
          <w:szCs w:val="20"/>
          <w:u w:color="FA5050"/>
        </w:rPr>
        <w:t>rofiler</w:t>
      </w:r>
      <w:r w:rsidRPr="00AD3C09">
        <w:rPr>
          <w:rFonts w:ascii="Times New Roman" w:hAnsi="Times New Roman" w:cs="Times New Roman"/>
          <w:sz w:val="20"/>
          <w:szCs w:val="20"/>
        </w:rPr>
        <w:t xml:space="preserve"> package in R. A-C, Gene ontology (GO) analysis for BP</w:t>
      </w:r>
      <w:r>
        <w:rPr>
          <w:rFonts w:ascii="Times New Roman" w:hAnsi="Times New Roman" w:cs="Times New Roman"/>
          <w:sz w:val="20"/>
          <w:szCs w:val="20"/>
        </w:rPr>
        <w:t xml:space="preserve"> </w:t>
      </w:r>
      <w:r w:rsidRPr="00AD3C09">
        <w:rPr>
          <w:rFonts w:ascii="Times New Roman" w:hAnsi="Times New Roman" w:cs="Times New Roman"/>
          <w:sz w:val="20"/>
          <w:szCs w:val="20"/>
        </w:rPr>
        <w:t>(A), CC</w:t>
      </w:r>
      <w:r>
        <w:rPr>
          <w:rFonts w:ascii="Times New Roman" w:hAnsi="Times New Roman" w:cs="Times New Roman"/>
          <w:sz w:val="20"/>
          <w:szCs w:val="20"/>
        </w:rPr>
        <w:t xml:space="preserve"> </w:t>
      </w:r>
      <w:r w:rsidRPr="00AD3C09">
        <w:rPr>
          <w:rFonts w:ascii="Times New Roman" w:hAnsi="Times New Roman" w:cs="Times New Roman"/>
          <w:sz w:val="20"/>
          <w:szCs w:val="20"/>
        </w:rPr>
        <w:t>(B) and MF</w:t>
      </w:r>
      <w:r>
        <w:rPr>
          <w:rFonts w:ascii="Times New Roman" w:hAnsi="Times New Roman" w:cs="Times New Roman"/>
          <w:sz w:val="20"/>
          <w:szCs w:val="20"/>
        </w:rPr>
        <w:t xml:space="preserve"> </w:t>
      </w:r>
      <w:r w:rsidRPr="00AD3C09">
        <w:rPr>
          <w:rFonts w:ascii="Times New Roman" w:hAnsi="Times New Roman" w:cs="Times New Roman"/>
          <w:sz w:val="20"/>
          <w:szCs w:val="20"/>
        </w:rPr>
        <w:t xml:space="preserve">(C). BP, biological processes, CC, cellular component, MF, molecular function. D. KEGG pathways analysis of top 200 </w:t>
      </w:r>
      <w:r w:rsidRPr="00FB2EE1">
        <w:rPr>
          <w:rFonts w:ascii="Times New Roman" w:hAnsi="Times New Roman" w:cs="Times New Roman"/>
          <w:sz w:val="20"/>
          <w:szCs w:val="20"/>
          <w:u w:color="FA5050"/>
        </w:rPr>
        <w:t>coexpressed</w:t>
      </w:r>
      <w:r w:rsidRPr="00AD3C09">
        <w:rPr>
          <w:rFonts w:ascii="Times New Roman" w:hAnsi="Times New Roman" w:cs="Times New Roman"/>
          <w:sz w:val="20"/>
          <w:szCs w:val="20"/>
        </w:rPr>
        <w:t xml:space="preserve"> genes.</w:t>
      </w:r>
    </w:p>
    <w:p w:rsidR="00212A5C" w:rsidRDefault="00212A5C" w:rsidP="00A97AA4">
      <w:pPr>
        <w:rPr>
          <w:rFonts w:ascii="Times New Roman" w:hAnsi="Times New Roman" w:cs="Times New Roman"/>
          <w:sz w:val="24"/>
          <w:szCs w:val="24"/>
        </w:rPr>
      </w:pPr>
    </w:p>
    <w:p w:rsidR="00E62A68" w:rsidRPr="00D8529D" w:rsidRDefault="00E62A68" w:rsidP="00D8529D">
      <w:pPr>
        <w:jc w:val="center"/>
        <w:rPr>
          <w:rFonts w:ascii="Times New Roman" w:hAnsi="Times New Roman" w:cs="Times New Roman"/>
          <w:sz w:val="20"/>
          <w:szCs w:val="20"/>
        </w:rPr>
      </w:pPr>
      <w:r w:rsidRPr="00D8529D">
        <w:rPr>
          <w:rFonts w:ascii="Times New Roman" w:hAnsi="Times New Roman" w:cs="Times New Roman" w:hint="eastAsia"/>
          <w:sz w:val="20"/>
          <w:szCs w:val="20"/>
        </w:rPr>
        <w:t>T</w:t>
      </w:r>
      <w:r w:rsidRPr="00D8529D">
        <w:rPr>
          <w:rFonts w:ascii="Times New Roman" w:hAnsi="Times New Roman" w:cs="Times New Roman"/>
          <w:sz w:val="20"/>
          <w:szCs w:val="20"/>
        </w:rPr>
        <w:t>able S1. GEO datasets used in the study.</w:t>
      </w:r>
    </w:p>
    <w:tbl>
      <w:tblPr>
        <w:tblStyle w:val="a5"/>
        <w:tblW w:w="8844" w:type="dxa"/>
        <w:tblInd w:w="-1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81"/>
        <w:gridCol w:w="1270"/>
        <w:gridCol w:w="1028"/>
        <w:gridCol w:w="1283"/>
        <w:gridCol w:w="850"/>
        <w:gridCol w:w="993"/>
        <w:gridCol w:w="850"/>
        <w:gridCol w:w="1189"/>
      </w:tblGrid>
      <w:tr w:rsidR="007976AA" w:rsidRPr="00D8529D" w:rsidTr="007976AA">
        <w:tc>
          <w:tcPr>
            <w:tcW w:w="1381" w:type="dxa"/>
            <w:tcBorders>
              <w:top w:val="single" w:sz="12" w:space="0" w:color="auto"/>
              <w:bottom w:val="single" w:sz="8" w:space="0" w:color="auto"/>
            </w:tcBorders>
          </w:tcPr>
          <w:p w:rsidR="00E62395" w:rsidRPr="00D8529D" w:rsidRDefault="00E62395" w:rsidP="00A97AA4">
            <w:pPr>
              <w:rPr>
                <w:rFonts w:ascii="Times New Roman" w:hAnsi="Times New Roman" w:cs="Times New Roman"/>
                <w:sz w:val="20"/>
                <w:szCs w:val="20"/>
              </w:rPr>
            </w:pPr>
            <w:r w:rsidRPr="00D8529D">
              <w:rPr>
                <w:rFonts w:ascii="Times New Roman" w:hAnsi="Times New Roman" w:cs="Times New Roman"/>
                <w:sz w:val="20"/>
                <w:szCs w:val="20"/>
              </w:rPr>
              <w:t>Accession ID</w:t>
            </w:r>
          </w:p>
        </w:tc>
        <w:tc>
          <w:tcPr>
            <w:tcW w:w="1270" w:type="dxa"/>
            <w:tcBorders>
              <w:top w:val="single" w:sz="12" w:space="0" w:color="auto"/>
              <w:bottom w:val="single" w:sz="8" w:space="0" w:color="auto"/>
            </w:tcBorders>
          </w:tcPr>
          <w:p w:rsidR="00E62395" w:rsidRPr="00D8529D" w:rsidRDefault="00E62395" w:rsidP="00A97AA4">
            <w:pPr>
              <w:rPr>
                <w:rFonts w:ascii="Times New Roman" w:hAnsi="Times New Roman" w:cs="Times New Roman"/>
                <w:sz w:val="20"/>
                <w:szCs w:val="20"/>
              </w:rPr>
            </w:pPr>
            <w:r w:rsidRPr="00D8529D">
              <w:rPr>
                <w:rFonts w:ascii="Times New Roman" w:hAnsi="Times New Roman" w:cs="Times New Roman"/>
                <w:sz w:val="20"/>
                <w:szCs w:val="20"/>
              </w:rPr>
              <w:t>Platform</w:t>
            </w:r>
          </w:p>
        </w:tc>
        <w:tc>
          <w:tcPr>
            <w:tcW w:w="1028" w:type="dxa"/>
            <w:tcBorders>
              <w:top w:val="single" w:sz="12" w:space="0" w:color="auto"/>
              <w:bottom w:val="single" w:sz="8" w:space="0" w:color="auto"/>
            </w:tcBorders>
          </w:tcPr>
          <w:p w:rsidR="007976AA" w:rsidRPr="00D8529D" w:rsidRDefault="007976AA" w:rsidP="00E62395">
            <w:pPr>
              <w:rPr>
                <w:rFonts w:ascii="Times New Roman" w:hAnsi="Times New Roman" w:cs="Times New Roman"/>
                <w:sz w:val="20"/>
                <w:szCs w:val="20"/>
              </w:rPr>
            </w:pPr>
            <w:r w:rsidRPr="00D8529D">
              <w:rPr>
                <w:rFonts w:ascii="Times New Roman" w:hAnsi="Times New Roman" w:cs="Times New Roman"/>
                <w:sz w:val="20"/>
                <w:szCs w:val="20"/>
              </w:rPr>
              <w:t>Gastric</w:t>
            </w:r>
          </w:p>
          <w:p w:rsidR="00E62395" w:rsidRPr="00D8529D" w:rsidRDefault="007976AA" w:rsidP="00E62395">
            <w:pPr>
              <w:rPr>
                <w:rFonts w:ascii="Times New Roman" w:hAnsi="Times New Roman" w:cs="Times New Roman"/>
                <w:sz w:val="20"/>
                <w:szCs w:val="20"/>
              </w:rPr>
            </w:pPr>
            <w:r w:rsidRPr="00D8529D">
              <w:rPr>
                <w:rFonts w:ascii="Times New Roman" w:hAnsi="Times New Roman" w:cs="Times New Roman"/>
                <w:sz w:val="20"/>
                <w:szCs w:val="20"/>
              </w:rPr>
              <w:t>cancer</w:t>
            </w:r>
            <w:r w:rsidR="00E62395" w:rsidRPr="00D8529D">
              <w:rPr>
                <w:rFonts w:ascii="Times New Roman" w:hAnsi="Times New Roman" w:cs="Times New Roman"/>
                <w:sz w:val="20"/>
                <w:szCs w:val="20"/>
              </w:rPr>
              <w:t>(N)</w:t>
            </w:r>
          </w:p>
        </w:tc>
        <w:tc>
          <w:tcPr>
            <w:tcW w:w="1283" w:type="dxa"/>
            <w:tcBorders>
              <w:top w:val="single" w:sz="12" w:space="0" w:color="auto"/>
              <w:bottom w:val="single" w:sz="8" w:space="0" w:color="auto"/>
            </w:tcBorders>
          </w:tcPr>
          <w:p w:rsidR="007976AA" w:rsidRPr="00D8529D" w:rsidRDefault="00E62395" w:rsidP="00A97AA4">
            <w:pPr>
              <w:rPr>
                <w:rFonts w:ascii="Times New Roman" w:hAnsi="Times New Roman" w:cs="Times New Roman"/>
                <w:sz w:val="20"/>
                <w:szCs w:val="20"/>
              </w:rPr>
            </w:pPr>
            <w:r w:rsidRPr="00D8529D">
              <w:rPr>
                <w:rFonts w:ascii="Times New Roman" w:hAnsi="Times New Roman" w:cs="Times New Roman"/>
                <w:sz w:val="20"/>
                <w:szCs w:val="20"/>
              </w:rPr>
              <w:t>Normal</w:t>
            </w:r>
          </w:p>
          <w:p w:rsidR="00E62395" w:rsidRPr="00D8529D" w:rsidRDefault="007976AA" w:rsidP="00A97AA4">
            <w:pPr>
              <w:rPr>
                <w:rFonts w:ascii="Times New Roman" w:hAnsi="Times New Roman" w:cs="Times New Roman"/>
                <w:sz w:val="20"/>
                <w:szCs w:val="20"/>
              </w:rPr>
            </w:pPr>
            <w:r w:rsidRPr="00D8529D">
              <w:rPr>
                <w:rFonts w:ascii="Times New Roman" w:hAnsi="Times New Roman" w:cs="Times New Roman"/>
                <w:sz w:val="20"/>
                <w:szCs w:val="20"/>
              </w:rPr>
              <w:t>tissues</w:t>
            </w:r>
            <w:r w:rsidR="00E62395" w:rsidRPr="00D8529D">
              <w:rPr>
                <w:rFonts w:ascii="Times New Roman" w:hAnsi="Times New Roman" w:cs="Times New Roman"/>
                <w:sz w:val="20"/>
                <w:szCs w:val="20"/>
              </w:rPr>
              <w:t>(N)</w:t>
            </w:r>
          </w:p>
        </w:tc>
        <w:tc>
          <w:tcPr>
            <w:tcW w:w="850" w:type="dxa"/>
            <w:tcBorders>
              <w:top w:val="single" w:sz="12" w:space="0" w:color="auto"/>
              <w:bottom w:val="single" w:sz="8" w:space="0" w:color="auto"/>
            </w:tcBorders>
          </w:tcPr>
          <w:p w:rsidR="00E62395" w:rsidRPr="00D8529D" w:rsidRDefault="00E62395" w:rsidP="00212A5C">
            <w:pPr>
              <w:rPr>
                <w:rFonts w:ascii="Times New Roman" w:hAnsi="Times New Roman" w:cs="Times New Roman"/>
                <w:sz w:val="20"/>
                <w:szCs w:val="20"/>
              </w:rPr>
            </w:pPr>
            <w:r w:rsidRPr="00D8529D">
              <w:rPr>
                <w:rFonts w:ascii="Times New Roman" w:hAnsi="Times New Roman" w:cs="Times New Roman"/>
                <w:sz w:val="20"/>
                <w:szCs w:val="20"/>
              </w:rPr>
              <w:t xml:space="preserve">Paired </w:t>
            </w:r>
          </w:p>
        </w:tc>
        <w:tc>
          <w:tcPr>
            <w:tcW w:w="993" w:type="dxa"/>
            <w:tcBorders>
              <w:top w:val="single" w:sz="12" w:space="0" w:color="auto"/>
              <w:bottom w:val="single" w:sz="8" w:space="0" w:color="auto"/>
            </w:tcBorders>
          </w:tcPr>
          <w:p w:rsidR="00E62395" w:rsidRPr="00D8529D" w:rsidRDefault="00E62395" w:rsidP="00212A5C">
            <w:pPr>
              <w:rPr>
                <w:rFonts w:ascii="Times New Roman" w:hAnsi="Times New Roman" w:cs="Times New Roman"/>
                <w:sz w:val="20"/>
                <w:szCs w:val="20"/>
              </w:rPr>
            </w:pPr>
            <w:r w:rsidRPr="00D8529D">
              <w:rPr>
                <w:rFonts w:ascii="Times New Roman" w:hAnsi="Times New Roman" w:cs="Times New Roman"/>
                <w:sz w:val="20"/>
                <w:szCs w:val="20"/>
              </w:rPr>
              <w:t>Clinical data</w:t>
            </w:r>
          </w:p>
        </w:tc>
        <w:tc>
          <w:tcPr>
            <w:tcW w:w="850" w:type="dxa"/>
            <w:tcBorders>
              <w:top w:val="single" w:sz="12" w:space="0" w:color="auto"/>
              <w:bottom w:val="single" w:sz="8" w:space="0" w:color="auto"/>
            </w:tcBorders>
          </w:tcPr>
          <w:p w:rsidR="00E62395" w:rsidRPr="00D8529D" w:rsidRDefault="00E62395" w:rsidP="00212A5C">
            <w:pPr>
              <w:rPr>
                <w:rFonts w:ascii="Times New Roman" w:hAnsi="Times New Roman" w:cs="Times New Roman"/>
                <w:sz w:val="20"/>
                <w:szCs w:val="20"/>
              </w:rPr>
            </w:pPr>
            <w:r w:rsidRPr="00D8529D">
              <w:rPr>
                <w:rFonts w:ascii="Times New Roman" w:hAnsi="Times New Roman" w:cs="Times New Roman"/>
                <w:sz w:val="20"/>
                <w:szCs w:val="20"/>
              </w:rPr>
              <w:t>Years</w:t>
            </w:r>
          </w:p>
        </w:tc>
        <w:tc>
          <w:tcPr>
            <w:tcW w:w="1189" w:type="dxa"/>
            <w:tcBorders>
              <w:top w:val="single" w:sz="12" w:space="0" w:color="auto"/>
              <w:bottom w:val="single" w:sz="8" w:space="0" w:color="auto"/>
            </w:tcBorders>
          </w:tcPr>
          <w:p w:rsidR="00E62395" w:rsidRPr="00D8529D" w:rsidRDefault="00E62395" w:rsidP="00212A5C">
            <w:pPr>
              <w:rPr>
                <w:rFonts w:ascii="Times New Roman" w:hAnsi="Times New Roman" w:cs="Times New Roman"/>
                <w:sz w:val="20"/>
                <w:szCs w:val="20"/>
              </w:rPr>
            </w:pPr>
            <w:r w:rsidRPr="00D8529D">
              <w:rPr>
                <w:rFonts w:ascii="Times New Roman" w:hAnsi="Times New Roman" w:cs="Times New Roman"/>
                <w:sz w:val="20"/>
                <w:szCs w:val="20"/>
              </w:rPr>
              <w:t>Reference</w:t>
            </w:r>
          </w:p>
        </w:tc>
      </w:tr>
      <w:tr w:rsidR="007976AA" w:rsidRPr="00D8529D" w:rsidTr="007976AA">
        <w:tc>
          <w:tcPr>
            <w:tcW w:w="1381" w:type="dxa"/>
            <w:tcBorders>
              <w:top w:val="single" w:sz="8" w:space="0" w:color="auto"/>
            </w:tcBorders>
          </w:tcPr>
          <w:p w:rsidR="00E62395" w:rsidRPr="00D8529D" w:rsidRDefault="00E62395" w:rsidP="00A97AA4">
            <w:pPr>
              <w:rPr>
                <w:rFonts w:ascii="Times New Roman" w:hAnsi="Times New Roman" w:cs="Times New Roman"/>
                <w:sz w:val="20"/>
                <w:szCs w:val="20"/>
              </w:rPr>
            </w:pPr>
            <w:r w:rsidRPr="00D8529D">
              <w:rPr>
                <w:rFonts w:ascii="Times New Roman" w:hAnsi="Times New Roman" w:cs="Times New Roman"/>
                <w:sz w:val="20"/>
                <w:szCs w:val="20"/>
              </w:rPr>
              <w:t>GSE54129</w:t>
            </w:r>
          </w:p>
        </w:tc>
        <w:tc>
          <w:tcPr>
            <w:tcW w:w="1270" w:type="dxa"/>
            <w:tcBorders>
              <w:top w:val="single" w:sz="8" w:space="0" w:color="auto"/>
            </w:tcBorders>
          </w:tcPr>
          <w:p w:rsidR="00E62395" w:rsidRPr="00D8529D" w:rsidRDefault="00E62395" w:rsidP="00A97AA4">
            <w:pPr>
              <w:rPr>
                <w:rFonts w:ascii="Times New Roman" w:hAnsi="Times New Roman" w:cs="Times New Roman"/>
                <w:sz w:val="20"/>
                <w:szCs w:val="20"/>
              </w:rPr>
            </w:pPr>
            <w:r w:rsidRPr="00D8529D">
              <w:rPr>
                <w:rFonts w:ascii="Times New Roman" w:hAnsi="Times New Roman" w:cs="Times New Roman"/>
                <w:sz w:val="20"/>
                <w:szCs w:val="20"/>
              </w:rPr>
              <w:t>GPL570</w:t>
            </w:r>
          </w:p>
        </w:tc>
        <w:tc>
          <w:tcPr>
            <w:tcW w:w="1028" w:type="dxa"/>
            <w:tcBorders>
              <w:top w:val="single" w:sz="8" w:space="0" w:color="auto"/>
            </w:tcBorders>
          </w:tcPr>
          <w:p w:rsidR="00E62395" w:rsidRPr="00D8529D" w:rsidRDefault="00E62395" w:rsidP="00E62A68">
            <w:pPr>
              <w:jc w:val="left"/>
              <w:rPr>
                <w:rFonts w:ascii="Times New Roman" w:hAnsi="Times New Roman" w:cs="Times New Roman"/>
                <w:sz w:val="20"/>
                <w:szCs w:val="20"/>
              </w:rPr>
            </w:pPr>
            <w:r w:rsidRPr="00D8529D">
              <w:rPr>
                <w:rFonts w:ascii="Times New Roman" w:hAnsi="Times New Roman" w:cs="Times New Roman"/>
                <w:sz w:val="20"/>
                <w:szCs w:val="20"/>
              </w:rPr>
              <w:t>111</w:t>
            </w:r>
          </w:p>
        </w:tc>
        <w:tc>
          <w:tcPr>
            <w:tcW w:w="1283" w:type="dxa"/>
            <w:tcBorders>
              <w:top w:val="single" w:sz="8" w:space="0" w:color="auto"/>
            </w:tcBorders>
          </w:tcPr>
          <w:p w:rsidR="00E62395" w:rsidRPr="00D8529D" w:rsidRDefault="00E62395" w:rsidP="00E62A68">
            <w:pPr>
              <w:jc w:val="left"/>
              <w:rPr>
                <w:rFonts w:ascii="Times New Roman" w:hAnsi="Times New Roman" w:cs="Times New Roman"/>
                <w:sz w:val="20"/>
                <w:szCs w:val="20"/>
              </w:rPr>
            </w:pPr>
            <w:r w:rsidRPr="00D8529D">
              <w:rPr>
                <w:rFonts w:ascii="Times New Roman" w:hAnsi="Times New Roman" w:cs="Times New Roman"/>
                <w:sz w:val="20"/>
                <w:szCs w:val="20"/>
              </w:rPr>
              <w:t>21</w:t>
            </w:r>
          </w:p>
        </w:tc>
        <w:tc>
          <w:tcPr>
            <w:tcW w:w="850" w:type="dxa"/>
            <w:tcBorders>
              <w:top w:val="single" w:sz="8" w:space="0" w:color="auto"/>
            </w:tcBorders>
          </w:tcPr>
          <w:p w:rsidR="00E62395" w:rsidRPr="00D8529D" w:rsidRDefault="00E62395" w:rsidP="00E62A68">
            <w:pPr>
              <w:jc w:val="center"/>
              <w:rPr>
                <w:rFonts w:ascii="Times New Roman" w:hAnsi="Times New Roman" w:cs="Times New Roman"/>
                <w:sz w:val="20"/>
                <w:szCs w:val="20"/>
              </w:rPr>
            </w:pPr>
            <w:r w:rsidRPr="00D8529D">
              <w:rPr>
                <w:rFonts w:ascii="Times New Roman" w:hAnsi="Times New Roman" w:cs="Times New Roman"/>
                <w:sz w:val="20"/>
                <w:szCs w:val="20"/>
              </w:rPr>
              <w:t>No</w:t>
            </w:r>
          </w:p>
        </w:tc>
        <w:tc>
          <w:tcPr>
            <w:tcW w:w="993" w:type="dxa"/>
            <w:tcBorders>
              <w:top w:val="single" w:sz="8" w:space="0" w:color="auto"/>
            </w:tcBorders>
          </w:tcPr>
          <w:p w:rsidR="00E62395" w:rsidRPr="00D8529D" w:rsidRDefault="00E62395" w:rsidP="00E62A68">
            <w:pPr>
              <w:jc w:val="center"/>
              <w:rPr>
                <w:rFonts w:ascii="Times New Roman" w:hAnsi="Times New Roman" w:cs="Times New Roman"/>
                <w:sz w:val="20"/>
                <w:szCs w:val="20"/>
              </w:rPr>
            </w:pPr>
            <w:r w:rsidRPr="00D8529D">
              <w:rPr>
                <w:rFonts w:ascii="Times New Roman" w:hAnsi="Times New Roman" w:cs="Times New Roman" w:hint="eastAsia"/>
                <w:sz w:val="20"/>
                <w:szCs w:val="20"/>
              </w:rPr>
              <w:t>N</w:t>
            </w:r>
            <w:r w:rsidRPr="00D8529D">
              <w:rPr>
                <w:rFonts w:ascii="Times New Roman" w:hAnsi="Times New Roman" w:cs="Times New Roman"/>
                <w:sz w:val="20"/>
                <w:szCs w:val="20"/>
              </w:rPr>
              <w:t>o</w:t>
            </w:r>
          </w:p>
        </w:tc>
        <w:tc>
          <w:tcPr>
            <w:tcW w:w="850" w:type="dxa"/>
            <w:tcBorders>
              <w:top w:val="single" w:sz="8" w:space="0" w:color="auto"/>
            </w:tcBorders>
          </w:tcPr>
          <w:p w:rsidR="00E62395" w:rsidRPr="00D8529D" w:rsidRDefault="00E62395" w:rsidP="00E62A68">
            <w:pPr>
              <w:jc w:val="left"/>
              <w:rPr>
                <w:rFonts w:ascii="Times New Roman" w:hAnsi="Times New Roman" w:cs="Times New Roman"/>
                <w:sz w:val="20"/>
                <w:szCs w:val="20"/>
              </w:rPr>
            </w:pPr>
            <w:r w:rsidRPr="00D8529D">
              <w:rPr>
                <w:rFonts w:ascii="Times New Roman" w:hAnsi="Times New Roman" w:cs="Times New Roman" w:hint="eastAsia"/>
                <w:sz w:val="20"/>
                <w:szCs w:val="20"/>
              </w:rPr>
              <w:t>2</w:t>
            </w:r>
            <w:r w:rsidRPr="00D8529D">
              <w:rPr>
                <w:rFonts w:ascii="Times New Roman" w:hAnsi="Times New Roman" w:cs="Times New Roman"/>
                <w:sz w:val="20"/>
                <w:szCs w:val="20"/>
              </w:rPr>
              <w:t>017</w:t>
            </w:r>
          </w:p>
        </w:tc>
        <w:tc>
          <w:tcPr>
            <w:tcW w:w="1189" w:type="dxa"/>
            <w:tcBorders>
              <w:top w:val="single" w:sz="8" w:space="0" w:color="auto"/>
            </w:tcBorders>
          </w:tcPr>
          <w:p w:rsidR="00E62395" w:rsidRPr="00D8529D" w:rsidRDefault="00D16D65" w:rsidP="00A97AA4">
            <w:pPr>
              <w:rPr>
                <w:rFonts w:ascii="Times New Roman" w:hAnsi="Times New Roman" w:cs="Times New Roman"/>
                <w:sz w:val="20"/>
                <w:szCs w:val="20"/>
              </w:rPr>
            </w:pPr>
            <w:r w:rsidRPr="00D8529D">
              <w:rPr>
                <w:rFonts w:ascii="Times New Roman" w:hAnsi="Times New Roman" w:cs="Times New Roman" w:hint="eastAsia"/>
                <w:sz w:val="20"/>
                <w:szCs w:val="20"/>
              </w:rPr>
              <w:t>L</w:t>
            </w:r>
            <w:r w:rsidRPr="00D8529D">
              <w:rPr>
                <w:rFonts w:ascii="Times New Roman" w:hAnsi="Times New Roman" w:cs="Times New Roman"/>
                <w:sz w:val="20"/>
                <w:szCs w:val="20"/>
              </w:rPr>
              <w:t>iu et al</w:t>
            </w:r>
          </w:p>
        </w:tc>
      </w:tr>
      <w:tr w:rsidR="007976AA" w:rsidRPr="00D8529D" w:rsidTr="007976AA">
        <w:tc>
          <w:tcPr>
            <w:tcW w:w="1381" w:type="dxa"/>
          </w:tcPr>
          <w:p w:rsidR="00E62395" w:rsidRPr="00D8529D" w:rsidRDefault="00E62395" w:rsidP="00A97AA4">
            <w:pPr>
              <w:rPr>
                <w:rFonts w:ascii="Times New Roman" w:hAnsi="Times New Roman" w:cs="Times New Roman"/>
                <w:sz w:val="20"/>
                <w:szCs w:val="20"/>
              </w:rPr>
            </w:pPr>
            <w:r w:rsidRPr="00D8529D">
              <w:rPr>
                <w:rFonts w:ascii="Times New Roman" w:hAnsi="Times New Roman" w:cs="Times New Roman" w:hint="eastAsia"/>
                <w:sz w:val="20"/>
                <w:szCs w:val="20"/>
              </w:rPr>
              <w:t>G</w:t>
            </w:r>
            <w:r w:rsidRPr="00D8529D">
              <w:rPr>
                <w:rFonts w:ascii="Times New Roman" w:hAnsi="Times New Roman" w:cs="Times New Roman"/>
                <w:sz w:val="20"/>
                <w:szCs w:val="20"/>
              </w:rPr>
              <w:t>SE79973</w:t>
            </w:r>
          </w:p>
        </w:tc>
        <w:tc>
          <w:tcPr>
            <w:tcW w:w="1270" w:type="dxa"/>
          </w:tcPr>
          <w:p w:rsidR="00E62395" w:rsidRPr="00D8529D" w:rsidRDefault="00E62395" w:rsidP="00A97AA4">
            <w:pPr>
              <w:rPr>
                <w:rFonts w:ascii="Times New Roman" w:hAnsi="Times New Roman" w:cs="Times New Roman"/>
                <w:sz w:val="20"/>
                <w:szCs w:val="20"/>
              </w:rPr>
            </w:pPr>
            <w:r w:rsidRPr="00D8529D">
              <w:rPr>
                <w:rFonts w:ascii="Times New Roman" w:hAnsi="Times New Roman" w:cs="Times New Roman" w:hint="eastAsia"/>
                <w:sz w:val="20"/>
                <w:szCs w:val="20"/>
              </w:rPr>
              <w:t>G</w:t>
            </w:r>
            <w:r w:rsidRPr="00D8529D">
              <w:rPr>
                <w:rFonts w:ascii="Times New Roman" w:hAnsi="Times New Roman" w:cs="Times New Roman"/>
                <w:sz w:val="20"/>
                <w:szCs w:val="20"/>
              </w:rPr>
              <w:t>PL570</w:t>
            </w:r>
          </w:p>
        </w:tc>
        <w:tc>
          <w:tcPr>
            <w:tcW w:w="1028" w:type="dxa"/>
          </w:tcPr>
          <w:p w:rsidR="00E62395" w:rsidRPr="00D8529D" w:rsidRDefault="00E62395" w:rsidP="00E62A68">
            <w:pPr>
              <w:jc w:val="left"/>
              <w:rPr>
                <w:rFonts w:ascii="Times New Roman" w:hAnsi="Times New Roman" w:cs="Times New Roman"/>
                <w:sz w:val="20"/>
                <w:szCs w:val="20"/>
              </w:rPr>
            </w:pPr>
            <w:r w:rsidRPr="00D8529D">
              <w:rPr>
                <w:rFonts w:ascii="Times New Roman" w:hAnsi="Times New Roman" w:cs="Times New Roman" w:hint="eastAsia"/>
                <w:sz w:val="20"/>
                <w:szCs w:val="20"/>
              </w:rPr>
              <w:t>1</w:t>
            </w:r>
            <w:r w:rsidRPr="00D8529D">
              <w:rPr>
                <w:rFonts w:ascii="Times New Roman" w:hAnsi="Times New Roman" w:cs="Times New Roman"/>
                <w:sz w:val="20"/>
                <w:szCs w:val="20"/>
              </w:rPr>
              <w:t>0</w:t>
            </w:r>
          </w:p>
        </w:tc>
        <w:tc>
          <w:tcPr>
            <w:tcW w:w="1283" w:type="dxa"/>
          </w:tcPr>
          <w:p w:rsidR="00E62395" w:rsidRPr="00D8529D" w:rsidRDefault="00E62395" w:rsidP="00E62A68">
            <w:pPr>
              <w:jc w:val="left"/>
              <w:rPr>
                <w:rFonts w:ascii="Times New Roman" w:hAnsi="Times New Roman" w:cs="Times New Roman"/>
                <w:sz w:val="20"/>
                <w:szCs w:val="20"/>
              </w:rPr>
            </w:pPr>
            <w:r w:rsidRPr="00D8529D">
              <w:rPr>
                <w:rFonts w:ascii="Times New Roman" w:hAnsi="Times New Roman" w:cs="Times New Roman" w:hint="eastAsia"/>
                <w:sz w:val="20"/>
                <w:szCs w:val="20"/>
              </w:rPr>
              <w:t>1</w:t>
            </w:r>
            <w:r w:rsidRPr="00D8529D">
              <w:rPr>
                <w:rFonts w:ascii="Times New Roman" w:hAnsi="Times New Roman" w:cs="Times New Roman"/>
                <w:sz w:val="20"/>
                <w:szCs w:val="20"/>
              </w:rPr>
              <w:t>0</w:t>
            </w:r>
          </w:p>
        </w:tc>
        <w:tc>
          <w:tcPr>
            <w:tcW w:w="850" w:type="dxa"/>
          </w:tcPr>
          <w:p w:rsidR="00E62395" w:rsidRPr="00D8529D" w:rsidRDefault="00E62395" w:rsidP="00E62A68">
            <w:pPr>
              <w:jc w:val="center"/>
              <w:rPr>
                <w:rFonts w:ascii="Times New Roman" w:hAnsi="Times New Roman" w:cs="Times New Roman"/>
                <w:sz w:val="20"/>
                <w:szCs w:val="20"/>
              </w:rPr>
            </w:pPr>
            <w:r w:rsidRPr="00D8529D">
              <w:rPr>
                <w:rFonts w:ascii="Times New Roman" w:hAnsi="Times New Roman" w:cs="Times New Roman" w:hint="eastAsia"/>
                <w:sz w:val="20"/>
                <w:szCs w:val="20"/>
              </w:rPr>
              <w:t>Y</w:t>
            </w:r>
            <w:r w:rsidRPr="00D8529D">
              <w:rPr>
                <w:rFonts w:ascii="Times New Roman" w:hAnsi="Times New Roman" w:cs="Times New Roman"/>
                <w:sz w:val="20"/>
                <w:szCs w:val="20"/>
              </w:rPr>
              <w:t>es</w:t>
            </w:r>
          </w:p>
        </w:tc>
        <w:tc>
          <w:tcPr>
            <w:tcW w:w="993" w:type="dxa"/>
          </w:tcPr>
          <w:p w:rsidR="00E62395" w:rsidRPr="00D8529D" w:rsidRDefault="00E62395" w:rsidP="00E62A68">
            <w:pPr>
              <w:jc w:val="center"/>
              <w:rPr>
                <w:rFonts w:ascii="Times New Roman" w:hAnsi="Times New Roman" w:cs="Times New Roman"/>
                <w:sz w:val="20"/>
                <w:szCs w:val="20"/>
              </w:rPr>
            </w:pPr>
            <w:r w:rsidRPr="00D8529D">
              <w:rPr>
                <w:rFonts w:ascii="Times New Roman" w:hAnsi="Times New Roman" w:cs="Times New Roman"/>
                <w:sz w:val="20"/>
                <w:szCs w:val="20"/>
              </w:rPr>
              <w:t>No</w:t>
            </w:r>
          </w:p>
        </w:tc>
        <w:tc>
          <w:tcPr>
            <w:tcW w:w="850" w:type="dxa"/>
          </w:tcPr>
          <w:p w:rsidR="00E62395" w:rsidRPr="00D8529D" w:rsidRDefault="00E62395" w:rsidP="00E62A68">
            <w:pPr>
              <w:jc w:val="left"/>
              <w:rPr>
                <w:rFonts w:ascii="Times New Roman" w:hAnsi="Times New Roman" w:cs="Times New Roman"/>
                <w:sz w:val="20"/>
                <w:szCs w:val="20"/>
              </w:rPr>
            </w:pPr>
            <w:r w:rsidRPr="00D8529D">
              <w:rPr>
                <w:rFonts w:ascii="Times New Roman" w:hAnsi="Times New Roman" w:cs="Times New Roman" w:hint="eastAsia"/>
                <w:sz w:val="20"/>
                <w:szCs w:val="20"/>
              </w:rPr>
              <w:t>2</w:t>
            </w:r>
            <w:r w:rsidRPr="00D8529D">
              <w:rPr>
                <w:rFonts w:ascii="Times New Roman" w:hAnsi="Times New Roman" w:cs="Times New Roman"/>
                <w:sz w:val="20"/>
                <w:szCs w:val="20"/>
              </w:rPr>
              <w:t>016</w:t>
            </w:r>
          </w:p>
        </w:tc>
        <w:tc>
          <w:tcPr>
            <w:tcW w:w="1189" w:type="dxa"/>
          </w:tcPr>
          <w:p w:rsidR="00D16D65" w:rsidRPr="00D8529D" w:rsidRDefault="00D16D65" w:rsidP="007976AA">
            <w:pPr>
              <w:rPr>
                <w:rFonts w:ascii="Times New Roman" w:hAnsi="Times New Roman" w:cs="Times New Roman"/>
                <w:sz w:val="20"/>
                <w:szCs w:val="20"/>
              </w:rPr>
            </w:pPr>
            <w:r w:rsidRPr="00D8529D">
              <w:rPr>
                <w:rFonts w:ascii="Times New Roman" w:hAnsi="Times New Roman" w:cs="Times New Roman" w:hint="eastAsia"/>
                <w:sz w:val="20"/>
                <w:szCs w:val="20"/>
              </w:rPr>
              <w:t>H</w:t>
            </w:r>
            <w:r w:rsidRPr="00D8529D">
              <w:rPr>
                <w:rFonts w:ascii="Times New Roman" w:hAnsi="Times New Roman" w:cs="Times New Roman"/>
                <w:sz w:val="20"/>
                <w:szCs w:val="20"/>
              </w:rPr>
              <w:t>e et al</w:t>
            </w:r>
          </w:p>
        </w:tc>
      </w:tr>
      <w:tr w:rsidR="007976AA" w:rsidRPr="00D8529D" w:rsidTr="007976AA">
        <w:tc>
          <w:tcPr>
            <w:tcW w:w="1381" w:type="dxa"/>
          </w:tcPr>
          <w:p w:rsidR="00E62395" w:rsidRPr="00D8529D" w:rsidRDefault="00E62395" w:rsidP="00A97AA4">
            <w:pPr>
              <w:rPr>
                <w:rFonts w:ascii="Times New Roman" w:hAnsi="Times New Roman" w:cs="Times New Roman"/>
                <w:sz w:val="20"/>
                <w:szCs w:val="20"/>
              </w:rPr>
            </w:pPr>
            <w:r w:rsidRPr="00D8529D">
              <w:rPr>
                <w:rFonts w:ascii="Times New Roman" w:hAnsi="Times New Roman" w:cs="Times New Roman" w:hint="eastAsia"/>
                <w:sz w:val="20"/>
                <w:szCs w:val="20"/>
              </w:rPr>
              <w:t>G</w:t>
            </w:r>
            <w:r w:rsidRPr="00D8529D">
              <w:rPr>
                <w:rFonts w:ascii="Times New Roman" w:hAnsi="Times New Roman" w:cs="Times New Roman"/>
                <w:sz w:val="20"/>
                <w:szCs w:val="20"/>
              </w:rPr>
              <w:t>SE118916</w:t>
            </w:r>
          </w:p>
        </w:tc>
        <w:tc>
          <w:tcPr>
            <w:tcW w:w="1270" w:type="dxa"/>
          </w:tcPr>
          <w:p w:rsidR="00E62395" w:rsidRPr="00D8529D" w:rsidRDefault="00E62395" w:rsidP="00A97AA4">
            <w:pPr>
              <w:rPr>
                <w:rFonts w:ascii="Times New Roman" w:hAnsi="Times New Roman" w:cs="Times New Roman"/>
                <w:sz w:val="20"/>
                <w:szCs w:val="20"/>
              </w:rPr>
            </w:pPr>
            <w:r w:rsidRPr="00D8529D">
              <w:rPr>
                <w:rFonts w:ascii="Times New Roman" w:hAnsi="Times New Roman" w:cs="Times New Roman"/>
                <w:sz w:val="20"/>
                <w:szCs w:val="20"/>
              </w:rPr>
              <w:t>GPL15207</w:t>
            </w:r>
          </w:p>
        </w:tc>
        <w:tc>
          <w:tcPr>
            <w:tcW w:w="1028" w:type="dxa"/>
          </w:tcPr>
          <w:p w:rsidR="00E62395" w:rsidRPr="00D8529D" w:rsidRDefault="00E62395" w:rsidP="00E62A68">
            <w:pPr>
              <w:jc w:val="left"/>
              <w:rPr>
                <w:rFonts w:ascii="Times New Roman" w:hAnsi="Times New Roman" w:cs="Times New Roman"/>
                <w:sz w:val="20"/>
                <w:szCs w:val="20"/>
              </w:rPr>
            </w:pPr>
            <w:r w:rsidRPr="00D8529D">
              <w:rPr>
                <w:rFonts w:ascii="Times New Roman" w:hAnsi="Times New Roman" w:cs="Times New Roman" w:hint="eastAsia"/>
                <w:sz w:val="20"/>
                <w:szCs w:val="20"/>
              </w:rPr>
              <w:t>1</w:t>
            </w:r>
            <w:r w:rsidRPr="00D8529D">
              <w:rPr>
                <w:rFonts w:ascii="Times New Roman" w:hAnsi="Times New Roman" w:cs="Times New Roman"/>
                <w:sz w:val="20"/>
                <w:szCs w:val="20"/>
              </w:rPr>
              <w:t>5</w:t>
            </w:r>
          </w:p>
        </w:tc>
        <w:tc>
          <w:tcPr>
            <w:tcW w:w="1283" w:type="dxa"/>
          </w:tcPr>
          <w:p w:rsidR="00E62395" w:rsidRPr="00D8529D" w:rsidRDefault="00E62395" w:rsidP="00E62A68">
            <w:pPr>
              <w:jc w:val="left"/>
              <w:rPr>
                <w:rFonts w:ascii="Times New Roman" w:hAnsi="Times New Roman" w:cs="Times New Roman"/>
                <w:sz w:val="20"/>
                <w:szCs w:val="20"/>
              </w:rPr>
            </w:pPr>
            <w:r w:rsidRPr="00D8529D">
              <w:rPr>
                <w:rFonts w:ascii="Times New Roman" w:hAnsi="Times New Roman" w:cs="Times New Roman" w:hint="eastAsia"/>
                <w:sz w:val="20"/>
                <w:szCs w:val="20"/>
              </w:rPr>
              <w:t>1</w:t>
            </w:r>
            <w:r w:rsidRPr="00D8529D">
              <w:rPr>
                <w:rFonts w:ascii="Times New Roman" w:hAnsi="Times New Roman" w:cs="Times New Roman"/>
                <w:sz w:val="20"/>
                <w:szCs w:val="20"/>
              </w:rPr>
              <w:t>5</w:t>
            </w:r>
          </w:p>
        </w:tc>
        <w:tc>
          <w:tcPr>
            <w:tcW w:w="850" w:type="dxa"/>
          </w:tcPr>
          <w:p w:rsidR="00E62395" w:rsidRPr="00D8529D" w:rsidRDefault="00E62395" w:rsidP="00E62A68">
            <w:pPr>
              <w:jc w:val="center"/>
              <w:rPr>
                <w:rFonts w:ascii="Times New Roman" w:hAnsi="Times New Roman" w:cs="Times New Roman"/>
                <w:sz w:val="20"/>
                <w:szCs w:val="20"/>
              </w:rPr>
            </w:pPr>
            <w:r w:rsidRPr="00D8529D">
              <w:rPr>
                <w:rFonts w:ascii="Times New Roman" w:hAnsi="Times New Roman" w:cs="Times New Roman" w:hint="eastAsia"/>
                <w:sz w:val="20"/>
                <w:szCs w:val="20"/>
              </w:rPr>
              <w:t>Y</w:t>
            </w:r>
            <w:r w:rsidRPr="00D8529D">
              <w:rPr>
                <w:rFonts w:ascii="Times New Roman" w:hAnsi="Times New Roman" w:cs="Times New Roman"/>
                <w:sz w:val="20"/>
                <w:szCs w:val="20"/>
              </w:rPr>
              <w:t>es</w:t>
            </w:r>
          </w:p>
        </w:tc>
        <w:tc>
          <w:tcPr>
            <w:tcW w:w="993" w:type="dxa"/>
          </w:tcPr>
          <w:p w:rsidR="00E62395" w:rsidRPr="00D8529D" w:rsidRDefault="00E62395" w:rsidP="00E62A68">
            <w:pPr>
              <w:jc w:val="center"/>
              <w:rPr>
                <w:rFonts w:ascii="Times New Roman" w:hAnsi="Times New Roman" w:cs="Times New Roman"/>
                <w:sz w:val="20"/>
                <w:szCs w:val="20"/>
              </w:rPr>
            </w:pPr>
            <w:r w:rsidRPr="00D8529D">
              <w:rPr>
                <w:rFonts w:ascii="Times New Roman" w:hAnsi="Times New Roman" w:cs="Times New Roman"/>
                <w:sz w:val="20"/>
                <w:szCs w:val="20"/>
              </w:rPr>
              <w:t>No</w:t>
            </w:r>
          </w:p>
        </w:tc>
        <w:tc>
          <w:tcPr>
            <w:tcW w:w="850" w:type="dxa"/>
          </w:tcPr>
          <w:p w:rsidR="00E62395" w:rsidRPr="00D8529D" w:rsidRDefault="00E62395" w:rsidP="00E62A68">
            <w:pPr>
              <w:jc w:val="left"/>
              <w:rPr>
                <w:rFonts w:ascii="Times New Roman" w:hAnsi="Times New Roman" w:cs="Times New Roman"/>
                <w:sz w:val="20"/>
                <w:szCs w:val="20"/>
              </w:rPr>
            </w:pPr>
            <w:r w:rsidRPr="00D8529D">
              <w:rPr>
                <w:rFonts w:ascii="Times New Roman" w:hAnsi="Times New Roman" w:cs="Times New Roman" w:hint="eastAsia"/>
                <w:sz w:val="20"/>
                <w:szCs w:val="20"/>
              </w:rPr>
              <w:t>2</w:t>
            </w:r>
            <w:r w:rsidRPr="00D8529D">
              <w:rPr>
                <w:rFonts w:ascii="Times New Roman" w:hAnsi="Times New Roman" w:cs="Times New Roman"/>
                <w:sz w:val="20"/>
                <w:szCs w:val="20"/>
              </w:rPr>
              <w:t>019</w:t>
            </w:r>
          </w:p>
        </w:tc>
        <w:tc>
          <w:tcPr>
            <w:tcW w:w="1189" w:type="dxa"/>
          </w:tcPr>
          <w:p w:rsidR="00D16D65" w:rsidRPr="00D8529D" w:rsidRDefault="00E62395" w:rsidP="00A97AA4">
            <w:pPr>
              <w:rPr>
                <w:rFonts w:ascii="Times New Roman" w:hAnsi="Times New Roman" w:cs="Times New Roman"/>
                <w:sz w:val="20"/>
                <w:szCs w:val="20"/>
              </w:rPr>
            </w:pPr>
            <w:r w:rsidRPr="00D8529D">
              <w:rPr>
                <w:rFonts w:ascii="Times New Roman" w:hAnsi="Times New Roman" w:cs="Times New Roman" w:hint="eastAsia"/>
                <w:sz w:val="20"/>
                <w:szCs w:val="20"/>
              </w:rPr>
              <w:t>L</w:t>
            </w:r>
            <w:r w:rsidRPr="00D8529D">
              <w:rPr>
                <w:rFonts w:ascii="Times New Roman" w:hAnsi="Times New Roman" w:cs="Times New Roman"/>
                <w:sz w:val="20"/>
                <w:szCs w:val="20"/>
              </w:rPr>
              <w:t>i et al</w:t>
            </w:r>
          </w:p>
        </w:tc>
      </w:tr>
      <w:tr w:rsidR="007976AA" w:rsidRPr="00D8529D" w:rsidTr="007976AA">
        <w:tc>
          <w:tcPr>
            <w:tcW w:w="1381" w:type="dxa"/>
            <w:tcBorders>
              <w:bottom w:val="single" w:sz="12" w:space="0" w:color="auto"/>
            </w:tcBorders>
          </w:tcPr>
          <w:p w:rsidR="00E62395" w:rsidRPr="00D8529D" w:rsidRDefault="00E62395" w:rsidP="00A97AA4">
            <w:pPr>
              <w:rPr>
                <w:rFonts w:ascii="Times New Roman" w:hAnsi="Times New Roman" w:cs="Times New Roman"/>
                <w:sz w:val="20"/>
                <w:szCs w:val="20"/>
              </w:rPr>
            </w:pPr>
            <w:r w:rsidRPr="00D8529D">
              <w:rPr>
                <w:rFonts w:ascii="Times New Roman" w:hAnsi="Times New Roman" w:cs="Times New Roman" w:hint="eastAsia"/>
                <w:sz w:val="20"/>
                <w:szCs w:val="20"/>
              </w:rPr>
              <w:t>G</w:t>
            </w:r>
            <w:r w:rsidRPr="00D8529D">
              <w:rPr>
                <w:rFonts w:ascii="Times New Roman" w:hAnsi="Times New Roman" w:cs="Times New Roman"/>
                <w:sz w:val="20"/>
                <w:szCs w:val="20"/>
              </w:rPr>
              <w:t>SE15459</w:t>
            </w:r>
          </w:p>
        </w:tc>
        <w:tc>
          <w:tcPr>
            <w:tcW w:w="1270" w:type="dxa"/>
            <w:tcBorders>
              <w:bottom w:val="single" w:sz="12" w:space="0" w:color="auto"/>
            </w:tcBorders>
          </w:tcPr>
          <w:p w:rsidR="00E62395" w:rsidRPr="00D8529D" w:rsidRDefault="00E62395" w:rsidP="00A97AA4">
            <w:pPr>
              <w:rPr>
                <w:rFonts w:ascii="Times New Roman" w:hAnsi="Times New Roman" w:cs="Times New Roman"/>
                <w:sz w:val="20"/>
                <w:szCs w:val="20"/>
              </w:rPr>
            </w:pPr>
            <w:r w:rsidRPr="00D8529D">
              <w:rPr>
                <w:rFonts w:ascii="Times New Roman" w:hAnsi="Times New Roman" w:cs="Times New Roman" w:hint="eastAsia"/>
                <w:sz w:val="20"/>
                <w:szCs w:val="20"/>
              </w:rPr>
              <w:t>G</w:t>
            </w:r>
            <w:r w:rsidRPr="00D8529D">
              <w:rPr>
                <w:rFonts w:ascii="Times New Roman" w:hAnsi="Times New Roman" w:cs="Times New Roman"/>
                <w:sz w:val="20"/>
                <w:szCs w:val="20"/>
              </w:rPr>
              <w:t>PL570</w:t>
            </w:r>
          </w:p>
        </w:tc>
        <w:tc>
          <w:tcPr>
            <w:tcW w:w="1028" w:type="dxa"/>
            <w:tcBorders>
              <w:bottom w:val="single" w:sz="12" w:space="0" w:color="auto"/>
            </w:tcBorders>
          </w:tcPr>
          <w:p w:rsidR="00E62395" w:rsidRPr="00D8529D" w:rsidRDefault="00E62395" w:rsidP="00E62A68">
            <w:pPr>
              <w:jc w:val="left"/>
              <w:rPr>
                <w:rFonts w:ascii="Times New Roman" w:hAnsi="Times New Roman" w:cs="Times New Roman"/>
                <w:sz w:val="20"/>
                <w:szCs w:val="20"/>
              </w:rPr>
            </w:pPr>
            <w:r w:rsidRPr="00D8529D">
              <w:rPr>
                <w:rFonts w:ascii="Times New Roman" w:hAnsi="Times New Roman" w:cs="Times New Roman" w:hint="eastAsia"/>
                <w:sz w:val="20"/>
                <w:szCs w:val="20"/>
              </w:rPr>
              <w:t>1</w:t>
            </w:r>
            <w:r w:rsidRPr="00D8529D">
              <w:rPr>
                <w:rFonts w:ascii="Times New Roman" w:hAnsi="Times New Roman" w:cs="Times New Roman"/>
                <w:sz w:val="20"/>
                <w:szCs w:val="20"/>
              </w:rPr>
              <w:t>98</w:t>
            </w:r>
          </w:p>
        </w:tc>
        <w:tc>
          <w:tcPr>
            <w:tcW w:w="1283" w:type="dxa"/>
            <w:tcBorders>
              <w:bottom w:val="single" w:sz="12" w:space="0" w:color="auto"/>
            </w:tcBorders>
          </w:tcPr>
          <w:p w:rsidR="00E62395" w:rsidRPr="00D8529D" w:rsidRDefault="00E62395" w:rsidP="00E62A68">
            <w:pPr>
              <w:jc w:val="left"/>
              <w:rPr>
                <w:rFonts w:ascii="Times New Roman" w:hAnsi="Times New Roman" w:cs="Times New Roman"/>
                <w:sz w:val="20"/>
                <w:szCs w:val="20"/>
              </w:rPr>
            </w:pPr>
            <w:r w:rsidRPr="00D8529D">
              <w:rPr>
                <w:rFonts w:ascii="Times New Roman" w:hAnsi="Times New Roman" w:cs="Times New Roman" w:hint="eastAsia"/>
                <w:sz w:val="20"/>
                <w:szCs w:val="20"/>
              </w:rPr>
              <w:t>0</w:t>
            </w:r>
          </w:p>
        </w:tc>
        <w:tc>
          <w:tcPr>
            <w:tcW w:w="850" w:type="dxa"/>
            <w:tcBorders>
              <w:bottom w:val="single" w:sz="12" w:space="0" w:color="auto"/>
            </w:tcBorders>
          </w:tcPr>
          <w:p w:rsidR="00E62395" w:rsidRPr="00D8529D" w:rsidRDefault="00E62395" w:rsidP="00E62A68">
            <w:pPr>
              <w:jc w:val="center"/>
              <w:rPr>
                <w:rFonts w:ascii="Times New Roman" w:hAnsi="Times New Roman" w:cs="Times New Roman"/>
                <w:sz w:val="20"/>
                <w:szCs w:val="20"/>
              </w:rPr>
            </w:pPr>
            <w:r w:rsidRPr="00D8529D">
              <w:rPr>
                <w:rFonts w:ascii="Times New Roman" w:hAnsi="Times New Roman" w:cs="Times New Roman"/>
                <w:sz w:val="20"/>
                <w:szCs w:val="20"/>
              </w:rPr>
              <w:t>No</w:t>
            </w:r>
          </w:p>
        </w:tc>
        <w:tc>
          <w:tcPr>
            <w:tcW w:w="993" w:type="dxa"/>
            <w:tcBorders>
              <w:bottom w:val="single" w:sz="12" w:space="0" w:color="auto"/>
            </w:tcBorders>
          </w:tcPr>
          <w:p w:rsidR="00E62395" w:rsidRPr="00D8529D" w:rsidRDefault="00E62395" w:rsidP="00E62A68">
            <w:pPr>
              <w:jc w:val="center"/>
              <w:rPr>
                <w:rFonts w:ascii="Times New Roman" w:hAnsi="Times New Roman" w:cs="Times New Roman"/>
                <w:sz w:val="20"/>
                <w:szCs w:val="20"/>
              </w:rPr>
            </w:pPr>
            <w:r w:rsidRPr="00D8529D">
              <w:rPr>
                <w:rFonts w:ascii="Times New Roman" w:hAnsi="Times New Roman" w:cs="Times New Roman"/>
                <w:sz w:val="20"/>
                <w:szCs w:val="20"/>
              </w:rPr>
              <w:t>Yes</w:t>
            </w:r>
          </w:p>
        </w:tc>
        <w:tc>
          <w:tcPr>
            <w:tcW w:w="850" w:type="dxa"/>
            <w:tcBorders>
              <w:bottom w:val="single" w:sz="12" w:space="0" w:color="auto"/>
            </w:tcBorders>
          </w:tcPr>
          <w:p w:rsidR="00E62395" w:rsidRPr="00D8529D" w:rsidRDefault="00E62395" w:rsidP="00E62A68">
            <w:pPr>
              <w:jc w:val="left"/>
              <w:rPr>
                <w:rFonts w:ascii="Times New Roman" w:hAnsi="Times New Roman" w:cs="Times New Roman"/>
                <w:sz w:val="20"/>
                <w:szCs w:val="20"/>
              </w:rPr>
            </w:pPr>
            <w:r w:rsidRPr="00D8529D">
              <w:rPr>
                <w:rFonts w:ascii="Times New Roman" w:hAnsi="Times New Roman" w:cs="Times New Roman" w:hint="eastAsia"/>
                <w:sz w:val="20"/>
                <w:szCs w:val="20"/>
              </w:rPr>
              <w:t>2</w:t>
            </w:r>
            <w:r w:rsidRPr="00D8529D">
              <w:rPr>
                <w:rFonts w:ascii="Times New Roman" w:hAnsi="Times New Roman" w:cs="Times New Roman"/>
                <w:sz w:val="20"/>
                <w:szCs w:val="20"/>
              </w:rPr>
              <w:t>009</w:t>
            </w:r>
          </w:p>
        </w:tc>
        <w:tc>
          <w:tcPr>
            <w:tcW w:w="1189" w:type="dxa"/>
            <w:tcBorders>
              <w:bottom w:val="single" w:sz="12" w:space="0" w:color="auto"/>
            </w:tcBorders>
          </w:tcPr>
          <w:p w:rsidR="00E62395" w:rsidRPr="00D8529D" w:rsidRDefault="00E62395" w:rsidP="00B463B5">
            <w:pPr>
              <w:rPr>
                <w:rFonts w:ascii="Times New Roman" w:hAnsi="Times New Roman" w:cs="Times New Roman"/>
                <w:sz w:val="20"/>
                <w:szCs w:val="20"/>
              </w:rPr>
            </w:pPr>
            <w:r w:rsidRPr="00D8529D">
              <w:rPr>
                <w:rFonts w:ascii="Times New Roman" w:hAnsi="Times New Roman" w:cs="Times New Roman"/>
                <w:sz w:val="20"/>
                <w:szCs w:val="20"/>
              </w:rPr>
              <w:t xml:space="preserve">Ooi </w:t>
            </w:r>
            <w:r w:rsidR="00B463B5" w:rsidRPr="00D8529D">
              <w:rPr>
                <w:rFonts w:ascii="Times New Roman" w:hAnsi="Times New Roman" w:cs="Times New Roman"/>
                <w:sz w:val="20"/>
                <w:szCs w:val="20"/>
              </w:rPr>
              <w:t>et al</w:t>
            </w:r>
            <w:r w:rsidRPr="00D8529D">
              <w:rPr>
                <w:rFonts w:ascii="Times New Roman" w:hAnsi="Times New Roman" w:cs="Times New Roman"/>
                <w:sz w:val="20"/>
                <w:szCs w:val="20"/>
              </w:rPr>
              <w:t xml:space="preserve"> </w:t>
            </w:r>
          </w:p>
        </w:tc>
      </w:tr>
    </w:tbl>
    <w:p w:rsidR="00387A26" w:rsidRPr="00D8529D" w:rsidRDefault="00387A26" w:rsidP="00A97AA4">
      <w:pPr>
        <w:rPr>
          <w:rFonts w:ascii="Times New Roman" w:hAnsi="Times New Roman" w:cs="Times New Roman"/>
          <w:sz w:val="20"/>
          <w:szCs w:val="20"/>
        </w:rPr>
      </w:pPr>
    </w:p>
    <w:p w:rsidR="00CC3A17" w:rsidRDefault="00CC3A17" w:rsidP="00A97AA4">
      <w:pPr>
        <w:rPr>
          <w:rFonts w:ascii="Times New Roman" w:hAnsi="Times New Roman" w:cs="Times New Roman"/>
          <w:sz w:val="24"/>
          <w:szCs w:val="24"/>
        </w:rPr>
      </w:pPr>
    </w:p>
    <w:p w:rsidR="00CC3A17" w:rsidRDefault="00CC3A17" w:rsidP="00A97AA4">
      <w:pPr>
        <w:rPr>
          <w:rFonts w:ascii="Times New Roman" w:hAnsi="Times New Roman" w:cs="Times New Roman"/>
          <w:sz w:val="24"/>
          <w:szCs w:val="24"/>
        </w:rPr>
      </w:pPr>
    </w:p>
    <w:p w:rsidR="00CC3A17" w:rsidRDefault="00CC3A17" w:rsidP="00A97AA4">
      <w:pPr>
        <w:rPr>
          <w:rFonts w:ascii="Times New Roman" w:hAnsi="Times New Roman" w:cs="Times New Roman"/>
          <w:sz w:val="24"/>
          <w:szCs w:val="24"/>
        </w:rPr>
      </w:pPr>
    </w:p>
    <w:p w:rsidR="00CC3A17" w:rsidRDefault="00CC3A17" w:rsidP="00A97AA4">
      <w:pPr>
        <w:rPr>
          <w:rFonts w:ascii="Times New Roman" w:hAnsi="Times New Roman" w:cs="Times New Roman"/>
          <w:sz w:val="24"/>
          <w:szCs w:val="24"/>
        </w:rPr>
      </w:pPr>
    </w:p>
    <w:p w:rsidR="00CC3A17" w:rsidRDefault="00CC3A17" w:rsidP="00A97AA4">
      <w:pPr>
        <w:rPr>
          <w:rFonts w:ascii="Times New Roman" w:hAnsi="Times New Roman" w:cs="Times New Roman"/>
          <w:sz w:val="24"/>
          <w:szCs w:val="24"/>
        </w:rPr>
      </w:pPr>
    </w:p>
    <w:p w:rsidR="004B739D" w:rsidRDefault="004B739D" w:rsidP="00A97AA4">
      <w:pPr>
        <w:rPr>
          <w:rFonts w:ascii="Times New Roman" w:hAnsi="Times New Roman" w:cs="Times New Roman"/>
          <w:sz w:val="24"/>
          <w:szCs w:val="24"/>
        </w:rPr>
        <w:sectPr w:rsidR="004B739D" w:rsidSect="00B53B5B">
          <w:pgSz w:w="11906" w:h="16838"/>
          <w:pgMar w:top="1440" w:right="1800" w:bottom="1440" w:left="1800" w:header="851" w:footer="992" w:gutter="0"/>
          <w:cols w:space="425"/>
          <w:docGrid w:type="lines" w:linePitch="312"/>
        </w:sectPr>
      </w:pPr>
    </w:p>
    <w:p w:rsidR="004B739D" w:rsidRDefault="004B739D" w:rsidP="004B739D">
      <w:pPr>
        <w:jc w:val="center"/>
        <w:rPr>
          <w:rFonts w:ascii="Times New Roman" w:hAnsi="Times New Roman" w:cs="Times New Roman"/>
          <w:sz w:val="24"/>
          <w:szCs w:val="24"/>
        </w:rPr>
      </w:pPr>
      <w:r>
        <w:rPr>
          <w:rFonts w:ascii="Times New Roman" w:hAnsi="Times New Roman" w:cs="Times New Roman" w:hint="eastAsia"/>
          <w:sz w:val="24"/>
          <w:szCs w:val="24"/>
        </w:rPr>
        <w:lastRenderedPageBreak/>
        <w:t>T</w:t>
      </w:r>
      <w:r>
        <w:rPr>
          <w:rFonts w:ascii="Times New Roman" w:hAnsi="Times New Roman" w:cs="Times New Roman"/>
          <w:sz w:val="24"/>
          <w:szCs w:val="24"/>
        </w:rPr>
        <w:t xml:space="preserve">able S2. </w:t>
      </w:r>
      <w:r w:rsidR="00D8529D">
        <w:rPr>
          <w:rFonts w:ascii="Times New Roman" w:hAnsi="Times New Roman" w:cs="Times New Roman"/>
          <w:sz w:val="20"/>
          <w:szCs w:val="20"/>
        </w:rPr>
        <w:t>Significant KEGG terms in GSEA analysis</w:t>
      </w:r>
      <w:r w:rsidR="00D8529D">
        <w:rPr>
          <w:rFonts w:ascii="Times New Roman" w:hAnsi="Times New Roman" w:cs="Times New Roman" w:hint="eastAsia"/>
          <w:sz w:val="20"/>
          <w:szCs w:val="20"/>
        </w:rPr>
        <w:t xml:space="preserve"> </w:t>
      </w:r>
      <w:r w:rsidR="00D8529D">
        <w:rPr>
          <w:rFonts w:ascii="Times New Roman" w:hAnsi="Times New Roman" w:cs="Times New Roman"/>
          <w:sz w:val="20"/>
          <w:szCs w:val="20"/>
        </w:rPr>
        <w:t>of IGFBP7.</w:t>
      </w:r>
    </w:p>
    <w:tbl>
      <w:tblPr>
        <w:tblStyle w:val="a5"/>
        <w:tblW w:w="1246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50"/>
        <w:gridCol w:w="1105"/>
        <w:gridCol w:w="1275"/>
        <w:gridCol w:w="1276"/>
        <w:gridCol w:w="1418"/>
        <w:gridCol w:w="840"/>
      </w:tblGrid>
      <w:tr w:rsidR="00055B18" w:rsidRPr="00D8529D" w:rsidTr="00D8529D">
        <w:trPr>
          <w:trHeight w:val="282"/>
          <w:jc w:val="center"/>
        </w:trPr>
        <w:tc>
          <w:tcPr>
            <w:tcW w:w="6550" w:type="dxa"/>
            <w:tcBorders>
              <w:top w:val="single" w:sz="12" w:space="0" w:color="auto"/>
              <w:bottom w:val="single" w:sz="8" w:space="0" w:color="auto"/>
            </w:tcBorders>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NAME</w:t>
            </w:r>
          </w:p>
        </w:tc>
        <w:tc>
          <w:tcPr>
            <w:tcW w:w="1105" w:type="dxa"/>
            <w:tcBorders>
              <w:top w:val="single" w:sz="12" w:space="0" w:color="auto"/>
              <w:bottom w:val="single" w:sz="8" w:space="0" w:color="auto"/>
            </w:tcBorders>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NES</w:t>
            </w:r>
          </w:p>
        </w:tc>
        <w:tc>
          <w:tcPr>
            <w:tcW w:w="1275" w:type="dxa"/>
            <w:tcBorders>
              <w:top w:val="single" w:sz="12" w:space="0" w:color="auto"/>
              <w:bottom w:val="single" w:sz="8" w:space="0" w:color="auto"/>
            </w:tcBorders>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NOM p-val</w:t>
            </w:r>
          </w:p>
        </w:tc>
        <w:tc>
          <w:tcPr>
            <w:tcW w:w="1276" w:type="dxa"/>
            <w:tcBorders>
              <w:top w:val="single" w:sz="12" w:space="0" w:color="auto"/>
              <w:bottom w:val="single" w:sz="8" w:space="0" w:color="auto"/>
            </w:tcBorders>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FDR q-val</w:t>
            </w:r>
          </w:p>
        </w:tc>
        <w:tc>
          <w:tcPr>
            <w:tcW w:w="1418" w:type="dxa"/>
            <w:tcBorders>
              <w:top w:val="single" w:sz="12" w:space="0" w:color="auto"/>
              <w:bottom w:val="single" w:sz="8" w:space="0" w:color="auto"/>
            </w:tcBorders>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FWER p-val</w:t>
            </w:r>
          </w:p>
        </w:tc>
        <w:tc>
          <w:tcPr>
            <w:tcW w:w="840" w:type="dxa"/>
            <w:tcBorders>
              <w:top w:val="single" w:sz="12" w:space="0" w:color="auto"/>
              <w:bottom w:val="single" w:sz="8" w:space="0" w:color="auto"/>
            </w:tcBorders>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RANK</w:t>
            </w:r>
          </w:p>
        </w:tc>
      </w:tr>
      <w:tr w:rsidR="00055B18" w:rsidRPr="00D8529D" w:rsidTr="00D8529D">
        <w:trPr>
          <w:trHeight w:val="282"/>
          <w:jc w:val="center"/>
        </w:trPr>
        <w:tc>
          <w:tcPr>
            <w:tcW w:w="6550" w:type="dxa"/>
            <w:tcBorders>
              <w:top w:val="single" w:sz="8" w:space="0" w:color="auto"/>
            </w:tcBorders>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KEGG_NEUROACTIVE_LIGAND_RECEPTOR_INTERACTION</w:t>
            </w:r>
          </w:p>
        </w:tc>
        <w:tc>
          <w:tcPr>
            <w:tcW w:w="1105" w:type="dxa"/>
            <w:tcBorders>
              <w:top w:val="single" w:sz="8" w:space="0" w:color="auto"/>
            </w:tcBorders>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2.425902</w:t>
            </w:r>
          </w:p>
        </w:tc>
        <w:tc>
          <w:tcPr>
            <w:tcW w:w="1275" w:type="dxa"/>
            <w:tcBorders>
              <w:top w:val="single" w:sz="8" w:space="0" w:color="auto"/>
            </w:tcBorders>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0</w:t>
            </w:r>
          </w:p>
        </w:tc>
        <w:tc>
          <w:tcPr>
            <w:tcW w:w="1276" w:type="dxa"/>
            <w:tcBorders>
              <w:top w:val="single" w:sz="8" w:space="0" w:color="auto"/>
            </w:tcBorders>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0</w:t>
            </w:r>
          </w:p>
        </w:tc>
        <w:tc>
          <w:tcPr>
            <w:tcW w:w="1418" w:type="dxa"/>
            <w:tcBorders>
              <w:top w:val="single" w:sz="8" w:space="0" w:color="auto"/>
            </w:tcBorders>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0</w:t>
            </w:r>
          </w:p>
        </w:tc>
        <w:tc>
          <w:tcPr>
            <w:tcW w:w="840" w:type="dxa"/>
            <w:tcBorders>
              <w:top w:val="single" w:sz="8" w:space="0" w:color="auto"/>
            </w:tcBorders>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6878</w:t>
            </w:r>
          </w:p>
        </w:tc>
      </w:tr>
      <w:tr w:rsidR="00055B18" w:rsidRPr="00D8529D" w:rsidTr="00D8529D">
        <w:trPr>
          <w:trHeight w:val="282"/>
          <w:jc w:val="center"/>
        </w:trPr>
        <w:tc>
          <w:tcPr>
            <w:tcW w:w="6550"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KEGG_CYTOKINE_CYTOKINE_RECEPTOR_INTERACTION</w:t>
            </w:r>
          </w:p>
        </w:tc>
        <w:tc>
          <w:tcPr>
            <w:tcW w:w="1105"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2.302273</w:t>
            </w:r>
          </w:p>
        </w:tc>
        <w:tc>
          <w:tcPr>
            <w:tcW w:w="1275"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0</w:t>
            </w:r>
          </w:p>
        </w:tc>
        <w:tc>
          <w:tcPr>
            <w:tcW w:w="1276"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0.00073</w:t>
            </w:r>
          </w:p>
        </w:tc>
        <w:tc>
          <w:tcPr>
            <w:tcW w:w="1418"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0.002</w:t>
            </w:r>
          </w:p>
        </w:tc>
        <w:tc>
          <w:tcPr>
            <w:tcW w:w="840"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8219</w:t>
            </w:r>
          </w:p>
        </w:tc>
      </w:tr>
      <w:tr w:rsidR="00055B18" w:rsidRPr="00D8529D" w:rsidTr="00D8529D">
        <w:trPr>
          <w:trHeight w:val="282"/>
          <w:jc w:val="center"/>
        </w:trPr>
        <w:tc>
          <w:tcPr>
            <w:tcW w:w="6550"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KEGG_VASCULAR_SMOOTH_MUSCLE_CONTRACTION</w:t>
            </w:r>
          </w:p>
        </w:tc>
        <w:tc>
          <w:tcPr>
            <w:tcW w:w="1105"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2.279336</w:t>
            </w:r>
          </w:p>
        </w:tc>
        <w:tc>
          <w:tcPr>
            <w:tcW w:w="1275"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0</w:t>
            </w:r>
          </w:p>
        </w:tc>
        <w:tc>
          <w:tcPr>
            <w:tcW w:w="1276"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0.00133</w:t>
            </w:r>
          </w:p>
        </w:tc>
        <w:tc>
          <w:tcPr>
            <w:tcW w:w="1418"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0.004</w:t>
            </w:r>
          </w:p>
        </w:tc>
        <w:tc>
          <w:tcPr>
            <w:tcW w:w="840"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3561</w:t>
            </w:r>
          </w:p>
        </w:tc>
      </w:tr>
      <w:tr w:rsidR="00055B18" w:rsidRPr="00D8529D" w:rsidTr="00D8529D">
        <w:trPr>
          <w:trHeight w:val="282"/>
          <w:jc w:val="center"/>
        </w:trPr>
        <w:tc>
          <w:tcPr>
            <w:tcW w:w="6550"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KEGG_CALCIUM_SIGNALING_PATHWAY</w:t>
            </w:r>
          </w:p>
        </w:tc>
        <w:tc>
          <w:tcPr>
            <w:tcW w:w="1105"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2.239484</w:t>
            </w:r>
          </w:p>
        </w:tc>
        <w:tc>
          <w:tcPr>
            <w:tcW w:w="1275"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0</w:t>
            </w:r>
          </w:p>
        </w:tc>
        <w:tc>
          <w:tcPr>
            <w:tcW w:w="1276"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0.00179</w:t>
            </w:r>
          </w:p>
        </w:tc>
        <w:tc>
          <w:tcPr>
            <w:tcW w:w="1418"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0.007</w:t>
            </w:r>
          </w:p>
        </w:tc>
        <w:tc>
          <w:tcPr>
            <w:tcW w:w="840"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5038</w:t>
            </w:r>
          </w:p>
        </w:tc>
      </w:tr>
      <w:tr w:rsidR="00055B18" w:rsidRPr="00D8529D" w:rsidTr="00D8529D">
        <w:trPr>
          <w:trHeight w:val="282"/>
          <w:jc w:val="center"/>
        </w:trPr>
        <w:tc>
          <w:tcPr>
            <w:tcW w:w="6550"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KEGG_ECM_RECEPTOR_INTERACTION</w:t>
            </w:r>
          </w:p>
        </w:tc>
        <w:tc>
          <w:tcPr>
            <w:tcW w:w="1105"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2.23756</w:t>
            </w:r>
          </w:p>
        </w:tc>
        <w:tc>
          <w:tcPr>
            <w:tcW w:w="1275"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0.002008</w:t>
            </w:r>
          </w:p>
        </w:tc>
        <w:tc>
          <w:tcPr>
            <w:tcW w:w="1276"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0.00143</w:t>
            </w:r>
          </w:p>
        </w:tc>
        <w:tc>
          <w:tcPr>
            <w:tcW w:w="1418"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0.007</w:t>
            </w:r>
          </w:p>
        </w:tc>
        <w:tc>
          <w:tcPr>
            <w:tcW w:w="840"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4462</w:t>
            </w:r>
          </w:p>
        </w:tc>
      </w:tr>
      <w:tr w:rsidR="00055B18" w:rsidRPr="00D8529D" w:rsidTr="00D8529D">
        <w:trPr>
          <w:trHeight w:val="282"/>
          <w:jc w:val="center"/>
        </w:trPr>
        <w:tc>
          <w:tcPr>
            <w:tcW w:w="6550"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KEGG_DILATED_CARDIOMYOPATHY</w:t>
            </w:r>
          </w:p>
        </w:tc>
        <w:tc>
          <w:tcPr>
            <w:tcW w:w="1105"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2.221198</w:t>
            </w:r>
          </w:p>
        </w:tc>
        <w:tc>
          <w:tcPr>
            <w:tcW w:w="1275"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0</w:t>
            </w:r>
          </w:p>
        </w:tc>
        <w:tc>
          <w:tcPr>
            <w:tcW w:w="1276"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0.00164</w:t>
            </w:r>
          </w:p>
        </w:tc>
        <w:tc>
          <w:tcPr>
            <w:tcW w:w="1418"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0.01</w:t>
            </w:r>
          </w:p>
        </w:tc>
        <w:tc>
          <w:tcPr>
            <w:tcW w:w="840"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4462</w:t>
            </w:r>
          </w:p>
        </w:tc>
      </w:tr>
      <w:tr w:rsidR="00055B18" w:rsidRPr="00D8529D" w:rsidTr="00D8529D">
        <w:trPr>
          <w:trHeight w:val="282"/>
          <w:jc w:val="center"/>
        </w:trPr>
        <w:tc>
          <w:tcPr>
            <w:tcW w:w="6550"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KEGG_FOCAL_ADHESION</w:t>
            </w:r>
          </w:p>
        </w:tc>
        <w:tc>
          <w:tcPr>
            <w:tcW w:w="1105"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2.190292</w:t>
            </w:r>
          </w:p>
        </w:tc>
        <w:tc>
          <w:tcPr>
            <w:tcW w:w="1275"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0</w:t>
            </w:r>
          </w:p>
        </w:tc>
        <w:tc>
          <w:tcPr>
            <w:tcW w:w="1276"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0.0017</w:t>
            </w:r>
          </w:p>
        </w:tc>
        <w:tc>
          <w:tcPr>
            <w:tcW w:w="1418"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0.012</w:t>
            </w:r>
          </w:p>
        </w:tc>
        <w:tc>
          <w:tcPr>
            <w:tcW w:w="840"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5001</w:t>
            </w:r>
          </w:p>
        </w:tc>
      </w:tr>
      <w:tr w:rsidR="00055B18" w:rsidRPr="00D8529D" w:rsidTr="00D8529D">
        <w:trPr>
          <w:trHeight w:val="282"/>
          <w:jc w:val="center"/>
        </w:trPr>
        <w:tc>
          <w:tcPr>
            <w:tcW w:w="6550"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KEGG_HEDGEHOG_SIGNALING_PATHWAY</w:t>
            </w:r>
          </w:p>
        </w:tc>
        <w:tc>
          <w:tcPr>
            <w:tcW w:w="1105"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2.175366</w:t>
            </w:r>
          </w:p>
        </w:tc>
        <w:tc>
          <w:tcPr>
            <w:tcW w:w="1275"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0</w:t>
            </w:r>
          </w:p>
        </w:tc>
        <w:tc>
          <w:tcPr>
            <w:tcW w:w="1276"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0.00164</w:t>
            </w:r>
          </w:p>
        </w:tc>
        <w:tc>
          <w:tcPr>
            <w:tcW w:w="1418"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0.014</w:t>
            </w:r>
          </w:p>
        </w:tc>
        <w:tc>
          <w:tcPr>
            <w:tcW w:w="840"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3596</w:t>
            </w:r>
          </w:p>
        </w:tc>
      </w:tr>
      <w:tr w:rsidR="00055B18" w:rsidRPr="00D8529D" w:rsidTr="00D8529D">
        <w:trPr>
          <w:trHeight w:val="282"/>
          <w:jc w:val="center"/>
        </w:trPr>
        <w:tc>
          <w:tcPr>
            <w:tcW w:w="6550"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KEGG_HYPERTROPHIC_CARDIOMYOPATHY_HCM</w:t>
            </w:r>
          </w:p>
        </w:tc>
        <w:tc>
          <w:tcPr>
            <w:tcW w:w="1105"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2.162431</w:t>
            </w:r>
          </w:p>
        </w:tc>
        <w:tc>
          <w:tcPr>
            <w:tcW w:w="1275"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0</w:t>
            </w:r>
          </w:p>
        </w:tc>
        <w:tc>
          <w:tcPr>
            <w:tcW w:w="1276"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0.00178</w:t>
            </w:r>
          </w:p>
        </w:tc>
        <w:tc>
          <w:tcPr>
            <w:tcW w:w="1418"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0.017</w:t>
            </w:r>
          </w:p>
        </w:tc>
        <w:tc>
          <w:tcPr>
            <w:tcW w:w="840"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4462</w:t>
            </w:r>
          </w:p>
        </w:tc>
      </w:tr>
      <w:tr w:rsidR="00055B18" w:rsidRPr="00D8529D" w:rsidTr="00D8529D">
        <w:trPr>
          <w:trHeight w:val="282"/>
          <w:jc w:val="center"/>
        </w:trPr>
        <w:tc>
          <w:tcPr>
            <w:tcW w:w="6550"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KEGG_HEMATOPOIETIC_CELL_LINEAGE</w:t>
            </w:r>
          </w:p>
        </w:tc>
        <w:tc>
          <w:tcPr>
            <w:tcW w:w="1105"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2.138025</w:t>
            </w:r>
          </w:p>
        </w:tc>
        <w:tc>
          <w:tcPr>
            <w:tcW w:w="1275"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0.001919</w:t>
            </w:r>
          </w:p>
        </w:tc>
        <w:tc>
          <w:tcPr>
            <w:tcW w:w="1276"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0.00209</w:t>
            </w:r>
          </w:p>
        </w:tc>
        <w:tc>
          <w:tcPr>
            <w:tcW w:w="1418"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0.02</w:t>
            </w:r>
          </w:p>
        </w:tc>
        <w:tc>
          <w:tcPr>
            <w:tcW w:w="840"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7305</w:t>
            </w:r>
          </w:p>
        </w:tc>
      </w:tr>
      <w:tr w:rsidR="00055B18" w:rsidRPr="00D8529D" w:rsidTr="00D8529D">
        <w:trPr>
          <w:trHeight w:val="282"/>
          <w:jc w:val="center"/>
        </w:trPr>
        <w:tc>
          <w:tcPr>
            <w:tcW w:w="6550"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KEGG_CELL_ADHESION_MOLECULES_CAMS</w:t>
            </w:r>
          </w:p>
        </w:tc>
        <w:tc>
          <w:tcPr>
            <w:tcW w:w="1105"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2.122281</w:t>
            </w:r>
          </w:p>
        </w:tc>
        <w:tc>
          <w:tcPr>
            <w:tcW w:w="1275"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0</w:t>
            </w:r>
          </w:p>
        </w:tc>
        <w:tc>
          <w:tcPr>
            <w:tcW w:w="1276"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0.00277</w:t>
            </w:r>
          </w:p>
        </w:tc>
        <w:tc>
          <w:tcPr>
            <w:tcW w:w="1418"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0.029</w:t>
            </w:r>
          </w:p>
        </w:tc>
        <w:tc>
          <w:tcPr>
            <w:tcW w:w="840"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6143</w:t>
            </w:r>
          </w:p>
        </w:tc>
      </w:tr>
      <w:tr w:rsidR="00055B18" w:rsidRPr="00D8529D" w:rsidTr="00D8529D">
        <w:trPr>
          <w:trHeight w:val="282"/>
          <w:jc w:val="center"/>
        </w:trPr>
        <w:tc>
          <w:tcPr>
            <w:tcW w:w="6550"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KEGG_GAP_JUNCTION</w:t>
            </w:r>
          </w:p>
        </w:tc>
        <w:tc>
          <w:tcPr>
            <w:tcW w:w="1105"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2.069905</w:t>
            </w:r>
          </w:p>
        </w:tc>
        <w:tc>
          <w:tcPr>
            <w:tcW w:w="1275"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0</w:t>
            </w:r>
          </w:p>
        </w:tc>
        <w:tc>
          <w:tcPr>
            <w:tcW w:w="1276"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0.00466</w:t>
            </w:r>
          </w:p>
        </w:tc>
        <w:tc>
          <w:tcPr>
            <w:tcW w:w="1418"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0.042</w:t>
            </w:r>
          </w:p>
        </w:tc>
        <w:tc>
          <w:tcPr>
            <w:tcW w:w="840"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2766</w:t>
            </w:r>
          </w:p>
        </w:tc>
      </w:tr>
      <w:tr w:rsidR="00055B18" w:rsidRPr="00D8529D" w:rsidTr="00D8529D">
        <w:trPr>
          <w:trHeight w:val="282"/>
          <w:jc w:val="center"/>
        </w:trPr>
        <w:tc>
          <w:tcPr>
            <w:tcW w:w="6550"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KEGG_BASAL_CELL_CARCINOMA</w:t>
            </w:r>
          </w:p>
        </w:tc>
        <w:tc>
          <w:tcPr>
            <w:tcW w:w="1105"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2.051412</w:t>
            </w:r>
          </w:p>
        </w:tc>
        <w:tc>
          <w:tcPr>
            <w:tcW w:w="1275"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0</w:t>
            </w:r>
          </w:p>
        </w:tc>
        <w:tc>
          <w:tcPr>
            <w:tcW w:w="1276"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0.00531</w:t>
            </w:r>
          </w:p>
        </w:tc>
        <w:tc>
          <w:tcPr>
            <w:tcW w:w="1418"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0.049</w:t>
            </w:r>
          </w:p>
        </w:tc>
        <w:tc>
          <w:tcPr>
            <w:tcW w:w="840"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3596</w:t>
            </w:r>
          </w:p>
        </w:tc>
      </w:tr>
      <w:tr w:rsidR="00055B18" w:rsidRPr="00D8529D" w:rsidTr="00D8529D">
        <w:trPr>
          <w:trHeight w:val="282"/>
          <w:jc w:val="center"/>
        </w:trPr>
        <w:tc>
          <w:tcPr>
            <w:tcW w:w="6550"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KEGG_COMPLEMENT_AND_COAGULATION_CASCADES</w:t>
            </w:r>
          </w:p>
        </w:tc>
        <w:tc>
          <w:tcPr>
            <w:tcW w:w="1105"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2.031948</w:t>
            </w:r>
          </w:p>
        </w:tc>
        <w:tc>
          <w:tcPr>
            <w:tcW w:w="1275"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0.001992</w:t>
            </w:r>
          </w:p>
        </w:tc>
        <w:tc>
          <w:tcPr>
            <w:tcW w:w="1276"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0.00626</w:t>
            </w:r>
          </w:p>
        </w:tc>
        <w:tc>
          <w:tcPr>
            <w:tcW w:w="1418"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0.061</w:t>
            </w:r>
          </w:p>
        </w:tc>
        <w:tc>
          <w:tcPr>
            <w:tcW w:w="840"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4482</w:t>
            </w:r>
          </w:p>
        </w:tc>
      </w:tr>
      <w:tr w:rsidR="00055B18" w:rsidRPr="00D8529D" w:rsidTr="00D8529D">
        <w:trPr>
          <w:trHeight w:val="282"/>
          <w:jc w:val="center"/>
        </w:trPr>
        <w:tc>
          <w:tcPr>
            <w:tcW w:w="6550"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KEGG_GLYCOSAMINOGLYCAN_BIOSYNTHESIS_CHONDROITIN_SULFATE</w:t>
            </w:r>
          </w:p>
        </w:tc>
        <w:tc>
          <w:tcPr>
            <w:tcW w:w="1105"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1.954636</w:t>
            </w:r>
          </w:p>
        </w:tc>
        <w:tc>
          <w:tcPr>
            <w:tcW w:w="1275"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0.007576</w:t>
            </w:r>
          </w:p>
        </w:tc>
        <w:tc>
          <w:tcPr>
            <w:tcW w:w="1276"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0.01608</w:t>
            </w:r>
          </w:p>
        </w:tc>
        <w:tc>
          <w:tcPr>
            <w:tcW w:w="1418"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0.135</w:t>
            </w:r>
          </w:p>
        </w:tc>
        <w:tc>
          <w:tcPr>
            <w:tcW w:w="840"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7100</w:t>
            </w:r>
          </w:p>
        </w:tc>
      </w:tr>
      <w:tr w:rsidR="00055B18" w:rsidRPr="00D8529D" w:rsidTr="00D8529D">
        <w:trPr>
          <w:trHeight w:val="282"/>
          <w:jc w:val="center"/>
        </w:trPr>
        <w:tc>
          <w:tcPr>
            <w:tcW w:w="6550"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KEGG_REGULATION_OF_ACTIN_CYTOSKELETON</w:t>
            </w:r>
          </w:p>
        </w:tc>
        <w:tc>
          <w:tcPr>
            <w:tcW w:w="1105"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1.952644</w:t>
            </w:r>
          </w:p>
        </w:tc>
        <w:tc>
          <w:tcPr>
            <w:tcW w:w="1275"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0.005964</w:t>
            </w:r>
          </w:p>
        </w:tc>
        <w:tc>
          <w:tcPr>
            <w:tcW w:w="1276"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0.01571</w:t>
            </w:r>
          </w:p>
        </w:tc>
        <w:tc>
          <w:tcPr>
            <w:tcW w:w="1418"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0.139</w:t>
            </w:r>
          </w:p>
        </w:tc>
        <w:tc>
          <w:tcPr>
            <w:tcW w:w="840"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4875</w:t>
            </w:r>
          </w:p>
        </w:tc>
      </w:tr>
      <w:tr w:rsidR="00055B18" w:rsidRPr="00D8529D" w:rsidTr="00D8529D">
        <w:trPr>
          <w:trHeight w:val="282"/>
          <w:jc w:val="center"/>
        </w:trPr>
        <w:tc>
          <w:tcPr>
            <w:tcW w:w="6550"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KEGG_MELANOMA</w:t>
            </w:r>
          </w:p>
        </w:tc>
        <w:tc>
          <w:tcPr>
            <w:tcW w:w="1105"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1.948851</w:t>
            </w:r>
          </w:p>
        </w:tc>
        <w:tc>
          <w:tcPr>
            <w:tcW w:w="1275"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0.003891</w:t>
            </w:r>
          </w:p>
        </w:tc>
        <w:tc>
          <w:tcPr>
            <w:tcW w:w="1276"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0.01525</w:t>
            </w:r>
          </w:p>
        </w:tc>
        <w:tc>
          <w:tcPr>
            <w:tcW w:w="1418"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0.142</w:t>
            </w:r>
          </w:p>
        </w:tc>
        <w:tc>
          <w:tcPr>
            <w:tcW w:w="840"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3260</w:t>
            </w:r>
          </w:p>
        </w:tc>
      </w:tr>
      <w:tr w:rsidR="00055B18" w:rsidRPr="00D8529D" w:rsidTr="00D8529D">
        <w:trPr>
          <w:trHeight w:val="282"/>
          <w:jc w:val="center"/>
        </w:trPr>
        <w:tc>
          <w:tcPr>
            <w:tcW w:w="6550"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KEGG_LEUKOCYTE_TRANSENDOTHELIAL_MIGRATION</w:t>
            </w:r>
          </w:p>
        </w:tc>
        <w:tc>
          <w:tcPr>
            <w:tcW w:w="1105"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1.900294</w:t>
            </w:r>
          </w:p>
        </w:tc>
        <w:tc>
          <w:tcPr>
            <w:tcW w:w="1275"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0.00396</w:t>
            </w:r>
          </w:p>
        </w:tc>
        <w:tc>
          <w:tcPr>
            <w:tcW w:w="1276"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0.02389</w:t>
            </w:r>
          </w:p>
        </w:tc>
        <w:tc>
          <w:tcPr>
            <w:tcW w:w="1418"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0.188</w:t>
            </w:r>
          </w:p>
        </w:tc>
        <w:tc>
          <w:tcPr>
            <w:tcW w:w="840"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8337</w:t>
            </w:r>
          </w:p>
        </w:tc>
      </w:tr>
      <w:tr w:rsidR="00055B18" w:rsidRPr="00D8529D" w:rsidTr="00D8529D">
        <w:trPr>
          <w:trHeight w:val="282"/>
          <w:jc w:val="center"/>
        </w:trPr>
        <w:tc>
          <w:tcPr>
            <w:tcW w:w="6550"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KEGG_MELANOGENESIS</w:t>
            </w:r>
          </w:p>
        </w:tc>
        <w:tc>
          <w:tcPr>
            <w:tcW w:w="1105"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1.883248</w:t>
            </w:r>
          </w:p>
        </w:tc>
        <w:tc>
          <w:tcPr>
            <w:tcW w:w="1275"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0</w:t>
            </w:r>
          </w:p>
        </w:tc>
        <w:tc>
          <w:tcPr>
            <w:tcW w:w="1276"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0.0263</w:t>
            </w:r>
          </w:p>
        </w:tc>
        <w:tc>
          <w:tcPr>
            <w:tcW w:w="1418"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0.218</w:t>
            </w:r>
          </w:p>
        </w:tc>
        <w:tc>
          <w:tcPr>
            <w:tcW w:w="840"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6152</w:t>
            </w:r>
          </w:p>
        </w:tc>
      </w:tr>
      <w:tr w:rsidR="00055B18" w:rsidRPr="00D8529D" w:rsidTr="00D8529D">
        <w:trPr>
          <w:trHeight w:val="282"/>
          <w:jc w:val="center"/>
        </w:trPr>
        <w:tc>
          <w:tcPr>
            <w:tcW w:w="6550"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KEGG_MAPK_SIGNALING_PATHWAY</w:t>
            </w:r>
          </w:p>
        </w:tc>
        <w:tc>
          <w:tcPr>
            <w:tcW w:w="1105"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1.868716</w:t>
            </w:r>
          </w:p>
        </w:tc>
        <w:tc>
          <w:tcPr>
            <w:tcW w:w="1275"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0.003906</w:t>
            </w:r>
          </w:p>
        </w:tc>
        <w:tc>
          <w:tcPr>
            <w:tcW w:w="1276"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0.02864</w:t>
            </w:r>
          </w:p>
        </w:tc>
        <w:tc>
          <w:tcPr>
            <w:tcW w:w="1418"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0.241</w:t>
            </w:r>
          </w:p>
        </w:tc>
        <w:tc>
          <w:tcPr>
            <w:tcW w:w="840"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7597</w:t>
            </w:r>
          </w:p>
        </w:tc>
      </w:tr>
      <w:tr w:rsidR="00055B18" w:rsidRPr="00D8529D" w:rsidTr="00D8529D">
        <w:trPr>
          <w:trHeight w:val="282"/>
          <w:jc w:val="center"/>
        </w:trPr>
        <w:tc>
          <w:tcPr>
            <w:tcW w:w="6550"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KEGG_ARRHYTHMOGENIC_RIGHT_VENTRICULAR_CARDIOMYOPATHY_ARVC</w:t>
            </w:r>
          </w:p>
        </w:tc>
        <w:tc>
          <w:tcPr>
            <w:tcW w:w="1105"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1.858917</w:t>
            </w:r>
          </w:p>
        </w:tc>
        <w:tc>
          <w:tcPr>
            <w:tcW w:w="1275"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0.009862</w:t>
            </w:r>
          </w:p>
        </w:tc>
        <w:tc>
          <w:tcPr>
            <w:tcW w:w="1276"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0.03097</w:t>
            </w:r>
          </w:p>
        </w:tc>
        <w:tc>
          <w:tcPr>
            <w:tcW w:w="1418"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0.263</w:t>
            </w:r>
          </w:p>
        </w:tc>
        <w:tc>
          <w:tcPr>
            <w:tcW w:w="840" w:type="dxa"/>
            <w:noWrap/>
            <w:hideMark/>
          </w:tcPr>
          <w:p w:rsidR="00CC3A17" w:rsidRPr="00D8529D" w:rsidRDefault="00CC3A17" w:rsidP="00055B18">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4462</w:t>
            </w:r>
          </w:p>
        </w:tc>
      </w:tr>
      <w:tr w:rsidR="00100CDA" w:rsidRPr="00D8529D" w:rsidTr="00D8529D">
        <w:trPr>
          <w:trHeight w:val="282"/>
          <w:jc w:val="center"/>
        </w:trPr>
        <w:tc>
          <w:tcPr>
            <w:tcW w:w="6550" w:type="dxa"/>
            <w:tcBorders>
              <w:bottom w:val="single" w:sz="12" w:space="0" w:color="auto"/>
            </w:tcBorders>
            <w:noWrap/>
          </w:tcPr>
          <w:p w:rsidR="00100CDA" w:rsidRPr="00D8529D" w:rsidRDefault="00100CDA" w:rsidP="00100CDA">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KEGG_JAK_STAT_SIGNALING_PATHWAY</w:t>
            </w:r>
          </w:p>
        </w:tc>
        <w:tc>
          <w:tcPr>
            <w:tcW w:w="1105" w:type="dxa"/>
            <w:tcBorders>
              <w:bottom w:val="single" w:sz="12" w:space="0" w:color="auto"/>
            </w:tcBorders>
            <w:noWrap/>
          </w:tcPr>
          <w:p w:rsidR="00100CDA" w:rsidRPr="00D8529D" w:rsidRDefault="00100CDA" w:rsidP="00100CDA">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1.804173</w:t>
            </w:r>
          </w:p>
        </w:tc>
        <w:tc>
          <w:tcPr>
            <w:tcW w:w="1275" w:type="dxa"/>
            <w:tcBorders>
              <w:bottom w:val="single" w:sz="12" w:space="0" w:color="auto"/>
            </w:tcBorders>
            <w:noWrap/>
          </w:tcPr>
          <w:p w:rsidR="00100CDA" w:rsidRPr="00D8529D" w:rsidRDefault="00100CDA" w:rsidP="00100CDA">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0.00823</w:t>
            </w:r>
          </w:p>
        </w:tc>
        <w:tc>
          <w:tcPr>
            <w:tcW w:w="1276" w:type="dxa"/>
            <w:tcBorders>
              <w:bottom w:val="single" w:sz="12" w:space="0" w:color="auto"/>
            </w:tcBorders>
            <w:noWrap/>
          </w:tcPr>
          <w:p w:rsidR="00100CDA" w:rsidRPr="00D8529D" w:rsidRDefault="00100CDA" w:rsidP="00100CDA">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0.04355</w:t>
            </w:r>
          </w:p>
        </w:tc>
        <w:tc>
          <w:tcPr>
            <w:tcW w:w="1418" w:type="dxa"/>
            <w:tcBorders>
              <w:bottom w:val="single" w:sz="12" w:space="0" w:color="auto"/>
            </w:tcBorders>
            <w:noWrap/>
          </w:tcPr>
          <w:p w:rsidR="00100CDA" w:rsidRPr="00D8529D" w:rsidRDefault="00100CDA" w:rsidP="00100CDA">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0.338</w:t>
            </w:r>
          </w:p>
        </w:tc>
        <w:tc>
          <w:tcPr>
            <w:tcW w:w="840" w:type="dxa"/>
            <w:tcBorders>
              <w:bottom w:val="single" w:sz="12" w:space="0" w:color="auto"/>
            </w:tcBorders>
            <w:noWrap/>
          </w:tcPr>
          <w:p w:rsidR="00100CDA" w:rsidRPr="00D8529D" w:rsidRDefault="00100CDA" w:rsidP="00100CDA">
            <w:pPr>
              <w:widowControl/>
              <w:jc w:val="left"/>
              <w:rPr>
                <w:rFonts w:ascii="Times New Roman" w:eastAsia="宋体" w:hAnsi="Times New Roman" w:cs="Times New Roman"/>
                <w:color w:val="000000"/>
                <w:kern w:val="0"/>
                <w:sz w:val="20"/>
                <w:szCs w:val="20"/>
              </w:rPr>
            </w:pPr>
            <w:r w:rsidRPr="00D8529D">
              <w:rPr>
                <w:rFonts w:ascii="Times New Roman" w:eastAsia="宋体" w:hAnsi="Times New Roman" w:cs="Times New Roman"/>
                <w:color w:val="000000"/>
                <w:kern w:val="0"/>
                <w:sz w:val="20"/>
                <w:szCs w:val="20"/>
              </w:rPr>
              <w:t>8481</w:t>
            </w:r>
          </w:p>
        </w:tc>
      </w:tr>
    </w:tbl>
    <w:p w:rsidR="00CC3A17" w:rsidRDefault="00B45948" w:rsidP="00D8529D">
      <w:pPr>
        <w:ind w:firstLineChars="100" w:firstLine="200"/>
        <w:rPr>
          <w:rFonts w:ascii="Times New Roman" w:eastAsia="宋体" w:hAnsi="Times New Roman" w:cs="Times New Roman"/>
          <w:color w:val="000000"/>
          <w:kern w:val="0"/>
          <w:sz w:val="20"/>
          <w:szCs w:val="20"/>
        </w:rPr>
      </w:pPr>
      <w:r w:rsidRPr="00D8529D">
        <w:rPr>
          <w:rFonts w:ascii="Times New Roman" w:hAnsi="Times New Roman" w:cs="Times New Roman"/>
          <w:sz w:val="20"/>
          <w:szCs w:val="20"/>
        </w:rPr>
        <w:t>NES: normalized enrichment score; NOM p-va</w:t>
      </w:r>
      <w:r w:rsidR="004F5DF3" w:rsidRPr="00D8529D">
        <w:rPr>
          <w:rFonts w:ascii="Times New Roman" w:hAnsi="Times New Roman" w:cs="Times New Roman"/>
          <w:sz w:val="20"/>
          <w:szCs w:val="20"/>
        </w:rPr>
        <w:t>l</w:t>
      </w:r>
      <w:r w:rsidRPr="00D8529D">
        <w:rPr>
          <w:rFonts w:ascii="Times New Roman" w:hAnsi="Times New Roman" w:cs="Times New Roman"/>
          <w:sz w:val="20"/>
          <w:szCs w:val="20"/>
        </w:rPr>
        <w:t xml:space="preserve">: nominal p val; FDR q-val: false discovery rate. </w:t>
      </w:r>
      <w:r w:rsidR="006B3202" w:rsidRPr="00D8529D">
        <w:rPr>
          <w:rFonts w:ascii="Times New Roman" w:eastAsia="宋体" w:hAnsi="Times New Roman" w:cs="Times New Roman"/>
          <w:color w:val="000000"/>
          <w:kern w:val="0"/>
          <w:sz w:val="20"/>
          <w:szCs w:val="20"/>
        </w:rPr>
        <w:t>NES&gt;1&amp;</w:t>
      </w:r>
      <w:r w:rsidRPr="00D8529D">
        <w:rPr>
          <w:rFonts w:ascii="Times New Roman" w:eastAsia="宋体" w:hAnsi="Times New Roman" w:cs="Times New Roman"/>
          <w:color w:val="000000"/>
          <w:kern w:val="0"/>
          <w:sz w:val="20"/>
          <w:szCs w:val="20"/>
        </w:rPr>
        <w:t>FDR q-val &lt;0.05 was considered statistically significant.</w:t>
      </w:r>
    </w:p>
    <w:p w:rsidR="00D8529D" w:rsidRDefault="00D8529D" w:rsidP="00D8529D">
      <w:pPr>
        <w:ind w:firstLineChars="100" w:firstLine="200"/>
        <w:rPr>
          <w:rFonts w:ascii="Times New Roman" w:eastAsia="宋体" w:hAnsi="Times New Roman" w:cs="Times New Roman"/>
          <w:color w:val="000000"/>
          <w:kern w:val="0"/>
          <w:sz w:val="20"/>
          <w:szCs w:val="20"/>
        </w:rPr>
        <w:sectPr w:rsidR="00D8529D" w:rsidSect="00CC3A17">
          <w:pgSz w:w="16838" w:h="11906" w:orient="landscape"/>
          <w:pgMar w:top="1800" w:right="1440" w:bottom="1800" w:left="1440" w:header="851" w:footer="992" w:gutter="0"/>
          <w:cols w:space="425"/>
          <w:docGrid w:type="lines" w:linePitch="312"/>
        </w:sectPr>
      </w:pPr>
    </w:p>
    <w:p w:rsidR="00D8529D" w:rsidRDefault="00D8529D" w:rsidP="00D8529D">
      <w:pPr>
        <w:ind w:firstLineChars="100" w:firstLine="200"/>
        <w:rPr>
          <w:rFonts w:ascii="Times New Roman" w:eastAsia="宋体" w:hAnsi="Times New Roman" w:cs="Times New Roman"/>
          <w:color w:val="000000"/>
          <w:kern w:val="0"/>
          <w:sz w:val="20"/>
          <w:szCs w:val="20"/>
        </w:rPr>
      </w:pPr>
      <w:bookmarkStart w:id="0" w:name="_GoBack"/>
      <w:r w:rsidRPr="00D8529D">
        <w:rPr>
          <w:rFonts w:ascii="Times New Roman" w:eastAsia="宋体" w:hAnsi="Times New Roman" w:cs="Times New Roman"/>
          <w:noProof/>
          <w:color w:val="000000"/>
          <w:kern w:val="0"/>
          <w:sz w:val="20"/>
          <w:szCs w:val="20"/>
        </w:rPr>
        <w:lastRenderedPageBreak/>
        <w:drawing>
          <wp:inline distT="0" distB="0" distL="0" distR="0">
            <wp:extent cx="5274310" cy="5850898"/>
            <wp:effectExtent l="0" t="0" r="2540" b="0"/>
            <wp:docPr id="3" name="图片 3" descr="E:\论文\IGFBP7 最新\IGFBP7 投稿\Figures\Figure S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论文\IGFBP7 最新\IGFBP7 投稿\Figures\Figure S1.tif"/>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74310" cy="5850898"/>
                    </a:xfrm>
                    <a:prstGeom prst="rect">
                      <a:avLst/>
                    </a:prstGeom>
                    <a:noFill/>
                    <a:ln>
                      <a:noFill/>
                    </a:ln>
                  </pic:spPr>
                </pic:pic>
              </a:graphicData>
            </a:graphic>
          </wp:inline>
        </w:drawing>
      </w:r>
      <w:bookmarkEnd w:id="0"/>
    </w:p>
    <w:p w:rsidR="00D8529D" w:rsidRDefault="00D8529D" w:rsidP="00D8529D">
      <w:pPr>
        <w:spacing w:line="480" w:lineRule="auto"/>
        <w:rPr>
          <w:rFonts w:ascii="Times New Roman" w:hAnsi="Times New Roman" w:cs="Times New Roman"/>
          <w:sz w:val="20"/>
          <w:szCs w:val="20"/>
        </w:rPr>
      </w:pPr>
      <w:r w:rsidRPr="00F51E14">
        <w:rPr>
          <w:rFonts w:ascii="Times New Roman" w:hAnsi="Times New Roman" w:cs="Times New Roman"/>
          <w:b/>
          <w:sz w:val="20"/>
          <w:szCs w:val="20"/>
        </w:rPr>
        <w:t>Figure S1.</w:t>
      </w:r>
      <w:r w:rsidRPr="00F51E14">
        <w:rPr>
          <w:rFonts w:ascii="Times New Roman" w:hAnsi="Times New Roman" w:cs="Times New Roman"/>
          <w:sz w:val="20"/>
          <w:szCs w:val="20"/>
        </w:rPr>
        <w:t xml:space="preserve"> IGFBP7 mRNA expression and methylation status in gastric cancer. A, IGFBP7 mRNA expression and methylation status in GC data as analyzed in MEXPRESS. The samples are ordered according to IGFBP7 expression from the lowest (left) to the highest (right). The bottom of the figure shows the 450K probes related to the IGFBP7 gene. The probes in the promoter region of IGFBP7 are highlighted with a black line. * P&lt; 0.05. ** P &lt; 0.01, *** P&lt; 0.001. B. Promoter methylation level of IGFBP7 as assessed with UALCAN. C. The relationship between promoter methylation of IGFBP7 and overall survival as assessed with the Xena database.</w:t>
      </w:r>
      <w:r>
        <w:rPr>
          <w:rFonts w:ascii="Times New Roman" w:hAnsi="Times New Roman" w:cs="Times New Roman"/>
          <w:sz w:val="20"/>
          <w:szCs w:val="20"/>
        </w:rPr>
        <w:t xml:space="preserve"> </w:t>
      </w:r>
    </w:p>
    <w:p w:rsidR="00D8529D" w:rsidRPr="00D8529D" w:rsidRDefault="00D8529D" w:rsidP="00D8529D">
      <w:pPr>
        <w:ind w:firstLineChars="100" w:firstLine="200"/>
        <w:jc w:val="left"/>
        <w:rPr>
          <w:rFonts w:ascii="Times New Roman" w:eastAsia="宋体" w:hAnsi="Times New Roman" w:cs="Times New Roman" w:hint="eastAsia"/>
          <w:color w:val="000000"/>
          <w:kern w:val="0"/>
          <w:sz w:val="20"/>
          <w:szCs w:val="20"/>
        </w:rPr>
      </w:pPr>
      <w:r w:rsidRPr="00D8529D">
        <w:rPr>
          <w:rFonts w:ascii="Times New Roman" w:eastAsia="宋体" w:hAnsi="Times New Roman" w:cs="Times New Roman"/>
          <w:noProof/>
          <w:color w:val="000000"/>
          <w:kern w:val="0"/>
          <w:sz w:val="20"/>
          <w:szCs w:val="20"/>
        </w:rPr>
        <w:lastRenderedPageBreak/>
        <w:drawing>
          <wp:inline distT="0" distB="0" distL="0" distR="0">
            <wp:extent cx="4870938" cy="2833566"/>
            <wp:effectExtent l="0" t="0" r="6350" b="5080"/>
            <wp:docPr id="9" name="图片 9" descr="E:\论文\IGFBP7 最新\IGFBP7 投稿\Figures\Figure S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论文\IGFBP7 最新\IGFBP7 投稿\Figures\Figure S2.tif"/>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895664" cy="2847950"/>
                    </a:xfrm>
                    <a:prstGeom prst="rect">
                      <a:avLst/>
                    </a:prstGeom>
                    <a:noFill/>
                    <a:ln>
                      <a:noFill/>
                    </a:ln>
                  </pic:spPr>
                </pic:pic>
              </a:graphicData>
            </a:graphic>
          </wp:inline>
        </w:drawing>
      </w:r>
    </w:p>
    <w:p w:rsidR="00D8529D" w:rsidRDefault="00D8529D" w:rsidP="00D8529D">
      <w:pPr>
        <w:spacing w:line="480" w:lineRule="auto"/>
        <w:rPr>
          <w:rFonts w:ascii="Times New Roman" w:hAnsi="Times New Roman" w:cs="Times New Roman"/>
          <w:sz w:val="20"/>
          <w:szCs w:val="20"/>
        </w:rPr>
      </w:pPr>
      <w:r w:rsidRPr="00F51E14">
        <w:rPr>
          <w:rFonts w:ascii="Times New Roman" w:hAnsi="Times New Roman" w:cs="Times New Roman"/>
          <w:b/>
          <w:sz w:val="20"/>
          <w:szCs w:val="20"/>
        </w:rPr>
        <w:t>Figure S2</w:t>
      </w:r>
      <w:r>
        <w:rPr>
          <w:rFonts w:ascii="Times New Roman" w:hAnsi="Times New Roman" w:cs="Times New Roman"/>
          <w:b/>
          <w:sz w:val="20"/>
          <w:szCs w:val="20"/>
        </w:rPr>
        <w:t xml:space="preserve">. </w:t>
      </w:r>
      <w:r w:rsidRPr="00AD3C09">
        <w:rPr>
          <w:rFonts w:ascii="Times New Roman" w:hAnsi="Times New Roman" w:cs="Times New Roman"/>
          <w:sz w:val="20"/>
          <w:szCs w:val="20"/>
        </w:rPr>
        <w:t>Gene ontology and pathway enrichment analys</w:t>
      </w:r>
      <w:r>
        <w:rPr>
          <w:rFonts w:ascii="Times New Roman" w:hAnsi="Times New Roman" w:cs="Times New Roman"/>
          <w:sz w:val="20"/>
          <w:szCs w:val="20"/>
        </w:rPr>
        <w:t>e</w:t>
      </w:r>
      <w:r w:rsidRPr="00AD3C09">
        <w:rPr>
          <w:rFonts w:ascii="Times New Roman" w:hAnsi="Times New Roman" w:cs="Times New Roman"/>
          <w:sz w:val="20"/>
          <w:szCs w:val="20"/>
        </w:rPr>
        <w:t>s of</w:t>
      </w:r>
      <w:r>
        <w:rPr>
          <w:rFonts w:ascii="Times New Roman" w:hAnsi="Times New Roman" w:cs="Times New Roman"/>
          <w:sz w:val="20"/>
          <w:szCs w:val="20"/>
        </w:rPr>
        <w:t xml:space="preserve"> the</w:t>
      </w:r>
      <w:r w:rsidRPr="00AD3C09">
        <w:rPr>
          <w:rFonts w:ascii="Times New Roman" w:hAnsi="Times New Roman" w:cs="Times New Roman"/>
          <w:sz w:val="20"/>
          <w:szCs w:val="20"/>
        </w:rPr>
        <w:t xml:space="preserve"> top 200 coexpressed genes of IGFBP7. Briefly, </w:t>
      </w:r>
      <w:r>
        <w:rPr>
          <w:rFonts w:ascii="Times New Roman" w:hAnsi="Times New Roman" w:cs="Times New Roman"/>
          <w:sz w:val="20"/>
          <w:szCs w:val="20"/>
        </w:rPr>
        <w:t xml:space="preserve">the </w:t>
      </w:r>
      <w:r w:rsidRPr="00AD3C09">
        <w:rPr>
          <w:rFonts w:ascii="Times New Roman" w:hAnsi="Times New Roman" w:cs="Times New Roman"/>
          <w:sz w:val="20"/>
          <w:szCs w:val="20"/>
        </w:rPr>
        <w:t xml:space="preserve">top 200 </w:t>
      </w:r>
      <w:r w:rsidRPr="00FB2EE1">
        <w:rPr>
          <w:rFonts w:ascii="Times New Roman" w:hAnsi="Times New Roman" w:cs="Times New Roman"/>
          <w:sz w:val="20"/>
          <w:szCs w:val="20"/>
          <w:u w:color="FA5050"/>
        </w:rPr>
        <w:t>coexpressed</w:t>
      </w:r>
      <w:r w:rsidRPr="00AD3C09">
        <w:rPr>
          <w:rFonts w:ascii="Times New Roman" w:hAnsi="Times New Roman" w:cs="Times New Roman"/>
          <w:sz w:val="20"/>
          <w:szCs w:val="20"/>
        </w:rPr>
        <w:t xml:space="preserve"> genes according to the adjust</w:t>
      </w:r>
      <w:r>
        <w:rPr>
          <w:rFonts w:ascii="Times New Roman" w:hAnsi="Times New Roman" w:cs="Times New Roman"/>
          <w:sz w:val="20"/>
          <w:szCs w:val="20"/>
        </w:rPr>
        <w:t>ed</w:t>
      </w:r>
      <w:r w:rsidRPr="00AD3C09">
        <w:rPr>
          <w:rFonts w:ascii="Times New Roman" w:hAnsi="Times New Roman" w:cs="Times New Roman"/>
          <w:sz w:val="20"/>
          <w:szCs w:val="20"/>
        </w:rPr>
        <w:t xml:space="preserve"> </w:t>
      </w:r>
      <w:r w:rsidRPr="00FB2EE1">
        <w:rPr>
          <w:rFonts w:ascii="Times New Roman" w:hAnsi="Times New Roman" w:cs="Times New Roman"/>
          <w:sz w:val="20"/>
          <w:szCs w:val="20"/>
          <w:u w:color="FA5050"/>
        </w:rPr>
        <w:t>p</w:t>
      </w:r>
      <w:r w:rsidRPr="00AD3C09">
        <w:rPr>
          <w:rFonts w:ascii="Times New Roman" w:hAnsi="Times New Roman" w:cs="Times New Roman"/>
          <w:sz w:val="20"/>
          <w:szCs w:val="20"/>
        </w:rPr>
        <w:t xml:space="preserve"> value in </w:t>
      </w:r>
      <w:r w:rsidRPr="00FB2EE1">
        <w:rPr>
          <w:rFonts w:ascii="Times New Roman" w:hAnsi="Times New Roman" w:cs="Times New Roman"/>
          <w:sz w:val="20"/>
          <w:szCs w:val="20"/>
          <w:u w:color="FA5050"/>
        </w:rPr>
        <w:t>c</w:t>
      </w:r>
      <w:r>
        <w:rPr>
          <w:rFonts w:ascii="Times New Roman" w:hAnsi="Times New Roman" w:cs="Times New Roman"/>
          <w:sz w:val="20"/>
          <w:szCs w:val="20"/>
          <w:u w:color="FA5050"/>
        </w:rPr>
        <w:t>B</w:t>
      </w:r>
      <w:r w:rsidRPr="00FB2EE1">
        <w:rPr>
          <w:rFonts w:ascii="Times New Roman" w:hAnsi="Times New Roman" w:cs="Times New Roman"/>
          <w:sz w:val="20"/>
          <w:szCs w:val="20"/>
          <w:u w:color="FA5050"/>
        </w:rPr>
        <w:t>io</w:t>
      </w:r>
      <w:r>
        <w:rPr>
          <w:rFonts w:ascii="Times New Roman" w:hAnsi="Times New Roman" w:cs="Times New Roman"/>
          <w:sz w:val="20"/>
          <w:szCs w:val="20"/>
          <w:u w:color="FA5050"/>
        </w:rPr>
        <w:t>P</w:t>
      </w:r>
      <w:r w:rsidRPr="00FB2EE1">
        <w:rPr>
          <w:rFonts w:ascii="Times New Roman" w:hAnsi="Times New Roman" w:cs="Times New Roman"/>
          <w:sz w:val="20"/>
          <w:szCs w:val="20"/>
          <w:u w:color="FA5050"/>
        </w:rPr>
        <w:t>ortal</w:t>
      </w:r>
      <w:r w:rsidRPr="00AD3C09">
        <w:rPr>
          <w:rFonts w:ascii="Times New Roman" w:hAnsi="Times New Roman" w:cs="Times New Roman"/>
          <w:sz w:val="20"/>
          <w:szCs w:val="20"/>
        </w:rPr>
        <w:t xml:space="preserve"> database </w:t>
      </w:r>
      <w:r>
        <w:rPr>
          <w:rFonts w:ascii="Times New Roman" w:hAnsi="Times New Roman" w:cs="Times New Roman"/>
          <w:sz w:val="20"/>
          <w:szCs w:val="20"/>
        </w:rPr>
        <w:t xml:space="preserve">analysis </w:t>
      </w:r>
      <w:r w:rsidRPr="00AD3C09">
        <w:rPr>
          <w:rFonts w:ascii="Times New Roman" w:hAnsi="Times New Roman" w:cs="Times New Roman"/>
          <w:sz w:val="20"/>
          <w:szCs w:val="20"/>
        </w:rPr>
        <w:t xml:space="preserve">were </w:t>
      </w:r>
      <w:r w:rsidRPr="00FB2EE1">
        <w:rPr>
          <w:rFonts w:ascii="Times New Roman" w:hAnsi="Times New Roman" w:cs="Times New Roman"/>
          <w:sz w:val="20"/>
          <w:szCs w:val="20"/>
          <w:u w:color="FA5050"/>
        </w:rPr>
        <w:t xml:space="preserve">used, </w:t>
      </w:r>
      <w:r>
        <w:rPr>
          <w:rFonts w:ascii="Times New Roman" w:hAnsi="Times New Roman" w:cs="Times New Roman"/>
          <w:sz w:val="20"/>
          <w:szCs w:val="20"/>
          <w:u w:color="FA5050"/>
        </w:rPr>
        <w:t xml:space="preserve">and </w:t>
      </w:r>
      <w:r w:rsidRPr="00FB2EE1">
        <w:rPr>
          <w:rFonts w:ascii="Times New Roman" w:hAnsi="Times New Roman" w:cs="Times New Roman"/>
          <w:sz w:val="20"/>
          <w:szCs w:val="20"/>
          <w:u w:color="FA5050"/>
        </w:rPr>
        <w:t>enrichment</w:t>
      </w:r>
      <w:r w:rsidRPr="00AD3C09">
        <w:rPr>
          <w:rFonts w:ascii="Times New Roman" w:hAnsi="Times New Roman" w:cs="Times New Roman"/>
          <w:sz w:val="20"/>
          <w:szCs w:val="20"/>
        </w:rPr>
        <w:t xml:space="preserve"> analysis </w:t>
      </w:r>
      <w:r w:rsidRPr="00FB2EE1">
        <w:rPr>
          <w:rFonts w:ascii="Times New Roman" w:hAnsi="Times New Roman" w:cs="Times New Roman"/>
          <w:sz w:val="20"/>
          <w:szCs w:val="20"/>
          <w:u w:color="FA5050"/>
        </w:rPr>
        <w:t>w</w:t>
      </w:r>
      <w:r>
        <w:rPr>
          <w:rFonts w:ascii="Times New Roman" w:hAnsi="Times New Roman" w:cs="Times New Roman"/>
          <w:sz w:val="20"/>
          <w:szCs w:val="20"/>
          <w:u w:color="FA5050"/>
        </w:rPr>
        <w:t>as</w:t>
      </w:r>
      <w:r w:rsidRPr="00AD3C09">
        <w:rPr>
          <w:rFonts w:ascii="Times New Roman" w:hAnsi="Times New Roman" w:cs="Times New Roman"/>
          <w:sz w:val="20"/>
          <w:szCs w:val="20"/>
        </w:rPr>
        <w:t xml:space="preserve"> performed using </w:t>
      </w:r>
      <w:r w:rsidRPr="00FB2EE1">
        <w:rPr>
          <w:rFonts w:ascii="Times New Roman" w:hAnsi="Times New Roman" w:cs="Times New Roman"/>
          <w:sz w:val="20"/>
          <w:szCs w:val="20"/>
          <w:u w:color="FA5050"/>
        </w:rPr>
        <w:t>cluster</w:t>
      </w:r>
      <w:r>
        <w:rPr>
          <w:rFonts w:ascii="Times New Roman" w:hAnsi="Times New Roman" w:cs="Times New Roman"/>
          <w:sz w:val="20"/>
          <w:szCs w:val="20"/>
          <w:u w:color="FA5050"/>
        </w:rPr>
        <w:t>P</w:t>
      </w:r>
      <w:r w:rsidRPr="00FB2EE1">
        <w:rPr>
          <w:rFonts w:ascii="Times New Roman" w:hAnsi="Times New Roman" w:cs="Times New Roman"/>
          <w:sz w:val="20"/>
          <w:szCs w:val="20"/>
          <w:u w:color="FA5050"/>
        </w:rPr>
        <w:t>rofiler</w:t>
      </w:r>
      <w:r w:rsidRPr="00AD3C09">
        <w:rPr>
          <w:rFonts w:ascii="Times New Roman" w:hAnsi="Times New Roman" w:cs="Times New Roman"/>
          <w:sz w:val="20"/>
          <w:szCs w:val="20"/>
        </w:rPr>
        <w:t xml:space="preserve"> package in R. A-C, Gene ontology (GO) analysis for BP</w:t>
      </w:r>
      <w:r>
        <w:rPr>
          <w:rFonts w:ascii="Times New Roman" w:hAnsi="Times New Roman" w:cs="Times New Roman"/>
          <w:sz w:val="20"/>
          <w:szCs w:val="20"/>
        </w:rPr>
        <w:t xml:space="preserve"> </w:t>
      </w:r>
      <w:r w:rsidRPr="00AD3C09">
        <w:rPr>
          <w:rFonts w:ascii="Times New Roman" w:hAnsi="Times New Roman" w:cs="Times New Roman"/>
          <w:sz w:val="20"/>
          <w:szCs w:val="20"/>
        </w:rPr>
        <w:t>(A), CC</w:t>
      </w:r>
      <w:r>
        <w:rPr>
          <w:rFonts w:ascii="Times New Roman" w:hAnsi="Times New Roman" w:cs="Times New Roman"/>
          <w:sz w:val="20"/>
          <w:szCs w:val="20"/>
        </w:rPr>
        <w:t xml:space="preserve"> </w:t>
      </w:r>
      <w:r w:rsidRPr="00AD3C09">
        <w:rPr>
          <w:rFonts w:ascii="Times New Roman" w:hAnsi="Times New Roman" w:cs="Times New Roman"/>
          <w:sz w:val="20"/>
          <w:szCs w:val="20"/>
        </w:rPr>
        <w:t>(B) and MF</w:t>
      </w:r>
      <w:r>
        <w:rPr>
          <w:rFonts w:ascii="Times New Roman" w:hAnsi="Times New Roman" w:cs="Times New Roman"/>
          <w:sz w:val="20"/>
          <w:szCs w:val="20"/>
        </w:rPr>
        <w:t xml:space="preserve"> </w:t>
      </w:r>
      <w:r w:rsidRPr="00AD3C09">
        <w:rPr>
          <w:rFonts w:ascii="Times New Roman" w:hAnsi="Times New Roman" w:cs="Times New Roman"/>
          <w:sz w:val="20"/>
          <w:szCs w:val="20"/>
        </w:rPr>
        <w:t xml:space="preserve">(C). BP, biological processes, CC, cellular component, MF, molecular function. D. KEGG pathways analysis of top 200 </w:t>
      </w:r>
      <w:r w:rsidRPr="00FB2EE1">
        <w:rPr>
          <w:rFonts w:ascii="Times New Roman" w:hAnsi="Times New Roman" w:cs="Times New Roman"/>
          <w:sz w:val="20"/>
          <w:szCs w:val="20"/>
          <w:u w:color="FA5050"/>
        </w:rPr>
        <w:t>coexpressed</w:t>
      </w:r>
      <w:r w:rsidRPr="00AD3C09">
        <w:rPr>
          <w:rFonts w:ascii="Times New Roman" w:hAnsi="Times New Roman" w:cs="Times New Roman"/>
          <w:sz w:val="20"/>
          <w:szCs w:val="20"/>
        </w:rPr>
        <w:t xml:space="preserve"> genes.</w:t>
      </w:r>
    </w:p>
    <w:p w:rsidR="00D8529D" w:rsidRPr="00D8529D" w:rsidRDefault="00D8529D" w:rsidP="00D8529D">
      <w:pPr>
        <w:ind w:firstLineChars="100" w:firstLine="200"/>
        <w:rPr>
          <w:rFonts w:ascii="Times New Roman" w:hAnsi="Times New Roman" w:cs="Times New Roman"/>
          <w:sz w:val="20"/>
          <w:szCs w:val="20"/>
        </w:rPr>
      </w:pPr>
    </w:p>
    <w:sectPr w:rsidR="00D8529D" w:rsidRPr="00D8529D" w:rsidSect="00D8529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61457" w:rsidRDefault="00761457" w:rsidP="00F15219">
      <w:r>
        <w:separator/>
      </w:r>
    </w:p>
  </w:endnote>
  <w:endnote w:type="continuationSeparator" w:id="0">
    <w:p w:rsidR="00761457" w:rsidRDefault="00761457" w:rsidP="00F152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61457" w:rsidRDefault="00761457" w:rsidP="00F15219">
      <w:r>
        <w:separator/>
      </w:r>
    </w:p>
  </w:footnote>
  <w:footnote w:type="continuationSeparator" w:id="0">
    <w:p w:rsidR="00761457" w:rsidRDefault="00761457" w:rsidP="00F1521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1FF5"/>
    <w:rsid w:val="00000B1D"/>
    <w:rsid w:val="000464B7"/>
    <w:rsid w:val="00055B18"/>
    <w:rsid w:val="00057C78"/>
    <w:rsid w:val="00080D3E"/>
    <w:rsid w:val="000B1B5E"/>
    <w:rsid w:val="000D06F6"/>
    <w:rsid w:val="000E1742"/>
    <w:rsid w:val="00100CDA"/>
    <w:rsid w:val="00114E2B"/>
    <w:rsid w:val="00116260"/>
    <w:rsid w:val="00120C32"/>
    <w:rsid w:val="00140990"/>
    <w:rsid w:val="00144306"/>
    <w:rsid w:val="00151107"/>
    <w:rsid w:val="00164C76"/>
    <w:rsid w:val="00171219"/>
    <w:rsid w:val="00172544"/>
    <w:rsid w:val="00177715"/>
    <w:rsid w:val="001C6A7C"/>
    <w:rsid w:val="001D1BBF"/>
    <w:rsid w:val="00211FF5"/>
    <w:rsid w:val="00212A5C"/>
    <w:rsid w:val="00213FD2"/>
    <w:rsid w:val="00250DC6"/>
    <w:rsid w:val="00253B93"/>
    <w:rsid w:val="00256407"/>
    <w:rsid w:val="00272762"/>
    <w:rsid w:val="0028220D"/>
    <w:rsid w:val="00287503"/>
    <w:rsid w:val="002966E7"/>
    <w:rsid w:val="002A19A7"/>
    <w:rsid w:val="002C3E59"/>
    <w:rsid w:val="002F5BA5"/>
    <w:rsid w:val="0032197B"/>
    <w:rsid w:val="0033431D"/>
    <w:rsid w:val="003566AB"/>
    <w:rsid w:val="00360273"/>
    <w:rsid w:val="003630E6"/>
    <w:rsid w:val="00366D85"/>
    <w:rsid w:val="0038689C"/>
    <w:rsid w:val="00387A26"/>
    <w:rsid w:val="003961B4"/>
    <w:rsid w:val="003E4803"/>
    <w:rsid w:val="004045F8"/>
    <w:rsid w:val="0042266B"/>
    <w:rsid w:val="004400F3"/>
    <w:rsid w:val="00440C6D"/>
    <w:rsid w:val="00441B34"/>
    <w:rsid w:val="00443944"/>
    <w:rsid w:val="00454E87"/>
    <w:rsid w:val="00465B8C"/>
    <w:rsid w:val="0046614E"/>
    <w:rsid w:val="00484A0B"/>
    <w:rsid w:val="004A5CA0"/>
    <w:rsid w:val="004B739D"/>
    <w:rsid w:val="004D1373"/>
    <w:rsid w:val="004D43A7"/>
    <w:rsid w:val="004F073A"/>
    <w:rsid w:val="004F5DF3"/>
    <w:rsid w:val="005121E0"/>
    <w:rsid w:val="00526145"/>
    <w:rsid w:val="005C2505"/>
    <w:rsid w:val="005E2E5E"/>
    <w:rsid w:val="005E5CEB"/>
    <w:rsid w:val="006046D4"/>
    <w:rsid w:val="00641177"/>
    <w:rsid w:val="00653C37"/>
    <w:rsid w:val="00660F85"/>
    <w:rsid w:val="0067205C"/>
    <w:rsid w:val="00680DDF"/>
    <w:rsid w:val="006869E9"/>
    <w:rsid w:val="00692C73"/>
    <w:rsid w:val="006A5E20"/>
    <w:rsid w:val="006B3202"/>
    <w:rsid w:val="006C1388"/>
    <w:rsid w:val="006E6438"/>
    <w:rsid w:val="00703835"/>
    <w:rsid w:val="007368A7"/>
    <w:rsid w:val="00751D49"/>
    <w:rsid w:val="007562D7"/>
    <w:rsid w:val="00761457"/>
    <w:rsid w:val="0076398A"/>
    <w:rsid w:val="007670D4"/>
    <w:rsid w:val="007757B6"/>
    <w:rsid w:val="0079389E"/>
    <w:rsid w:val="007976AA"/>
    <w:rsid w:val="007B3EF8"/>
    <w:rsid w:val="007E1FDB"/>
    <w:rsid w:val="008462F1"/>
    <w:rsid w:val="00893CD9"/>
    <w:rsid w:val="008A0AA5"/>
    <w:rsid w:val="00955B3C"/>
    <w:rsid w:val="009764FA"/>
    <w:rsid w:val="0097652D"/>
    <w:rsid w:val="00977FD0"/>
    <w:rsid w:val="0098702B"/>
    <w:rsid w:val="00997603"/>
    <w:rsid w:val="009B4846"/>
    <w:rsid w:val="009D5F61"/>
    <w:rsid w:val="009E7A98"/>
    <w:rsid w:val="009F2B31"/>
    <w:rsid w:val="009F73C5"/>
    <w:rsid w:val="00A056FD"/>
    <w:rsid w:val="00A23988"/>
    <w:rsid w:val="00A328DE"/>
    <w:rsid w:val="00A82FAE"/>
    <w:rsid w:val="00A97AA4"/>
    <w:rsid w:val="00AB429B"/>
    <w:rsid w:val="00B24FCB"/>
    <w:rsid w:val="00B25AC6"/>
    <w:rsid w:val="00B26214"/>
    <w:rsid w:val="00B45948"/>
    <w:rsid w:val="00B463B5"/>
    <w:rsid w:val="00B473CF"/>
    <w:rsid w:val="00B53B5B"/>
    <w:rsid w:val="00B55436"/>
    <w:rsid w:val="00B60EC3"/>
    <w:rsid w:val="00B62FD4"/>
    <w:rsid w:val="00B642D4"/>
    <w:rsid w:val="00B908F4"/>
    <w:rsid w:val="00B91DA7"/>
    <w:rsid w:val="00BB11FE"/>
    <w:rsid w:val="00C175E3"/>
    <w:rsid w:val="00C264A2"/>
    <w:rsid w:val="00C51854"/>
    <w:rsid w:val="00C80839"/>
    <w:rsid w:val="00CA3CCD"/>
    <w:rsid w:val="00CB7758"/>
    <w:rsid w:val="00CC3A17"/>
    <w:rsid w:val="00CE0004"/>
    <w:rsid w:val="00CE1E31"/>
    <w:rsid w:val="00D01F5B"/>
    <w:rsid w:val="00D16D65"/>
    <w:rsid w:val="00D205D5"/>
    <w:rsid w:val="00D447F3"/>
    <w:rsid w:val="00D47C98"/>
    <w:rsid w:val="00D8529D"/>
    <w:rsid w:val="00D92BD7"/>
    <w:rsid w:val="00D9396A"/>
    <w:rsid w:val="00DA4362"/>
    <w:rsid w:val="00DD2D6D"/>
    <w:rsid w:val="00DD7BC9"/>
    <w:rsid w:val="00DE7BCF"/>
    <w:rsid w:val="00DF0879"/>
    <w:rsid w:val="00E24FF3"/>
    <w:rsid w:val="00E62395"/>
    <w:rsid w:val="00E62A68"/>
    <w:rsid w:val="00E64A6F"/>
    <w:rsid w:val="00E65364"/>
    <w:rsid w:val="00E657E2"/>
    <w:rsid w:val="00EE22D6"/>
    <w:rsid w:val="00F15219"/>
    <w:rsid w:val="00F17814"/>
    <w:rsid w:val="00F46BDA"/>
    <w:rsid w:val="00F527C3"/>
    <w:rsid w:val="00F53C62"/>
    <w:rsid w:val="00F62F7C"/>
    <w:rsid w:val="00F649D9"/>
    <w:rsid w:val="00F74F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6EC1C39-1529-4387-9889-7EE277C4F4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1521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15219"/>
    <w:rPr>
      <w:sz w:val="18"/>
      <w:szCs w:val="18"/>
    </w:rPr>
  </w:style>
  <w:style w:type="paragraph" w:styleId="a4">
    <w:name w:val="footer"/>
    <w:basedOn w:val="a"/>
    <w:link w:val="Char0"/>
    <w:uiPriority w:val="99"/>
    <w:unhideWhenUsed/>
    <w:rsid w:val="00F15219"/>
    <w:pPr>
      <w:tabs>
        <w:tab w:val="center" w:pos="4153"/>
        <w:tab w:val="right" w:pos="8306"/>
      </w:tabs>
      <w:snapToGrid w:val="0"/>
      <w:jc w:val="left"/>
    </w:pPr>
    <w:rPr>
      <w:sz w:val="18"/>
      <w:szCs w:val="18"/>
    </w:rPr>
  </w:style>
  <w:style w:type="character" w:customStyle="1" w:styleId="Char0">
    <w:name w:val="页脚 Char"/>
    <w:basedOn w:val="a0"/>
    <w:link w:val="a4"/>
    <w:uiPriority w:val="99"/>
    <w:rsid w:val="00F15219"/>
    <w:rPr>
      <w:sz w:val="18"/>
      <w:szCs w:val="18"/>
    </w:rPr>
  </w:style>
  <w:style w:type="table" w:styleId="a5">
    <w:name w:val="Table Grid"/>
    <w:basedOn w:val="a1"/>
    <w:uiPriority w:val="39"/>
    <w:rsid w:val="003961B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6">
    <w:name w:val="Hyperlink"/>
    <w:basedOn w:val="a0"/>
    <w:uiPriority w:val="99"/>
    <w:semiHidden/>
    <w:unhideWhenUsed/>
    <w:rsid w:val="00D16D65"/>
    <w:rPr>
      <w:color w:val="0000FF"/>
      <w:u w:val="single"/>
    </w:rPr>
  </w:style>
  <w:style w:type="character" w:styleId="a7">
    <w:name w:val="FollowedHyperlink"/>
    <w:basedOn w:val="a0"/>
    <w:uiPriority w:val="99"/>
    <w:semiHidden/>
    <w:unhideWhenUsed/>
    <w:rsid w:val="00893CD9"/>
    <w:rPr>
      <w:color w:val="954F72"/>
      <w:u w:val="single"/>
    </w:rPr>
  </w:style>
  <w:style w:type="paragraph" w:customStyle="1" w:styleId="font5">
    <w:name w:val="font5"/>
    <w:basedOn w:val="a"/>
    <w:rsid w:val="00893CD9"/>
    <w:pPr>
      <w:widowControl/>
      <w:spacing w:before="100" w:beforeAutospacing="1" w:after="100" w:afterAutospacing="1"/>
      <w:jc w:val="left"/>
    </w:pPr>
    <w:rPr>
      <w:rFonts w:ascii="宋体" w:eastAsia="宋体" w:hAnsi="宋体" w:cs="宋体"/>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4108994">
      <w:bodyDiv w:val="1"/>
      <w:marLeft w:val="0"/>
      <w:marRight w:val="0"/>
      <w:marTop w:val="0"/>
      <w:marBottom w:val="0"/>
      <w:divBdr>
        <w:top w:val="none" w:sz="0" w:space="0" w:color="auto"/>
        <w:left w:val="none" w:sz="0" w:space="0" w:color="auto"/>
        <w:bottom w:val="none" w:sz="0" w:space="0" w:color="auto"/>
        <w:right w:val="none" w:sz="0" w:space="0" w:color="auto"/>
      </w:divBdr>
    </w:div>
    <w:div w:id="256135448">
      <w:bodyDiv w:val="1"/>
      <w:marLeft w:val="0"/>
      <w:marRight w:val="0"/>
      <w:marTop w:val="0"/>
      <w:marBottom w:val="0"/>
      <w:divBdr>
        <w:top w:val="none" w:sz="0" w:space="0" w:color="auto"/>
        <w:left w:val="none" w:sz="0" w:space="0" w:color="auto"/>
        <w:bottom w:val="none" w:sz="0" w:space="0" w:color="auto"/>
        <w:right w:val="none" w:sz="0" w:space="0" w:color="auto"/>
      </w:divBdr>
    </w:div>
    <w:div w:id="430589938">
      <w:bodyDiv w:val="1"/>
      <w:marLeft w:val="0"/>
      <w:marRight w:val="0"/>
      <w:marTop w:val="0"/>
      <w:marBottom w:val="0"/>
      <w:divBdr>
        <w:top w:val="none" w:sz="0" w:space="0" w:color="auto"/>
        <w:left w:val="none" w:sz="0" w:space="0" w:color="auto"/>
        <w:bottom w:val="none" w:sz="0" w:space="0" w:color="auto"/>
        <w:right w:val="none" w:sz="0" w:space="0" w:color="auto"/>
      </w:divBdr>
    </w:div>
    <w:div w:id="1038120576">
      <w:bodyDiv w:val="1"/>
      <w:marLeft w:val="0"/>
      <w:marRight w:val="0"/>
      <w:marTop w:val="0"/>
      <w:marBottom w:val="0"/>
      <w:divBdr>
        <w:top w:val="none" w:sz="0" w:space="0" w:color="auto"/>
        <w:left w:val="none" w:sz="0" w:space="0" w:color="auto"/>
        <w:bottom w:val="none" w:sz="0" w:space="0" w:color="auto"/>
        <w:right w:val="none" w:sz="0" w:space="0" w:color="auto"/>
      </w:divBdr>
    </w:div>
    <w:div w:id="1130709563">
      <w:bodyDiv w:val="1"/>
      <w:marLeft w:val="0"/>
      <w:marRight w:val="0"/>
      <w:marTop w:val="0"/>
      <w:marBottom w:val="0"/>
      <w:divBdr>
        <w:top w:val="none" w:sz="0" w:space="0" w:color="auto"/>
        <w:left w:val="none" w:sz="0" w:space="0" w:color="auto"/>
        <w:bottom w:val="none" w:sz="0" w:space="0" w:color="auto"/>
        <w:right w:val="none" w:sz="0" w:space="0" w:color="auto"/>
      </w:divBdr>
    </w:div>
    <w:div w:id="1147934747">
      <w:bodyDiv w:val="1"/>
      <w:marLeft w:val="0"/>
      <w:marRight w:val="0"/>
      <w:marTop w:val="0"/>
      <w:marBottom w:val="0"/>
      <w:divBdr>
        <w:top w:val="none" w:sz="0" w:space="0" w:color="auto"/>
        <w:left w:val="none" w:sz="0" w:space="0" w:color="auto"/>
        <w:bottom w:val="none" w:sz="0" w:space="0" w:color="auto"/>
        <w:right w:val="none" w:sz="0" w:space="0" w:color="auto"/>
      </w:divBdr>
    </w:div>
    <w:div w:id="1394233755">
      <w:bodyDiv w:val="1"/>
      <w:marLeft w:val="0"/>
      <w:marRight w:val="0"/>
      <w:marTop w:val="0"/>
      <w:marBottom w:val="0"/>
      <w:divBdr>
        <w:top w:val="none" w:sz="0" w:space="0" w:color="auto"/>
        <w:left w:val="none" w:sz="0" w:space="0" w:color="auto"/>
        <w:bottom w:val="none" w:sz="0" w:space="0" w:color="auto"/>
        <w:right w:val="none" w:sz="0" w:space="0" w:color="auto"/>
      </w:divBdr>
    </w:div>
    <w:div w:id="1473595470">
      <w:bodyDiv w:val="1"/>
      <w:marLeft w:val="0"/>
      <w:marRight w:val="0"/>
      <w:marTop w:val="0"/>
      <w:marBottom w:val="0"/>
      <w:divBdr>
        <w:top w:val="none" w:sz="0" w:space="0" w:color="auto"/>
        <w:left w:val="none" w:sz="0" w:space="0" w:color="auto"/>
        <w:bottom w:val="none" w:sz="0" w:space="0" w:color="auto"/>
        <w:right w:val="none" w:sz="0" w:space="0" w:color="auto"/>
      </w:divBdr>
    </w:div>
    <w:div w:id="21343219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3" Type="http://schemas.openxmlformats.org/officeDocument/2006/relationships/settings" Target="settings.xml"/><Relationship Id="rId7" Type="http://schemas.openxmlformats.org/officeDocument/2006/relationships/image" Target="media/image1.tiff"/><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D201773-976F-4EF1-8A39-D67F68B359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2159</TotalTime>
  <Pages>4</Pages>
  <Words>693</Words>
  <Characters>3955</Characters>
  <Application>Microsoft Office Word</Application>
  <DocSecurity>0</DocSecurity>
  <Lines>32</Lines>
  <Paragraphs>9</Paragraphs>
  <ScaleCrop>false</ScaleCrop>
  <Company/>
  <LinksUpToDate>false</LinksUpToDate>
  <CharactersWithSpaces>4639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zhao qiaoyun</dc:creator>
  <cp:keywords/>
  <dc:description/>
  <cp:lastModifiedBy>zhao qiaoyun</cp:lastModifiedBy>
  <cp:revision>164</cp:revision>
  <dcterms:created xsi:type="dcterms:W3CDTF">2020-04-12T05:38:00Z</dcterms:created>
  <dcterms:modified xsi:type="dcterms:W3CDTF">2020-06-04T05:34:00Z</dcterms:modified>
</cp:coreProperties>
</file>