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25B14" w14:textId="77777777" w:rsidR="003A0DB0" w:rsidRDefault="003A0DB0" w:rsidP="003A0DB0">
      <w:pPr>
        <w:spacing w:after="0" w:line="480" w:lineRule="auto"/>
        <w:jc w:val="both"/>
        <w:rPr>
          <w:rFonts w:ascii="Arial" w:eastAsia="Arial" w:hAnsi="Arial" w:cs="Arial"/>
          <w:b/>
        </w:rPr>
      </w:pPr>
      <w:r w:rsidRPr="00FA33DA">
        <w:rPr>
          <w:rFonts w:ascii="Arial" w:eastAsia="Arial" w:hAnsi="Arial" w:cs="Arial"/>
          <w:b/>
        </w:rPr>
        <w:t>Tables</w:t>
      </w:r>
      <w:r w:rsidRPr="00C60491">
        <w:rPr>
          <w:rFonts w:ascii="Arial" w:eastAsia="Arial" w:hAnsi="Arial" w:cs="Arial"/>
          <w:b/>
        </w:rPr>
        <w:t xml:space="preserve"> </w:t>
      </w:r>
    </w:p>
    <w:p w14:paraId="23ECB4B5" w14:textId="77777777" w:rsidR="003A0DB0" w:rsidRPr="00C60491" w:rsidRDefault="003A0DB0" w:rsidP="003A0DB0">
      <w:pPr>
        <w:spacing w:after="0" w:line="480" w:lineRule="auto"/>
        <w:ind w:left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drawing>
          <wp:inline distT="0" distB="0" distL="0" distR="0" wp14:anchorId="2E0F042B" wp14:editId="111FB533">
            <wp:extent cx="4251960" cy="501091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 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501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3E33" w14:textId="77777777" w:rsidR="003A0DB0" w:rsidRPr="00C60491" w:rsidRDefault="003A0DB0" w:rsidP="003A0DB0">
      <w:pPr>
        <w:spacing w:after="0" w:line="480" w:lineRule="auto"/>
        <w:jc w:val="both"/>
        <w:rPr>
          <w:rFonts w:ascii="Arial" w:eastAsia="Arial" w:hAnsi="Arial" w:cs="Arial"/>
          <w:b/>
        </w:rPr>
      </w:pPr>
      <w:r w:rsidRPr="00FA33DA">
        <w:rPr>
          <w:rFonts w:ascii="Arial" w:eastAsia="Arial" w:hAnsi="Arial" w:cs="Arial"/>
          <w:b/>
        </w:rPr>
        <w:t>Table1</w:t>
      </w:r>
      <w:r w:rsidRPr="00C60491">
        <w:rPr>
          <w:rFonts w:ascii="Arial" w:eastAsia="Arial" w:hAnsi="Arial" w:cs="Arial"/>
          <w:b/>
        </w:rPr>
        <w:t xml:space="preserve">: Demographic characterization of human brain </w:t>
      </w:r>
      <w:r>
        <w:rPr>
          <w:rFonts w:ascii="Arial" w:eastAsia="Arial" w:hAnsi="Arial" w:cs="Arial"/>
          <w:b/>
        </w:rPr>
        <w:t xml:space="preserve">and plasma </w:t>
      </w:r>
      <w:r w:rsidRPr="00C60491">
        <w:rPr>
          <w:rFonts w:ascii="Arial" w:eastAsia="Arial" w:hAnsi="Arial" w:cs="Arial"/>
          <w:b/>
        </w:rPr>
        <w:t>samples</w:t>
      </w:r>
    </w:p>
    <w:p w14:paraId="24A80395" w14:textId="77777777" w:rsidR="003A0DB0" w:rsidRDefault="003A0DB0" w:rsidP="003A0DB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</w:rPr>
      </w:pPr>
      <w:r w:rsidRPr="00C60491">
        <w:rPr>
          <w:rFonts w:ascii="Arial" w:eastAsia="Arial" w:hAnsi="Arial" w:cs="Arial"/>
        </w:rPr>
        <w:t xml:space="preserve">The </w:t>
      </w:r>
      <w:r w:rsidRPr="00FA33DA">
        <w:rPr>
          <w:rFonts w:ascii="Arial" w:eastAsia="Arial" w:hAnsi="Arial" w:cs="Arial"/>
        </w:rPr>
        <w:t>table</w:t>
      </w:r>
      <w:r w:rsidRPr="00C60491">
        <w:rPr>
          <w:rFonts w:ascii="Arial" w:eastAsia="Arial" w:hAnsi="Arial" w:cs="Arial"/>
        </w:rPr>
        <w:t xml:space="preserve"> summarises the </w:t>
      </w:r>
      <w:r>
        <w:rPr>
          <w:rFonts w:ascii="Arial" w:eastAsia="Arial" w:hAnsi="Arial" w:cs="Arial"/>
        </w:rPr>
        <w:t xml:space="preserve">average </w:t>
      </w:r>
      <w:r w:rsidRPr="00C60491">
        <w:rPr>
          <w:rFonts w:ascii="Arial" w:eastAsia="Arial" w:hAnsi="Arial" w:cs="Arial"/>
        </w:rPr>
        <w:t>number, sex and age of the brain samples’ donors employed in this study</w:t>
      </w:r>
      <w:r>
        <w:rPr>
          <w:rFonts w:ascii="Arial" w:eastAsia="Arial" w:hAnsi="Arial" w:cs="Arial"/>
        </w:rPr>
        <w:t xml:space="preserve">. The table also reports the </w:t>
      </w:r>
      <w:r w:rsidRPr="00C60491">
        <w:rPr>
          <w:rFonts w:ascii="Arial" w:eastAsia="Arial" w:hAnsi="Arial" w:cs="Arial"/>
        </w:rPr>
        <w:t>MoCA score of all the donors of plasma samples used in this study</w:t>
      </w:r>
      <w:r>
        <w:rPr>
          <w:rFonts w:ascii="Arial" w:eastAsia="Arial" w:hAnsi="Arial" w:cs="Arial"/>
        </w:rPr>
        <w:t xml:space="preserve"> as well as</w:t>
      </w:r>
      <w:r w:rsidRPr="00C60491">
        <w:rPr>
          <w:rFonts w:ascii="Arial" w:eastAsia="Arial" w:hAnsi="Arial" w:cs="Arial"/>
        </w:rPr>
        <w:t xml:space="preserve"> the mean age at disease onset and the mean disease duration for patients affected by PD.</w:t>
      </w:r>
      <w:r>
        <w:rPr>
          <w:rFonts w:ascii="Arial" w:eastAsia="Arial" w:hAnsi="Arial" w:cs="Arial"/>
        </w:rPr>
        <w:t xml:space="preserve"> Data</w:t>
      </w:r>
      <w:r w:rsidRPr="00B82D73">
        <w:rPr>
          <w:rFonts w:ascii="Arial" w:eastAsia="Arial" w:hAnsi="Arial" w:cs="Arial"/>
        </w:rPr>
        <w:t xml:space="preserve"> were compared by a no</w:t>
      </w:r>
      <w:r>
        <w:rPr>
          <w:rFonts w:ascii="Arial" w:eastAsia="Arial" w:hAnsi="Arial" w:cs="Arial"/>
        </w:rPr>
        <w:t xml:space="preserve">nparametric Kruskal-Wallis test followed by </w:t>
      </w:r>
      <w:r w:rsidRPr="00B82D73">
        <w:rPr>
          <w:rFonts w:ascii="Arial" w:eastAsia="Arial" w:hAnsi="Arial" w:cs="Arial"/>
        </w:rPr>
        <w:t>Mann-Whitney post hoc test</w:t>
      </w:r>
      <w:r>
        <w:rPr>
          <w:rFonts w:ascii="Arial" w:eastAsia="Arial" w:hAnsi="Arial" w:cs="Arial"/>
        </w:rPr>
        <w:t>.</w:t>
      </w:r>
    </w:p>
    <w:p w14:paraId="5C9E2D37" w14:textId="77777777" w:rsidR="003A0DB0" w:rsidRPr="00C60491" w:rsidRDefault="003A0DB0" w:rsidP="003A0DB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lastRenderedPageBreak/>
        <w:drawing>
          <wp:inline distT="0" distB="0" distL="0" distR="0" wp14:anchorId="08771543" wp14:editId="5B775380">
            <wp:extent cx="6120130" cy="7959090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78C3" w14:textId="77777777" w:rsidR="003A0DB0" w:rsidRPr="00C60491" w:rsidRDefault="003A0DB0" w:rsidP="003A0DB0">
      <w:pPr>
        <w:spacing w:after="0" w:line="480" w:lineRule="auto"/>
        <w:jc w:val="both"/>
        <w:rPr>
          <w:rFonts w:ascii="Arial" w:eastAsia="Arial" w:hAnsi="Arial" w:cs="Arial"/>
          <w:b/>
        </w:rPr>
      </w:pPr>
      <w:r w:rsidRPr="00FA33DA">
        <w:rPr>
          <w:rFonts w:ascii="Arial" w:eastAsia="Arial" w:hAnsi="Arial" w:cs="Arial"/>
          <w:b/>
        </w:rPr>
        <w:lastRenderedPageBreak/>
        <w:t>Table</w:t>
      </w:r>
      <w:r w:rsidRPr="00C60491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2</w:t>
      </w:r>
      <w:r w:rsidRPr="00C60491">
        <w:rPr>
          <w:rFonts w:ascii="Arial" w:eastAsia="Arial" w:hAnsi="Arial" w:cs="Arial"/>
          <w:b/>
        </w:rPr>
        <w:t xml:space="preserve">: Correlation </w:t>
      </w:r>
      <w:r>
        <w:rPr>
          <w:rFonts w:ascii="Arial" w:eastAsia="Arial" w:hAnsi="Arial" w:cs="Arial"/>
          <w:b/>
        </w:rPr>
        <w:t xml:space="preserve">coefficient </w:t>
      </w:r>
      <w:r w:rsidRPr="00C60491">
        <w:rPr>
          <w:rFonts w:ascii="Arial" w:eastAsia="Arial" w:hAnsi="Arial" w:cs="Arial"/>
          <w:b/>
        </w:rPr>
        <w:t xml:space="preserve">between PAK6, 14-3-3γ and 14-3-3γ/PAK6 </w:t>
      </w:r>
      <w:r>
        <w:rPr>
          <w:rFonts w:ascii="Arial" w:eastAsia="Arial" w:hAnsi="Arial" w:cs="Arial"/>
          <w:b/>
        </w:rPr>
        <w:t>and</w:t>
      </w:r>
      <w:r w:rsidRPr="00C60491">
        <w:rPr>
          <w:rFonts w:ascii="Arial" w:eastAsia="Arial" w:hAnsi="Arial" w:cs="Arial"/>
          <w:b/>
        </w:rPr>
        <w:t xml:space="preserve"> demographic parameters</w:t>
      </w:r>
    </w:p>
    <w:p w14:paraId="26DAAC41" w14:textId="77777777" w:rsidR="003A0DB0" w:rsidRDefault="003A0DB0" w:rsidP="003A0DB0">
      <w:pPr>
        <w:spacing w:after="0" w:line="480" w:lineRule="auto"/>
        <w:jc w:val="both"/>
        <w:rPr>
          <w:rFonts w:ascii="Arial" w:eastAsia="Arial" w:hAnsi="Arial" w:cs="Arial"/>
        </w:rPr>
      </w:pPr>
      <w:r w:rsidRPr="00C60491">
        <w:rPr>
          <w:rFonts w:ascii="Arial" w:eastAsia="Arial" w:hAnsi="Arial" w:cs="Arial"/>
        </w:rPr>
        <w:t>The</w:t>
      </w:r>
      <w:r>
        <w:rPr>
          <w:rFonts w:ascii="Arial" w:eastAsia="Arial" w:hAnsi="Arial" w:cs="Arial"/>
        </w:rPr>
        <w:t xml:space="preserve"> top part of the</w:t>
      </w:r>
      <w:r w:rsidRPr="00C60491">
        <w:rPr>
          <w:rFonts w:ascii="Arial" w:eastAsia="Arial" w:hAnsi="Arial" w:cs="Arial"/>
        </w:rPr>
        <w:t xml:space="preserve"> </w:t>
      </w:r>
      <w:r w:rsidRPr="00FA33DA">
        <w:rPr>
          <w:rFonts w:ascii="Arial" w:eastAsia="Arial" w:hAnsi="Arial" w:cs="Arial"/>
        </w:rPr>
        <w:t>table</w:t>
      </w:r>
      <w:r w:rsidRPr="00C60491">
        <w:rPr>
          <w:rFonts w:ascii="Arial" w:eastAsia="Arial" w:hAnsi="Arial" w:cs="Arial"/>
        </w:rPr>
        <w:t xml:space="preserve"> summarises the </w:t>
      </w:r>
      <w:r>
        <w:rPr>
          <w:rFonts w:ascii="Arial" w:eastAsia="Arial" w:hAnsi="Arial" w:cs="Arial"/>
        </w:rPr>
        <w:t xml:space="preserve">correlation coefficient </w:t>
      </w:r>
      <w:r w:rsidRPr="00C60491">
        <w:rPr>
          <w:rFonts w:ascii="Arial" w:eastAsia="Arial" w:hAnsi="Arial" w:cs="Arial"/>
        </w:rPr>
        <w:t xml:space="preserve">between PAK6, 14-3-3γ or the 14-3-3γ/PAK6 and the demographic parameters analysed in different groups. </w:t>
      </w:r>
      <w:r>
        <w:rPr>
          <w:rFonts w:ascii="Arial" w:eastAsia="Arial" w:hAnsi="Arial" w:cs="Arial"/>
        </w:rPr>
        <w:t xml:space="preserve">The bottom part of the table </w:t>
      </w:r>
      <w:r w:rsidRPr="00C60491">
        <w:rPr>
          <w:rFonts w:ascii="Arial" w:eastAsia="Arial" w:hAnsi="Arial" w:cs="Arial"/>
        </w:rPr>
        <w:t>summarises the correlation test applied to verify the presence of any association between PAK6 and 14-3-3γ in different groups</w:t>
      </w:r>
      <w:r>
        <w:rPr>
          <w:rFonts w:ascii="Arial" w:eastAsia="Arial" w:hAnsi="Arial" w:cs="Arial"/>
        </w:rPr>
        <w:t xml:space="preserve">. </w:t>
      </w:r>
      <w:r w:rsidRPr="00C60491">
        <w:rPr>
          <w:rFonts w:ascii="Arial" w:eastAsia="Arial" w:hAnsi="Arial" w:cs="Arial"/>
        </w:rPr>
        <w:t>**P-value &lt;0.01.</w:t>
      </w:r>
      <w:r>
        <w:rPr>
          <w:rFonts w:ascii="Arial" w:eastAsia="Arial" w:hAnsi="Arial" w:cs="Arial"/>
        </w:rPr>
        <w:t xml:space="preserve"> </w:t>
      </w:r>
      <w:r w:rsidRPr="00C60491">
        <w:rPr>
          <w:rFonts w:ascii="Arial" w:eastAsia="Arial" w:hAnsi="Arial" w:cs="Arial"/>
        </w:rPr>
        <w:t>A Spearman’s correlation test was performed to study the presence of associations between PAK6 and 14-3-3γ in different subgroups.</w:t>
      </w:r>
    </w:p>
    <w:p w14:paraId="41364619" w14:textId="77777777" w:rsidR="002F0F5E" w:rsidRDefault="003A0DB0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5C40A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u w:val="none"/>
        <w:shd w:val="clear" w:color="auto" w:fil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B0"/>
    <w:rsid w:val="0021090F"/>
    <w:rsid w:val="003A0DB0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8DFFE"/>
  <w15:chartTrackingRefBased/>
  <w15:docId w15:val="{B6ADA114-EB2D-47EF-B34C-5498823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DB0"/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</Words>
  <Characters>896</Characters>
  <Application>Microsoft Office Word</Application>
  <DocSecurity>0</DocSecurity>
  <Lines>7</Lines>
  <Paragraphs>2</Paragraphs>
  <ScaleCrop>false</ScaleCrop>
  <Company>Springer Nature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2023-09-25T17:16:00Z</dcterms:created>
  <dcterms:modified xsi:type="dcterms:W3CDTF">2023-09-25T17:17:00Z</dcterms:modified>
</cp:coreProperties>
</file>