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4D7FF" w14:textId="40B83E50" w:rsidR="00380F15" w:rsidRPr="00112409" w:rsidRDefault="00F01C68" w:rsidP="00F01C68">
      <w:pPr>
        <w:pStyle w:val="Overskrift1utennummer"/>
      </w:pPr>
      <w:r w:rsidRPr="00112409">
        <w:t>Supplementary material</w:t>
      </w:r>
    </w:p>
    <w:p w14:paraId="067A4AA3" w14:textId="77777777" w:rsidR="00F01C68" w:rsidRPr="00112409" w:rsidRDefault="00F01C68" w:rsidP="00F01C68">
      <w:pPr>
        <w:jc w:val="center"/>
        <w:rPr>
          <w:rFonts w:eastAsiaTheme="majorEastAsia" w:cstheme="minorHAnsi"/>
          <w:b/>
          <w:kern w:val="16"/>
          <w:szCs w:val="26"/>
        </w:rPr>
      </w:pPr>
      <w:r w:rsidRPr="00112409">
        <w:rPr>
          <w:rFonts w:eastAsiaTheme="majorEastAsia" w:cstheme="minorHAnsi"/>
          <w:b/>
          <w:kern w:val="16"/>
          <w:szCs w:val="26"/>
        </w:rPr>
        <w:t xml:space="preserve">Multispectral-derived genotypic similarities from budget cameras allow grain yield prediction and genomic selection augmentation in single and multi-environment scenarios in spring </w:t>
      </w:r>
      <w:proofErr w:type="gramStart"/>
      <w:r w:rsidRPr="00112409">
        <w:rPr>
          <w:rFonts w:eastAsiaTheme="majorEastAsia" w:cstheme="minorHAnsi"/>
          <w:b/>
          <w:kern w:val="16"/>
          <w:szCs w:val="26"/>
        </w:rPr>
        <w:t>wheat</w:t>
      </w:r>
      <w:proofErr w:type="gramEnd"/>
    </w:p>
    <w:p w14:paraId="0E43BAE6" w14:textId="40BCBB15" w:rsidR="00F01C68" w:rsidRPr="00112409" w:rsidRDefault="00F01C68" w:rsidP="00F01C68">
      <w:r w:rsidRPr="00112409">
        <w:t>Tomasz Mr</w:t>
      </w:r>
      <w:r w:rsidR="008A3026" w:rsidRPr="00112409">
        <w:t>ó</w:t>
      </w:r>
      <w:r w:rsidRPr="00112409">
        <w:t>z</w:t>
      </w:r>
      <w:r w:rsidRPr="00112409">
        <w:rPr>
          <w:vertAlign w:val="superscript"/>
        </w:rPr>
        <w:t>1</w:t>
      </w:r>
      <w:r w:rsidRPr="00112409">
        <w:t>, Sahameh Shafiee</w:t>
      </w:r>
      <w:r w:rsidRPr="00112409">
        <w:rPr>
          <w:vertAlign w:val="superscript"/>
        </w:rPr>
        <w:t>1</w:t>
      </w:r>
      <w:r w:rsidRPr="00112409">
        <w:t>, Jose Crossa</w:t>
      </w:r>
      <w:r w:rsidRPr="00112409">
        <w:rPr>
          <w:vertAlign w:val="superscript"/>
        </w:rPr>
        <w:t>23</w:t>
      </w:r>
      <w:r w:rsidRPr="00112409">
        <w:t>, Osval A. Montesinos-Lopez</w:t>
      </w:r>
      <w:r w:rsidRPr="00112409">
        <w:rPr>
          <w:vertAlign w:val="superscript"/>
        </w:rPr>
        <w:t>4</w:t>
      </w:r>
      <w:r w:rsidRPr="00112409">
        <w:t>, and Morten Lillemo</w:t>
      </w:r>
      <w:r w:rsidRPr="00112409">
        <w:rPr>
          <w:vertAlign w:val="superscript"/>
        </w:rPr>
        <w:t>1</w:t>
      </w:r>
    </w:p>
    <w:p w14:paraId="5765CC64" w14:textId="77777777" w:rsidR="00F01C68" w:rsidRPr="00112409" w:rsidRDefault="00F01C68" w:rsidP="00F01C68">
      <w:pPr>
        <w:rPr>
          <w:i/>
          <w:iCs/>
          <w:sz w:val="18"/>
          <w:szCs w:val="18"/>
        </w:rPr>
      </w:pPr>
      <w:r w:rsidRPr="00112409">
        <w:rPr>
          <w:i/>
          <w:iCs/>
          <w:sz w:val="18"/>
          <w:szCs w:val="18"/>
          <w:vertAlign w:val="superscript"/>
        </w:rPr>
        <w:t>1</w:t>
      </w:r>
      <w:r w:rsidRPr="00112409">
        <w:rPr>
          <w:i/>
          <w:iCs/>
          <w:sz w:val="18"/>
          <w:szCs w:val="18"/>
        </w:rPr>
        <w:t>Department of Plant Sciences, Norwegian University of Life Sciences, NO-1432 Ås, Norway</w:t>
      </w:r>
    </w:p>
    <w:p w14:paraId="775EF310" w14:textId="77777777" w:rsidR="00F01C68" w:rsidRPr="00112409" w:rsidRDefault="00F01C68" w:rsidP="00F01C68">
      <w:pPr>
        <w:rPr>
          <w:i/>
          <w:iCs/>
          <w:sz w:val="18"/>
          <w:szCs w:val="18"/>
        </w:rPr>
      </w:pPr>
      <w:r w:rsidRPr="00112409">
        <w:rPr>
          <w:i/>
          <w:iCs/>
          <w:sz w:val="18"/>
          <w:szCs w:val="18"/>
          <w:vertAlign w:val="superscript"/>
        </w:rPr>
        <w:t>2</w:t>
      </w:r>
      <w:r w:rsidRPr="00112409">
        <w:rPr>
          <w:i/>
          <w:iCs/>
          <w:sz w:val="18"/>
          <w:szCs w:val="18"/>
        </w:rPr>
        <w:t>International Maize and Wheat Improvement Center (CIMMYT), Km 45, Carretera Mexico Veracruz, CP 52640 Texcoco, Edo. de México, Mexico</w:t>
      </w:r>
    </w:p>
    <w:p w14:paraId="109FABBF" w14:textId="77777777" w:rsidR="00F01C68" w:rsidRPr="00112409" w:rsidRDefault="00F01C68" w:rsidP="00F01C68">
      <w:pPr>
        <w:rPr>
          <w:i/>
          <w:iCs/>
          <w:sz w:val="18"/>
          <w:szCs w:val="18"/>
        </w:rPr>
      </w:pPr>
      <w:r w:rsidRPr="00112409">
        <w:rPr>
          <w:i/>
          <w:iCs/>
          <w:sz w:val="18"/>
          <w:szCs w:val="18"/>
          <w:vertAlign w:val="superscript"/>
        </w:rPr>
        <w:t>3</w:t>
      </w:r>
      <w:r w:rsidRPr="00112409">
        <w:rPr>
          <w:i/>
          <w:iCs/>
          <w:sz w:val="18"/>
          <w:szCs w:val="18"/>
        </w:rPr>
        <w:t>Colegio de Postgraduados, CP 56230 Montecillos, Edo. de México, Mexico</w:t>
      </w:r>
    </w:p>
    <w:p w14:paraId="588C6679" w14:textId="77777777" w:rsidR="00F01C68" w:rsidRPr="00112409" w:rsidRDefault="00F01C68" w:rsidP="00F01C68">
      <w:pPr>
        <w:rPr>
          <w:i/>
          <w:iCs/>
          <w:sz w:val="18"/>
          <w:szCs w:val="18"/>
        </w:rPr>
      </w:pPr>
      <w:r w:rsidRPr="00112409">
        <w:rPr>
          <w:i/>
          <w:iCs/>
          <w:sz w:val="18"/>
          <w:szCs w:val="18"/>
          <w:vertAlign w:val="superscript"/>
        </w:rPr>
        <w:t>4</w:t>
      </w:r>
      <w:r w:rsidRPr="00112409">
        <w:rPr>
          <w:i/>
          <w:iCs/>
          <w:sz w:val="18"/>
          <w:szCs w:val="18"/>
        </w:rPr>
        <w:t>Facultad de Telemática, Universidad de Colima, Colima, Mexico</w:t>
      </w:r>
    </w:p>
    <w:p w14:paraId="3C14D69E" w14:textId="2F7F5C43" w:rsidR="00F01C68" w:rsidRPr="00112409" w:rsidRDefault="00F01C68">
      <w:pPr>
        <w:spacing w:before="0" w:line="240" w:lineRule="auto"/>
        <w:jc w:val="left"/>
      </w:pPr>
      <w:r w:rsidRPr="00112409">
        <w:br w:type="page"/>
      </w:r>
    </w:p>
    <w:p w14:paraId="1BCAF565" w14:textId="77777777" w:rsidR="00047EAD" w:rsidRPr="00112409" w:rsidRDefault="00047EAD" w:rsidP="00047EAD">
      <w:pPr>
        <w:pStyle w:val="Heading2"/>
      </w:pPr>
      <w:r w:rsidRPr="00112409">
        <w:lastRenderedPageBreak/>
        <w:t>Multispectral image acquisition and processing</w:t>
      </w:r>
    </w:p>
    <w:p w14:paraId="5434F463" w14:textId="77777777" w:rsidR="00047EAD" w:rsidRPr="00112409" w:rsidRDefault="00047EAD" w:rsidP="00047EAD">
      <w:r w:rsidRPr="00112409">
        <w:t xml:space="preserve">Two multispectral cameras were used in this study. The RedEdge-M has five imaging sensors, including red, green, blue, red edge, and near InfraRed (NIR) bands (Figure 1). The camera has a 5.4 mm focal length, the sensor size is 4.8 mm x 3.6mm, and the image size is 1280 x 960 pixels. A sunshine sensor can record the illumination information of each image to calibrate the multispectral images. The camera was mounted on a fully programmable DJI Matrix 100 UAV with a maximum payload of 1.25 kg. The flight routes were planned in the </w:t>
      </w:r>
      <w:proofErr w:type="spellStart"/>
      <w:r w:rsidRPr="00112409">
        <w:t>Altizure</w:t>
      </w:r>
      <w:proofErr w:type="spellEnd"/>
      <w:r w:rsidRPr="00112409">
        <w:t xml:space="preserve"> application (Everest Innovation Technology).</w:t>
      </w:r>
    </w:p>
    <w:p w14:paraId="0E906BDC" w14:textId="77777777" w:rsidR="00047EAD" w:rsidRPr="00112409" w:rsidRDefault="00047EAD" w:rsidP="00047EAD">
      <w:r w:rsidRPr="00112409">
        <w:t xml:space="preserve">The P4M camera has six imaging sensors, five narrow bands, and one combined RGB sensor. The multispectral bands include Red, Green, Blue, red edge, and (NIR). The camera focal length is 5.74 mm, the sensor size is 4.87 mm x 3.96 mm, and the image size is 1600×1300 pixels. This camera is integrated into its UAV platform. Flight routes were planned in the DJI </w:t>
      </w:r>
      <w:proofErr w:type="spellStart"/>
      <w:r w:rsidRPr="00112409">
        <w:t>GSPro</w:t>
      </w:r>
      <w:proofErr w:type="spellEnd"/>
      <w:r w:rsidRPr="00112409">
        <w:t xml:space="preserve"> application (https://www.dji.com/ground-station-pro). Flights were conducted around local noon time. The images were taken from a nadir view with 85% frontal and 80% side overlap. </w:t>
      </w:r>
    </w:p>
    <w:p w14:paraId="440344B7" w14:textId="55868DFE" w:rsidR="00F01C68" w:rsidRPr="00112409" w:rsidRDefault="00047EAD" w:rsidP="00047EAD">
      <w:r w:rsidRPr="00112409">
        <w:t>The image pixel value depends on different factors, such as sensor setting, sensor properties, and scene condition, which must be corrected to get a radiometrically trusted measure of terrain reflectance. All related parameters are present in the image EXIF data and applied for radiometric corrections in Pix4D (refer to Shafiee et al., 2021, for more details). Reflectance targets were applied to do a radiometric calibration in field conditions. RedEdge-M has its calibration panel (with Albedo values of 0.58, 0.59, 0.60, 0.59, and 0.56, respectively, for the blue, green, red, red edge, and NIR bands). Our experiments showed that P4M generates more reliable spectral values when the radiometric calibration (data not shown) is applied, which was also noted by Di Gennaro et al. in their recent study (2022). Therefore, a calibration panel (</w:t>
      </w:r>
      <w:proofErr w:type="spellStart"/>
      <w:r w:rsidRPr="00112409">
        <w:t>SphereOptics</w:t>
      </w:r>
      <w:proofErr w:type="spellEnd"/>
      <w:r w:rsidRPr="00112409">
        <w:t xml:space="preserve">, Diffuse Reflectance Target-53%R) was applied to correct P4M images (Albedo values of 0.54329, 0.54389, 0.54260, 0.54092, and 0.53788 respectively, for blue, green, red, red edge and NIR bands). Albedo values were determined for each central wavelength based on the datasheet the target provider enclosed. Images from both cameras were imported into Pix4D software (Pix4D SA, Lausanne, Switzerland) for processing. Different Processing steps of UAV images, including geometric correction, image mosaicking, and radiometric calibration, were conducted in Pix4D with a spatial resolution of 1.3 and 1.09 cm/pixel, respectively, for RedEdge-M and P4M. </w:t>
      </w:r>
      <w:proofErr w:type="spellStart"/>
      <w:r w:rsidRPr="00112409">
        <w:t>Orthomosaics</w:t>
      </w:r>
      <w:proofErr w:type="spellEnd"/>
      <w:r w:rsidRPr="00112409">
        <w:t xml:space="preserve"> were generated for each band separately. QGIS software (QGIS 3.4, Open-Source Geo-Spatial Foundation Project. http://qgis.osgeo.org) was used to extract average spectral values for each experimental plot in the trial (refer to Shafiee </w:t>
      </w:r>
      <w:r w:rsidRPr="00112409">
        <w:rPr>
          <w:i/>
          <w:iCs/>
        </w:rPr>
        <w:t>et al</w:t>
      </w:r>
      <w:r w:rsidRPr="00112409">
        <w:t xml:space="preserve">., 2021 for more details). Each plot was masked out in the middle part to avoid border effects using a polygon shape file in QGIS. A separate mask was generated for each camera. Since the pixel size is much smaller than the plot size and the canopy is well structured, the mixed pixel issue is insignificant in this study. The </w:t>
      </w:r>
      <w:proofErr w:type="spellStart"/>
      <w:r w:rsidRPr="00112409">
        <w:t>ZonalStatistic</w:t>
      </w:r>
      <w:proofErr w:type="spellEnd"/>
      <w:r w:rsidRPr="00112409">
        <w:t xml:space="preserve"> Tool was applied to calculate the median reflectance value per plot.</w:t>
      </w:r>
    </w:p>
    <w:p w14:paraId="507C3680" w14:textId="7CA6918C" w:rsidR="00047EAD" w:rsidRPr="00112409" w:rsidRDefault="00047EAD" w:rsidP="00F047EE">
      <w:pPr>
        <w:pStyle w:val="Heading2"/>
      </w:pPr>
      <w:r w:rsidRPr="00112409">
        <w:lastRenderedPageBreak/>
        <w:t xml:space="preserve">Weather conditions during the </w:t>
      </w:r>
      <w:r w:rsidR="00F047EE" w:rsidRPr="00112409">
        <w:t>field trials</w:t>
      </w:r>
    </w:p>
    <w:p w14:paraId="5B920ECC" w14:textId="2214161E" w:rsidR="00F047EE" w:rsidRPr="00112409" w:rsidRDefault="00F047EE" w:rsidP="00F047EE">
      <w:r w:rsidRPr="00112409">
        <w:t>Please refer to supplementary information of Paper II.</w:t>
      </w:r>
    </w:p>
    <w:p w14:paraId="01C616A4" w14:textId="278BC1EB" w:rsidR="00F047EE" w:rsidRPr="00112409" w:rsidRDefault="003C4C38" w:rsidP="003C4C38">
      <w:pPr>
        <w:pStyle w:val="Heading2"/>
      </w:pPr>
      <w:r w:rsidRPr="00112409">
        <w:t>Planting dates of the trials</w:t>
      </w:r>
    </w:p>
    <w:p w14:paraId="780B6352" w14:textId="02C07509" w:rsidR="006F4C59" w:rsidRPr="00112409" w:rsidRDefault="006F4C59" w:rsidP="006F4C59">
      <w:pPr>
        <w:pStyle w:val="Caption"/>
        <w:keepNext/>
      </w:pPr>
      <w:r w:rsidRPr="00112409">
        <w:rPr>
          <w:b/>
          <w:bCs w:val="0"/>
        </w:rPr>
        <w:t>Table S1</w:t>
      </w:r>
      <w:r w:rsidR="00754D03" w:rsidRPr="00112409">
        <w:t xml:space="preserve"> </w:t>
      </w:r>
      <w:r w:rsidR="009B2240" w:rsidRPr="00112409">
        <w:t>Planting dates of the field trials at both locations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8"/>
        <w:gridCol w:w="963"/>
        <w:gridCol w:w="963"/>
      </w:tblGrid>
      <w:tr w:rsidR="006F4C59" w:rsidRPr="00112409" w14:paraId="694ACAC6" w14:textId="77777777" w:rsidTr="006E178F">
        <w:trPr>
          <w:trHeight w:val="406"/>
          <w:jc w:val="center"/>
        </w:trPr>
        <w:tc>
          <w:tcPr>
            <w:tcW w:w="0" w:type="auto"/>
            <w:noWrap/>
            <w:vAlign w:val="center"/>
            <w:hideMark/>
          </w:tcPr>
          <w:p w14:paraId="07EE264D" w14:textId="77777777" w:rsidR="006F4C59" w:rsidRPr="00112409" w:rsidRDefault="006F4C59" w:rsidP="009A092F">
            <w:pPr>
              <w:pStyle w:val="Tabletext"/>
              <w:jc w:val="center"/>
              <w:rPr>
                <w:b/>
                <w:bCs/>
              </w:rPr>
            </w:pPr>
            <w:r w:rsidRPr="00112409">
              <w:rPr>
                <w:b/>
                <w:bCs/>
              </w:rPr>
              <w:t>Season</w:t>
            </w:r>
          </w:p>
        </w:tc>
        <w:tc>
          <w:tcPr>
            <w:tcW w:w="0" w:type="auto"/>
            <w:noWrap/>
            <w:vAlign w:val="center"/>
            <w:hideMark/>
          </w:tcPr>
          <w:p w14:paraId="564008FA" w14:textId="77777777" w:rsidR="006F4C59" w:rsidRPr="00112409" w:rsidRDefault="006F4C59" w:rsidP="009A092F">
            <w:pPr>
              <w:pStyle w:val="Tabletext"/>
              <w:jc w:val="center"/>
              <w:rPr>
                <w:b/>
                <w:bCs/>
              </w:rPr>
            </w:pPr>
            <w:r w:rsidRPr="00112409">
              <w:rPr>
                <w:b/>
                <w:bCs/>
              </w:rPr>
              <w:t>Vollebekk</w:t>
            </w:r>
          </w:p>
        </w:tc>
        <w:tc>
          <w:tcPr>
            <w:tcW w:w="0" w:type="auto"/>
            <w:vAlign w:val="center"/>
          </w:tcPr>
          <w:p w14:paraId="71A530B7" w14:textId="77777777" w:rsidR="006F4C59" w:rsidRPr="00112409" w:rsidRDefault="006F4C59" w:rsidP="009A092F">
            <w:pPr>
              <w:pStyle w:val="Tabletext"/>
              <w:jc w:val="center"/>
              <w:rPr>
                <w:b/>
                <w:bCs/>
              </w:rPr>
            </w:pPr>
            <w:r w:rsidRPr="00112409">
              <w:rPr>
                <w:b/>
                <w:bCs/>
              </w:rPr>
              <w:t>Staur</w:t>
            </w:r>
          </w:p>
        </w:tc>
      </w:tr>
      <w:tr w:rsidR="006F4C59" w:rsidRPr="00112409" w14:paraId="5A79911E" w14:textId="77777777" w:rsidTr="006E178F">
        <w:trPr>
          <w:trHeight w:val="288"/>
          <w:jc w:val="center"/>
        </w:trPr>
        <w:tc>
          <w:tcPr>
            <w:tcW w:w="0" w:type="auto"/>
            <w:noWrap/>
            <w:vAlign w:val="center"/>
            <w:hideMark/>
          </w:tcPr>
          <w:p w14:paraId="7551F627" w14:textId="77777777" w:rsidR="006F4C59" w:rsidRPr="00112409" w:rsidRDefault="006F4C59" w:rsidP="009A092F">
            <w:pPr>
              <w:pStyle w:val="Tabletext"/>
              <w:jc w:val="center"/>
            </w:pPr>
            <w:r w:rsidRPr="00112409">
              <w:t>2015</w:t>
            </w:r>
          </w:p>
        </w:tc>
        <w:tc>
          <w:tcPr>
            <w:tcW w:w="0" w:type="auto"/>
            <w:noWrap/>
            <w:vAlign w:val="center"/>
            <w:hideMark/>
          </w:tcPr>
          <w:p w14:paraId="645D2968" w14:textId="77777777" w:rsidR="006F4C59" w:rsidRPr="00112409" w:rsidRDefault="006F4C59" w:rsidP="009A092F">
            <w:pPr>
              <w:pStyle w:val="Tabletext"/>
              <w:jc w:val="center"/>
            </w:pPr>
            <w:r w:rsidRPr="00112409">
              <w:t>2015-04-24</w:t>
            </w:r>
          </w:p>
        </w:tc>
        <w:tc>
          <w:tcPr>
            <w:tcW w:w="0" w:type="auto"/>
            <w:noWrap/>
            <w:vAlign w:val="center"/>
            <w:hideMark/>
          </w:tcPr>
          <w:p w14:paraId="650A62B4" w14:textId="77777777" w:rsidR="006F4C59" w:rsidRPr="00112409" w:rsidRDefault="006F4C59" w:rsidP="009A092F">
            <w:pPr>
              <w:pStyle w:val="Tabletext"/>
              <w:jc w:val="center"/>
            </w:pPr>
            <w:r w:rsidRPr="00112409">
              <w:t>-</w:t>
            </w:r>
          </w:p>
        </w:tc>
      </w:tr>
      <w:tr w:rsidR="006F4C59" w:rsidRPr="00112409" w14:paraId="0C3C329F" w14:textId="77777777" w:rsidTr="006E178F">
        <w:trPr>
          <w:trHeight w:val="288"/>
          <w:jc w:val="center"/>
        </w:trPr>
        <w:tc>
          <w:tcPr>
            <w:tcW w:w="0" w:type="auto"/>
            <w:noWrap/>
            <w:vAlign w:val="center"/>
            <w:hideMark/>
          </w:tcPr>
          <w:p w14:paraId="04C1242A" w14:textId="77777777" w:rsidR="006F4C59" w:rsidRPr="00112409" w:rsidRDefault="006F4C59" w:rsidP="009A092F">
            <w:pPr>
              <w:pStyle w:val="Tabletext"/>
              <w:jc w:val="center"/>
            </w:pPr>
            <w:r w:rsidRPr="00112409">
              <w:t>2016</w:t>
            </w:r>
          </w:p>
        </w:tc>
        <w:tc>
          <w:tcPr>
            <w:tcW w:w="0" w:type="auto"/>
            <w:noWrap/>
            <w:vAlign w:val="center"/>
            <w:hideMark/>
          </w:tcPr>
          <w:p w14:paraId="009500D4" w14:textId="77777777" w:rsidR="006F4C59" w:rsidRPr="00112409" w:rsidRDefault="006F4C59" w:rsidP="009A092F">
            <w:pPr>
              <w:pStyle w:val="Tabletext"/>
              <w:jc w:val="center"/>
            </w:pPr>
            <w:r w:rsidRPr="00112409">
              <w:t>2016-04-24</w:t>
            </w:r>
          </w:p>
        </w:tc>
        <w:tc>
          <w:tcPr>
            <w:tcW w:w="0" w:type="auto"/>
            <w:noWrap/>
            <w:vAlign w:val="center"/>
            <w:hideMark/>
          </w:tcPr>
          <w:p w14:paraId="6F4D86E0" w14:textId="77777777" w:rsidR="006F4C59" w:rsidRPr="00112409" w:rsidRDefault="006F4C59" w:rsidP="009A092F">
            <w:pPr>
              <w:pStyle w:val="Tabletext"/>
              <w:jc w:val="center"/>
            </w:pPr>
            <w:r w:rsidRPr="00112409">
              <w:t>2016-05-10</w:t>
            </w:r>
          </w:p>
        </w:tc>
      </w:tr>
      <w:tr w:rsidR="006F4C59" w:rsidRPr="00112409" w14:paraId="78D536A7" w14:textId="77777777" w:rsidTr="006E178F">
        <w:trPr>
          <w:trHeight w:val="288"/>
          <w:jc w:val="center"/>
        </w:trPr>
        <w:tc>
          <w:tcPr>
            <w:tcW w:w="0" w:type="auto"/>
            <w:noWrap/>
            <w:vAlign w:val="center"/>
            <w:hideMark/>
          </w:tcPr>
          <w:p w14:paraId="7C6EA459" w14:textId="77777777" w:rsidR="006F4C59" w:rsidRPr="00112409" w:rsidRDefault="006F4C59" w:rsidP="009A092F">
            <w:pPr>
              <w:pStyle w:val="Tabletext"/>
              <w:jc w:val="center"/>
            </w:pPr>
            <w:r w:rsidRPr="00112409">
              <w:t>2017</w:t>
            </w:r>
          </w:p>
        </w:tc>
        <w:tc>
          <w:tcPr>
            <w:tcW w:w="0" w:type="auto"/>
            <w:noWrap/>
            <w:vAlign w:val="center"/>
            <w:hideMark/>
          </w:tcPr>
          <w:p w14:paraId="3BA3D914" w14:textId="77777777" w:rsidR="006F4C59" w:rsidRPr="00112409" w:rsidRDefault="006F4C59" w:rsidP="009A092F">
            <w:pPr>
              <w:pStyle w:val="Tabletext"/>
              <w:jc w:val="center"/>
            </w:pPr>
            <w:r w:rsidRPr="00112409">
              <w:t>2017-05-04</w:t>
            </w:r>
          </w:p>
        </w:tc>
        <w:tc>
          <w:tcPr>
            <w:tcW w:w="0" w:type="auto"/>
            <w:noWrap/>
            <w:vAlign w:val="center"/>
            <w:hideMark/>
          </w:tcPr>
          <w:p w14:paraId="17CB99BA" w14:textId="77777777" w:rsidR="006F4C59" w:rsidRPr="00112409" w:rsidRDefault="006F4C59" w:rsidP="009A092F">
            <w:pPr>
              <w:pStyle w:val="Tabletext"/>
              <w:jc w:val="center"/>
            </w:pPr>
            <w:r w:rsidRPr="00112409">
              <w:t>2017-05-12</w:t>
            </w:r>
          </w:p>
        </w:tc>
      </w:tr>
      <w:tr w:rsidR="006F4C59" w:rsidRPr="00112409" w14:paraId="2BC14B57" w14:textId="77777777" w:rsidTr="006E178F">
        <w:trPr>
          <w:trHeight w:val="288"/>
          <w:jc w:val="center"/>
        </w:trPr>
        <w:tc>
          <w:tcPr>
            <w:tcW w:w="0" w:type="auto"/>
            <w:noWrap/>
            <w:vAlign w:val="center"/>
            <w:hideMark/>
          </w:tcPr>
          <w:p w14:paraId="269EACD1" w14:textId="77777777" w:rsidR="006F4C59" w:rsidRPr="00112409" w:rsidRDefault="006F4C59" w:rsidP="009A092F">
            <w:pPr>
              <w:pStyle w:val="Tabletext"/>
              <w:jc w:val="center"/>
            </w:pPr>
            <w:r w:rsidRPr="00112409">
              <w:t>2019</w:t>
            </w:r>
          </w:p>
        </w:tc>
        <w:tc>
          <w:tcPr>
            <w:tcW w:w="0" w:type="auto"/>
            <w:noWrap/>
            <w:vAlign w:val="center"/>
            <w:hideMark/>
          </w:tcPr>
          <w:p w14:paraId="3058830D" w14:textId="77777777" w:rsidR="006F4C59" w:rsidRPr="00112409" w:rsidRDefault="006F4C59" w:rsidP="009A092F">
            <w:pPr>
              <w:pStyle w:val="Tabletext"/>
              <w:jc w:val="center"/>
            </w:pPr>
            <w:r w:rsidRPr="00112409">
              <w:t>2019-05-19</w:t>
            </w:r>
          </w:p>
        </w:tc>
        <w:tc>
          <w:tcPr>
            <w:tcW w:w="0" w:type="auto"/>
            <w:noWrap/>
            <w:vAlign w:val="center"/>
            <w:hideMark/>
          </w:tcPr>
          <w:p w14:paraId="4EA85B3E" w14:textId="77777777" w:rsidR="006F4C59" w:rsidRPr="00112409" w:rsidRDefault="006F4C59" w:rsidP="009A092F">
            <w:pPr>
              <w:pStyle w:val="Tabletext"/>
              <w:jc w:val="center"/>
            </w:pPr>
            <w:r w:rsidRPr="00112409">
              <w:t>2019-06-04</w:t>
            </w:r>
          </w:p>
        </w:tc>
      </w:tr>
      <w:tr w:rsidR="006F4C59" w:rsidRPr="00112409" w14:paraId="2FE6DEB4" w14:textId="77777777" w:rsidTr="006E178F">
        <w:trPr>
          <w:trHeight w:val="288"/>
          <w:jc w:val="center"/>
        </w:trPr>
        <w:tc>
          <w:tcPr>
            <w:tcW w:w="0" w:type="auto"/>
            <w:noWrap/>
            <w:vAlign w:val="center"/>
            <w:hideMark/>
          </w:tcPr>
          <w:p w14:paraId="31741F13" w14:textId="77777777" w:rsidR="006F4C59" w:rsidRPr="00112409" w:rsidRDefault="006F4C59" w:rsidP="009A092F">
            <w:pPr>
              <w:pStyle w:val="Tabletext"/>
              <w:jc w:val="center"/>
            </w:pPr>
            <w:r w:rsidRPr="00112409">
              <w:t>2020</w:t>
            </w:r>
          </w:p>
        </w:tc>
        <w:tc>
          <w:tcPr>
            <w:tcW w:w="0" w:type="auto"/>
            <w:noWrap/>
            <w:vAlign w:val="center"/>
            <w:hideMark/>
          </w:tcPr>
          <w:p w14:paraId="4ED8E6E8" w14:textId="77777777" w:rsidR="006F4C59" w:rsidRPr="00112409" w:rsidRDefault="006F4C59" w:rsidP="009A092F">
            <w:pPr>
              <w:pStyle w:val="Tabletext"/>
              <w:jc w:val="center"/>
            </w:pPr>
            <w:r w:rsidRPr="00112409">
              <w:t>2020-05-15</w:t>
            </w:r>
          </w:p>
        </w:tc>
        <w:tc>
          <w:tcPr>
            <w:tcW w:w="0" w:type="auto"/>
            <w:noWrap/>
            <w:vAlign w:val="center"/>
            <w:hideMark/>
          </w:tcPr>
          <w:p w14:paraId="721F254D" w14:textId="77777777" w:rsidR="006F4C59" w:rsidRPr="00112409" w:rsidRDefault="006F4C59" w:rsidP="009A092F">
            <w:pPr>
              <w:pStyle w:val="Tabletext"/>
              <w:jc w:val="center"/>
            </w:pPr>
            <w:r w:rsidRPr="00112409">
              <w:t>2020-04-21</w:t>
            </w:r>
          </w:p>
        </w:tc>
      </w:tr>
      <w:tr w:rsidR="006F4C59" w:rsidRPr="00112409" w14:paraId="0BA3196D" w14:textId="77777777" w:rsidTr="006E178F">
        <w:trPr>
          <w:trHeight w:val="288"/>
          <w:jc w:val="center"/>
        </w:trPr>
        <w:tc>
          <w:tcPr>
            <w:tcW w:w="0" w:type="auto"/>
            <w:noWrap/>
            <w:vAlign w:val="center"/>
            <w:hideMark/>
          </w:tcPr>
          <w:p w14:paraId="46FA703D" w14:textId="77777777" w:rsidR="006F4C59" w:rsidRPr="00112409" w:rsidRDefault="006F4C59" w:rsidP="009A092F">
            <w:pPr>
              <w:pStyle w:val="Tabletext"/>
              <w:jc w:val="center"/>
            </w:pPr>
            <w:r w:rsidRPr="00112409">
              <w:t>2021</w:t>
            </w:r>
          </w:p>
        </w:tc>
        <w:tc>
          <w:tcPr>
            <w:tcW w:w="0" w:type="auto"/>
            <w:noWrap/>
            <w:vAlign w:val="center"/>
            <w:hideMark/>
          </w:tcPr>
          <w:p w14:paraId="10B0ADA1" w14:textId="77777777" w:rsidR="006F4C59" w:rsidRPr="00112409" w:rsidRDefault="006F4C59" w:rsidP="009A092F">
            <w:pPr>
              <w:pStyle w:val="Tabletext"/>
              <w:jc w:val="center"/>
            </w:pPr>
            <w:r w:rsidRPr="00112409">
              <w:t>2021-04-20</w:t>
            </w:r>
          </w:p>
        </w:tc>
        <w:tc>
          <w:tcPr>
            <w:tcW w:w="0" w:type="auto"/>
            <w:noWrap/>
            <w:vAlign w:val="center"/>
            <w:hideMark/>
          </w:tcPr>
          <w:p w14:paraId="6501A851" w14:textId="77777777" w:rsidR="006F4C59" w:rsidRPr="00112409" w:rsidRDefault="006F4C59" w:rsidP="009A092F">
            <w:pPr>
              <w:pStyle w:val="Tabletext"/>
              <w:jc w:val="center"/>
            </w:pPr>
            <w:r w:rsidRPr="00112409">
              <w:t>2021-04-27</w:t>
            </w:r>
          </w:p>
        </w:tc>
      </w:tr>
      <w:tr w:rsidR="006F4C59" w:rsidRPr="00112409" w14:paraId="590C458C" w14:textId="77777777" w:rsidTr="006E178F">
        <w:trPr>
          <w:trHeight w:val="288"/>
          <w:jc w:val="center"/>
        </w:trPr>
        <w:tc>
          <w:tcPr>
            <w:tcW w:w="0" w:type="auto"/>
            <w:noWrap/>
            <w:vAlign w:val="center"/>
          </w:tcPr>
          <w:p w14:paraId="0B131097" w14:textId="77777777" w:rsidR="006F4C59" w:rsidRPr="00112409" w:rsidRDefault="006F4C59" w:rsidP="009A092F">
            <w:pPr>
              <w:pStyle w:val="Tabletext"/>
              <w:jc w:val="center"/>
            </w:pPr>
            <w:r w:rsidRPr="00112409">
              <w:t>2022</w:t>
            </w:r>
          </w:p>
        </w:tc>
        <w:tc>
          <w:tcPr>
            <w:tcW w:w="0" w:type="auto"/>
            <w:noWrap/>
            <w:vAlign w:val="center"/>
          </w:tcPr>
          <w:p w14:paraId="757027DA" w14:textId="77777777" w:rsidR="006F4C59" w:rsidRPr="00112409" w:rsidRDefault="006F4C59" w:rsidP="009A092F">
            <w:pPr>
              <w:pStyle w:val="Tabletext"/>
              <w:jc w:val="center"/>
            </w:pPr>
            <w:r w:rsidRPr="00112409">
              <w:t>2021-04-21</w:t>
            </w:r>
          </w:p>
        </w:tc>
        <w:tc>
          <w:tcPr>
            <w:tcW w:w="0" w:type="auto"/>
            <w:noWrap/>
            <w:vAlign w:val="center"/>
          </w:tcPr>
          <w:p w14:paraId="6AB5BC78" w14:textId="77777777" w:rsidR="006F4C59" w:rsidRPr="00112409" w:rsidRDefault="006F4C59" w:rsidP="009A092F">
            <w:pPr>
              <w:pStyle w:val="Tabletext"/>
              <w:jc w:val="center"/>
            </w:pPr>
            <w:r w:rsidRPr="00112409">
              <w:t>-</w:t>
            </w:r>
          </w:p>
        </w:tc>
      </w:tr>
    </w:tbl>
    <w:p w14:paraId="598658FB" w14:textId="14B8DF43" w:rsidR="003C4C38" w:rsidRPr="00112409" w:rsidRDefault="00721312" w:rsidP="00721312">
      <w:pPr>
        <w:pStyle w:val="Heading2"/>
      </w:pPr>
      <w:r w:rsidRPr="00112409">
        <w:lastRenderedPageBreak/>
        <w:t>Band values during the season</w:t>
      </w:r>
    </w:p>
    <w:p w14:paraId="18B28382" w14:textId="77777777" w:rsidR="00A46B00" w:rsidRPr="00112409" w:rsidRDefault="00A46B00" w:rsidP="00C50DC5">
      <w:pPr>
        <w:keepNext/>
        <w:jc w:val="center"/>
      </w:pPr>
      <w:r w:rsidRPr="00112409">
        <w:rPr>
          <w:noProof/>
        </w:rPr>
        <w:drawing>
          <wp:inline distT="0" distB="0" distL="0" distR="0" wp14:anchorId="19DE8F5C" wp14:editId="7A93FA24">
            <wp:extent cx="5898383" cy="6189785"/>
            <wp:effectExtent l="0" t="0" r="0" b="0"/>
            <wp:docPr id="4" name="Picture 4" descr="Picture 16"/>
            <wp:cNvGraphicFramePr/>
            <a:graphic xmlns:a="http://schemas.openxmlformats.org/drawingml/2006/main">
              <a:graphicData uri="http://schemas.openxmlformats.org/drawingml/2006/picture">
                <pic:pic xmlns:pic="http://schemas.openxmlformats.org/drawingml/2006/picture">
                  <pic:nvPicPr>
                    <pic:cNvPr id="1073741827" name="Picture 16" descr="Picture 16"/>
                    <pic:cNvPicPr>
                      <a:picLocks noChangeAspect="1"/>
                    </pic:cNvPicPr>
                  </pic:nvPicPr>
                  <pic:blipFill>
                    <a:blip r:embed="rId11"/>
                    <a:stretch>
                      <a:fillRect/>
                    </a:stretch>
                  </pic:blipFill>
                  <pic:spPr>
                    <a:xfrm>
                      <a:off x="0" y="0"/>
                      <a:ext cx="5932211" cy="6225284"/>
                    </a:xfrm>
                    <a:prstGeom prst="rect">
                      <a:avLst/>
                    </a:prstGeom>
                    <a:ln w="12700" cap="flat">
                      <a:noFill/>
                      <a:miter lim="400000"/>
                    </a:ln>
                    <a:effectLst/>
                  </pic:spPr>
                </pic:pic>
              </a:graphicData>
            </a:graphic>
          </wp:inline>
        </w:drawing>
      </w:r>
    </w:p>
    <w:p w14:paraId="025DCA92" w14:textId="6CDDF4EF" w:rsidR="00721312" w:rsidRPr="00112409" w:rsidRDefault="00A46B00" w:rsidP="00A46B00">
      <w:pPr>
        <w:pStyle w:val="Caption"/>
      </w:pPr>
      <w:r w:rsidRPr="00112409">
        <w:rPr>
          <w:b/>
          <w:bCs w:val="0"/>
        </w:rPr>
        <w:t>Figure S1</w:t>
      </w:r>
      <w:r w:rsidRPr="00112409">
        <w:t xml:space="preserve"> </w:t>
      </w:r>
      <w:r w:rsidR="00027A4E" w:rsidRPr="00112409">
        <w:t xml:space="preserve">Raw band reflectance during the season in all environments. For red, green, and blue, color on the chart represents the respective band; silver – NIR, dark red – </w:t>
      </w:r>
      <w:proofErr w:type="gramStart"/>
      <w:r w:rsidR="00027A4E" w:rsidRPr="00112409">
        <w:t>RedEdge</w:t>
      </w:r>
      <w:proofErr w:type="gramEnd"/>
    </w:p>
    <w:p w14:paraId="1ADCE5E3" w14:textId="3159E8DE" w:rsidR="00027A4E" w:rsidRPr="00112409" w:rsidRDefault="00452751" w:rsidP="00452751">
      <w:pPr>
        <w:pStyle w:val="Heading2"/>
      </w:pPr>
      <w:r w:rsidRPr="00112409">
        <w:lastRenderedPageBreak/>
        <w:t>Correlations between the bands and grain yield</w:t>
      </w:r>
    </w:p>
    <w:p w14:paraId="27FCF2FA" w14:textId="77777777" w:rsidR="00D77097" w:rsidRPr="00112409" w:rsidRDefault="00D77097" w:rsidP="00C50DC5">
      <w:pPr>
        <w:keepNext/>
        <w:jc w:val="center"/>
      </w:pPr>
      <w:r w:rsidRPr="00112409">
        <w:rPr>
          <w:noProof/>
        </w:rPr>
        <w:drawing>
          <wp:inline distT="0" distB="0" distL="0" distR="0" wp14:anchorId="2B17CC45" wp14:editId="06ACD3AD">
            <wp:extent cx="6008914" cy="6420897"/>
            <wp:effectExtent l="0" t="0" r="0" b="5715"/>
            <wp:docPr id="1073741828" name="Picture 1073741828" descr="Picture 5"/>
            <wp:cNvGraphicFramePr/>
            <a:graphic xmlns:a="http://schemas.openxmlformats.org/drawingml/2006/main">
              <a:graphicData uri="http://schemas.openxmlformats.org/drawingml/2006/picture">
                <pic:pic xmlns:pic="http://schemas.openxmlformats.org/drawingml/2006/picture">
                  <pic:nvPicPr>
                    <pic:cNvPr id="1073741828" name="Picture 5" descr="Picture 5"/>
                    <pic:cNvPicPr>
                      <a:picLocks noChangeAspect="1"/>
                    </pic:cNvPicPr>
                  </pic:nvPicPr>
                  <pic:blipFill>
                    <a:blip r:embed="rId12"/>
                    <a:stretch>
                      <a:fillRect/>
                    </a:stretch>
                  </pic:blipFill>
                  <pic:spPr>
                    <a:xfrm>
                      <a:off x="0" y="0"/>
                      <a:ext cx="6033399" cy="6447061"/>
                    </a:xfrm>
                    <a:prstGeom prst="rect">
                      <a:avLst/>
                    </a:prstGeom>
                    <a:ln w="12700" cap="flat">
                      <a:noFill/>
                      <a:miter lim="400000"/>
                    </a:ln>
                    <a:effectLst/>
                  </pic:spPr>
                </pic:pic>
              </a:graphicData>
            </a:graphic>
          </wp:inline>
        </w:drawing>
      </w:r>
    </w:p>
    <w:p w14:paraId="0BE5D311" w14:textId="17A6B3FC" w:rsidR="00452751" w:rsidRPr="00112409" w:rsidRDefault="00D77097" w:rsidP="00D77097">
      <w:pPr>
        <w:pStyle w:val="Caption"/>
      </w:pPr>
      <w:r w:rsidRPr="00112409">
        <w:rPr>
          <w:b/>
          <w:bCs w:val="0"/>
        </w:rPr>
        <w:t>Figure S2</w:t>
      </w:r>
      <w:r w:rsidRPr="00112409">
        <w:t xml:space="preserve"> </w:t>
      </w:r>
      <w:r w:rsidR="00FC4148" w:rsidRPr="00112409">
        <w:t xml:space="preserve">Pearson correlation between the camera bands and grain yield for all the flight days. For red, green, and blue, the color on the chart represents the respective band; silver – NIR, dark red – </w:t>
      </w:r>
      <w:proofErr w:type="gramStart"/>
      <w:r w:rsidR="00FC4148" w:rsidRPr="00112409">
        <w:t>RedEdge</w:t>
      </w:r>
      <w:proofErr w:type="gramEnd"/>
    </w:p>
    <w:p w14:paraId="565A4A92" w14:textId="77777777" w:rsidR="0040508D" w:rsidRPr="00112409" w:rsidRDefault="0040508D" w:rsidP="0040508D">
      <w:pPr>
        <w:keepNext/>
      </w:pPr>
      <w:r w:rsidRPr="00112409">
        <w:rPr>
          <w:noProof/>
        </w:rPr>
        <w:lastRenderedPageBreak/>
        <w:drawing>
          <wp:inline distT="0" distB="0" distL="0" distR="0" wp14:anchorId="42A2BB7E" wp14:editId="27674856">
            <wp:extent cx="5848140" cy="5586884"/>
            <wp:effectExtent l="0" t="0" r="0" b="0"/>
            <wp:docPr id="1073741829" name="Picture 1073741829" descr="Picture 9"/>
            <wp:cNvGraphicFramePr/>
            <a:graphic xmlns:a="http://schemas.openxmlformats.org/drawingml/2006/main">
              <a:graphicData uri="http://schemas.openxmlformats.org/drawingml/2006/picture">
                <pic:pic xmlns:pic="http://schemas.openxmlformats.org/drawingml/2006/picture">
                  <pic:nvPicPr>
                    <pic:cNvPr id="1073741829" name="Picture 9" descr="Picture 9"/>
                    <pic:cNvPicPr>
                      <a:picLocks noChangeAspect="1"/>
                    </pic:cNvPicPr>
                  </pic:nvPicPr>
                  <pic:blipFill>
                    <a:blip r:embed="rId13"/>
                    <a:stretch>
                      <a:fillRect/>
                    </a:stretch>
                  </pic:blipFill>
                  <pic:spPr>
                    <a:xfrm>
                      <a:off x="0" y="0"/>
                      <a:ext cx="5869019" cy="5606830"/>
                    </a:xfrm>
                    <a:prstGeom prst="rect">
                      <a:avLst/>
                    </a:prstGeom>
                    <a:ln w="12700" cap="flat">
                      <a:noFill/>
                      <a:miter lim="400000"/>
                    </a:ln>
                    <a:effectLst/>
                  </pic:spPr>
                </pic:pic>
              </a:graphicData>
            </a:graphic>
          </wp:inline>
        </w:drawing>
      </w:r>
    </w:p>
    <w:p w14:paraId="2E833669" w14:textId="3E14678C" w:rsidR="00FC4148" w:rsidRPr="00112409" w:rsidRDefault="0040508D" w:rsidP="0040508D">
      <w:pPr>
        <w:pStyle w:val="Caption"/>
      </w:pPr>
      <w:r w:rsidRPr="00112409">
        <w:rPr>
          <w:b/>
          <w:bCs w:val="0"/>
        </w:rPr>
        <w:t>Figure S3</w:t>
      </w:r>
      <w:r w:rsidRPr="00112409">
        <w:t xml:space="preserve"> </w:t>
      </w:r>
      <w:r w:rsidR="005D51FA" w:rsidRPr="00112409">
        <w:t>Env: Staur 2019, Camera: Micasense. Pearson correlations among the bands at different days and grain yield</w:t>
      </w:r>
    </w:p>
    <w:p w14:paraId="629359A2" w14:textId="77777777" w:rsidR="00B758C7" w:rsidRPr="00112409" w:rsidRDefault="00B758C7" w:rsidP="00B758C7">
      <w:pPr>
        <w:keepNext/>
      </w:pPr>
      <w:r w:rsidRPr="00112409">
        <w:rPr>
          <w:noProof/>
        </w:rPr>
        <w:lastRenderedPageBreak/>
        <w:drawing>
          <wp:inline distT="0" distB="0" distL="0" distR="0" wp14:anchorId="39514E4F" wp14:editId="10B04FD4">
            <wp:extent cx="5898382" cy="5817996"/>
            <wp:effectExtent l="0" t="0" r="0" b="0"/>
            <wp:docPr id="1073741830" name="Picture 1073741830" descr="Picture 10"/>
            <wp:cNvGraphicFramePr/>
            <a:graphic xmlns:a="http://schemas.openxmlformats.org/drawingml/2006/main">
              <a:graphicData uri="http://schemas.openxmlformats.org/drawingml/2006/picture">
                <pic:pic xmlns:pic="http://schemas.openxmlformats.org/drawingml/2006/picture">
                  <pic:nvPicPr>
                    <pic:cNvPr id="1073741830" name="Picture 10" descr="Picture 10"/>
                    <pic:cNvPicPr>
                      <a:picLocks noChangeAspect="1"/>
                    </pic:cNvPicPr>
                  </pic:nvPicPr>
                  <pic:blipFill>
                    <a:blip r:embed="rId14"/>
                    <a:stretch>
                      <a:fillRect/>
                    </a:stretch>
                  </pic:blipFill>
                  <pic:spPr>
                    <a:xfrm>
                      <a:off x="0" y="0"/>
                      <a:ext cx="5916075" cy="5835447"/>
                    </a:xfrm>
                    <a:prstGeom prst="rect">
                      <a:avLst/>
                    </a:prstGeom>
                    <a:ln w="12700" cap="flat">
                      <a:noFill/>
                      <a:miter lim="400000"/>
                    </a:ln>
                    <a:effectLst/>
                  </pic:spPr>
                </pic:pic>
              </a:graphicData>
            </a:graphic>
          </wp:inline>
        </w:drawing>
      </w:r>
    </w:p>
    <w:p w14:paraId="16E68962" w14:textId="6516D922" w:rsidR="00421AA7" w:rsidRPr="00112409" w:rsidRDefault="00B758C7" w:rsidP="00B758C7">
      <w:pPr>
        <w:pStyle w:val="Caption"/>
      </w:pPr>
      <w:r w:rsidRPr="00112409">
        <w:rPr>
          <w:b/>
          <w:bCs w:val="0"/>
        </w:rPr>
        <w:t>Figure S4</w:t>
      </w:r>
      <w:r w:rsidRPr="00112409">
        <w:t xml:space="preserve"> </w:t>
      </w:r>
      <w:r w:rsidR="00650248" w:rsidRPr="00112409">
        <w:t>Env: Vollebekk 2019, Camera: Micasense. Pearson correlations among the bands at different days and grain yield</w:t>
      </w:r>
    </w:p>
    <w:p w14:paraId="09F54FF3" w14:textId="77777777" w:rsidR="004F561C" w:rsidRPr="00112409" w:rsidRDefault="004F561C" w:rsidP="004F561C">
      <w:pPr>
        <w:keepNext/>
      </w:pPr>
      <w:r w:rsidRPr="00112409">
        <w:rPr>
          <w:noProof/>
        </w:rPr>
        <w:lastRenderedPageBreak/>
        <w:drawing>
          <wp:inline distT="0" distB="0" distL="0" distR="0" wp14:anchorId="6DC2AF3D" wp14:editId="60552980">
            <wp:extent cx="5968721" cy="5707464"/>
            <wp:effectExtent l="0" t="0" r="0" b="0"/>
            <wp:docPr id="1073741831" name="Picture 1073741831" descr="Picture 11"/>
            <wp:cNvGraphicFramePr/>
            <a:graphic xmlns:a="http://schemas.openxmlformats.org/drawingml/2006/main">
              <a:graphicData uri="http://schemas.openxmlformats.org/drawingml/2006/picture">
                <pic:pic xmlns:pic="http://schemas.openxmlformats.org/drawingml/2006/picture">
                  <pic:nvPicPr>
                    <pic:cNvPr id="1073741831" name="Picture 11" descr="Picture 11"/>
                    <pic:cNvPicPr>
                      <a:picLocks noChangeAspect="1"/>
                    </pic:cNvPicPr>
                  </pic:nvPicPr>
                  <pic:blipFill>
                    <a:blip r:embed="rId15"/>
                    <a:stretch>
                      <a:fillRect/>
                    </a:stretch>
                  </pic:blipFill>
                  <pic:spPr>
                    <a:xfrm>
                      <a:off x="0" y="0"/>
                      <a:ext cx="5995296" cy="5732875"/>
                    </a:xfrm>
                    <a:prstGeom prst="rect">
                      <a:avLst/>
                    </a:prstGeom>
                    <a:ln w="12700" cap="flat">
                      <a:noFill/>
                      <a:miter lim="400000"/>
                    </a:ln>
                    <a:effectLst/>
                  </pic:spPr>
                </pic:pic>
              </a:graphicData>
            </a:graphic>
          </wp:inline>
        </w:drawing>
      </w:r>
    </w:p>
    <w:p w14:paraId="3FCCC769" w14:textId="23038F56" w:rsidR="00650248" w:rsidRPr="00112409" w:rsidRDefault="004F561C" w:rsidP="004F561C">
      <w:pPr>
        <w:pStyle w:val="Caption"/>
      </w:pPr>
      <w:r w:rsidRPr="00112409">
        <w:rPr>
          <w:b/>
          <w:bCs w:val="0"/>
        </w:rPr>
        <w:t>Figure S5</w:t>
      </w:r>
      <w:r w:rsidRPr="00112409">
        <w:t xml:space="preserve"> </w:t>
      </w:r>
      <w:r w:rsidR="00227E38" w:rsidRPr="00112409">
        <w:t>Env: Vollebekk 2020, Camera: Micasense. Pearson correlations among the bands at different days and grain yield</w:t>
      </w:r>
    </w:p>
    <w:p w14:paraId="02276D67" w14:textId="77777777" w:rsidR="006D36D1" w:rsidRPr="00112409" w:rsidRDefault="006D36D1" w:rsidP="006D36D1">
      <w:pPr>
        <w:keepNext/>
      </w:pPr>
      <w:r w:rsidRPr="00112409">
        <w:rPr>
          <w:noProof/>
        </w:rPr>
        <w:lastRenderedPageBreak/>
        <w:drawing>
          <wp:inline distT="0" distB="0" distL="0" distR="0" wp14:anchorId="2CC88EC7" wp14:editId="48FB1068">
            <wp:extent cx="5978769" cy="6189785"/>
            <wp:effectExtent l="0" t="0" r="0" b="0"/>
            <wp:docPr id="1073741832" name="Picture 1073741832" descr="Picture 13"/>
            <wp:cNvGraphicFramePr/>
            <a:graphic xmlns:a="http://schemas.openxmlformats.org/drawingml/2006/main">
              <a:graphicData uri="http://schemas.openxmlformats.org/drawingml/2006/picture">
                <pic:pic xmlns:pic="http://schemas.openxmlformats.org/drawingml/2006/picture">
                  <pic:nvPicPr>
                    <pic:cNvPr id="1073741832" name="Picture 13" descr="Picture 13"/>
                    <pic:cNvPicPr>
                      <a:picLocks noChangeAspect="1"/>
                    </pic:cNvPicPr>
                  </pic:nvPicPr>
                  <pic:blipFill>
                    <a:blip r:embed="rId16"/>
                    <a:stretch>
                      <a:fillRect/>
                    </a:stretch>
                  </pic:blipFill>
                  <pic:spPr>
                    <a:xfrm>
                      <a:off x="0" y="0"/>
                      <a:ext cx="5999690" cy="6211445"/>
                    </a:xfrm>
                    <a:prstGeom prst="rect">
                      <a:avLst/>
                    </a:prstGeom>
                    <a:ln w="12700" cap="flat">
                      <a:noFill/>
                      <a:miter lim="400000"/>
                    </a:ln>
                    <a:effectLst/>
                  </pic:spPr>
                </pic:pic>
              </a:graphicData>
            </a:graphic>
          </wp:inline>
        </w:drawing>
      </w:r>
    </w:p>
    <w:p w14:paraId="13168F71" w14:textId="0D05C1B9" w:rsidR="00227E38" w:rsidRPr="00112409" w:rsidRDefault="006D36D1" w:rsidP="006D36D1">
      <w:pPr>
        <w:pStyle w:val="Caption"/>
      </w:pPr>
      <w:r w:rsidRPr="00112409">
        <w:rPr>
          <w:b/>
          <w:bCs w:val="0"/>
        </w:rPr>
        <w:t>Figure S6</w:t>
      </w:r>
      <w:r w:rsidRPr="00112409">
        <w:t xml:space="preserve"> </w:t>
      </w:r>
      <w:r w:rsidR="00103988" w:rsidRPr="00112409">
        <w:t>Env: Vollebekk 2021, Camera: Micasense. Pearson correlations among the bands at different days and grain yield</w:t>
      </w:r>
    </w:p>
    <w:p w14:paraId="00E8D4E1" w14:textId="77777777" w:rsidR="008204BA" w:rsidRPr="00112409" w:rsidRDefault="008204BA" w:rsidP="008204BA">
      <w:pPr>
        <w:keepNext/>
      </w:pPr>
      <w:r w:rsidRPr="00112409">
        <w:rPr>
          <w:noProof/>
        </w:rPr>
        <w:lastRenderedPageBreak/>
        <w:drawing>
          <wp:inline distT="0" distB="0" distL="0" distR="0" wp14:anchorId="3301F6BF" wp14:editId="519F0D59">
            <wp:extent cx="6059156" cy="6139543"/>
            <wp:effectExtent l="0" t="0" r="0" b="0"/>
            <wp:docPr id="1073741833" name="Picture 1073741833" descr="Picture 14"/>
            <wp:cNvGraphicFramePr/>
            <a:graphic xmlns:a="http://schemas.openxmlformats.org/drawingml/2006/main">
              <a:graphicData uri="http://schemas.openxmlformats.org/drawingml/2006/picture">
                <pic:pic xmlns:pic="http://schemas.openxmlformats.org/drawingml/2006/picture">
                  <pic:nvPicPr>
                    <pic:cNvPr id="1073741833" name="Picture 14" descr="Picture 14"/>
                    <pic:cNvPicPr>
                      <a:picLocks noChangeAspect="1"/>
                    </pic:cNvPicPr>
                  </pic:nvPicPr>
                  <pic:blipFill>
                    <a:blip r:embed="rId17"/>
                    <a:stretch>
                      <a:fillRect/>
                    </a:stretch>
                  </pic:blipFill>
                  <pic:spPr>
                    <a:xfrm>
                      <a:off x="0" y="0"/>
                      <a:ext cx="6081094" cy="6161772"/>
                    </a:xfrm>
                    <a:prstGeom prst="rect">
                      <a:avLst/>
                    </a:prstGeom>
                    <a:ln w="12700" cap="flat">
                      <a:noFill/>
                      <a:miter lim="400000"/>
                    </a:ln>
                    <a:effectLst/>
                  </pic:spPr>
                </pic:pic>
              </a:graphicData>
            </a:graphic>
          </wp:inline>
        </w:drawing>
      </w:r>
    </w:p>
    <w:p w14:paraId="6F13E4F0" w14:textId="17E569B5" w:rsidR="00103988" w:rsidRPr="00112409" w:rsidRDefault="008204BA" w:rsidP="008204BA">
      <w:pPr>
        <w:pStyle w:val="Caption"/>
      </w:pPr>
      <w:r w:rsidRPr="00112409">
        <w:rPr>
          <w:b/>
          <w:bCs w:val="0"/>
        </w:rPr>
        <w:t>Figure S7</w:t>
      </w:r>
      <w:r w:rsidRPr="00112409">
        <w:t xml:space="preserve"> </w:t>
      </w:r>
      <w:r w:rsidR="00762BD6" w:rsidRPr="00112409">
        <w:t>Env: Vollebekk 2021, Camera: P4M. Pearson correlations among the bands at different days and grain yield</w:t>
      </w:r>
    </w:p>
    <w:sectPr w:rsidR="00103988" w:rsidRPr="00112409" w:rsidSect="00C50DC5">
      <w:footerReference w:type="even" r:id="rId18"/>
      <w:footerReference w:type="default" r:id="rId19"/>
      <w:pgSz w:w="11900" w:h="16840"/>
      <w:pgMar w:top="1134" w:right="1134" w:bottom="1134" w:left="1134" w:header="510" w:footer="510" w:gutter="170"/>
      <w:lnNumType w:countBy="1"/>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6D6AD" w14:textId="77777777" w:rsidR="001A035E" w:rsidRDefault="001A035E">
      <w:r>
        <w:separator/>
      </w:r>
    </w:p>
    <w:p w14:paraId="63B65628" w14:textId="77777777" w:rsidR="001A035E" w:rsidRDefault="001A035E"/>
    <w:p w14:paraId="651415EB" w14:textId="77777777" w:rsidR="001A035E" w:rsidRDefault="001A035E"/>
    <w:p w14:paraId="4E99CCF5" w14:textId="77777777" w:rsidR="001A035E" w:rsidRDefault="001A035E"/>
  </w:endnote>
  <w:endnote w:type="continuationSeparator" w:id="0">
    <w:p w14:paraId="518F023D" w14:textId="77777777" w:rsidR="001A035E" w:rsidRDefault="001A035E">
      <w:r>
        <w:continuationSeparator/>
      </w:r>
    </w:p>
    <w:p w14:paraId="7655BF0A" w14:textId="77777777" w:rsidR="001A035E" w:rsidRDefault="001A035E"/>
    <w:p w14:paraId="528EDD84" w14:textId="77777777" w:rsidR="001A035E" w:rsidRDefault="001A035E"/>
    <w:p w14:paraId="4DD4E698" w14:textId="77777777" w:rsidR="001A035E" w:rsidRDefault="001A035E"/>
  </w:endnote>
  <w:endnote w:type="continuationNotice" w:id="1">
    <w:p w14:paraId="28669B63" w14:textId="77777777" w:rsidR="001A035E" w:rsidRDefault="001A03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altName w:val="Sylfaen"/>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7055175"/>
      <w:docPartObj>
        <w:docPartGallery w:val="Page Numbers (Bottom of Page)"/>
        <w:docPartUnique/>
      </w:docPartObj>
    </w:sdtPr>
    <w:sdtContent>
      <w:p w14:paraId="723FD575" w14:textId="3C671B28" w:rsidR="00C50DC5" w:rsidRDefault="00C50DC5" w:rsidP="004C07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B7C651" w14:textId="77777777" w:rsidR="00C50DC5" w:rsidRDefault="00C50D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0828250"/>
      <w:docPartObj>
        <w:docPartGallery w:val="Page Numbers (Bottom of Page)"/>
        <w:docPartUnique/>
      </w:docPartObj>
    </w:sdtPr>
    <w:sdtContent>
      <w:p w14:paraId="7694F562" w14:textId="0A6214B4" w:rsidR="00C50DC5" w:rsidRDefault="00C50DC5" w:rsidP="004C07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21111981" w14:textId="77777777" w:rsidR="00831009" w:rsidRDefault="00831009" w:rsidP="008E2615">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298B9" w14:textId="77777777" w:rsidR="001A035E" w:rsidRDefault="001A035E">
      <w:r>
        <w:separator/>
      </w:r>
    </w:p>
    <w:p w14:paraId="5E29F0BC" w14:textId="77777777" w:rsidR="001A035E" w:rsidRDefault="001A035E"/>
    <w:p w14:paraId="0A053BFC" w14:textId="77777777" w:rsidR="001A035E" w:rsidRDefault="001A035E"/>
    <w:p w14:paraId="05DAE44E" w14:textId="77777777" w:rsidR="001A035E" w:rsidRDefault="001A035E"/>
  </w:footnote>
  <w:footnote w:type="continuationSeparator" w:id="0">
    <w:p w14:paraId="5EAC1219" w14:textId="77777777" w:rsidR="001A035E" w:rsidRDefault="001A035E">
      <w:r>
        <w:continuationSeparator/>
      </w:r>
    </w:p>
    <w:p w14:paraId="0A3F350F" w14:textId="77777777" w:rsidR="001A035E" w:rsidRDefault="001A035E"/>
    <w:p w14:paraId="35E32A1C" w14:textId="77777777" w:rsidR="001A035E" w:rsidRDefault="001A035E"/>
    <w:p w14:paraId="66D34DB6" w14:textId="77777777" w:rsidR="001A035E" w:rsidRDefault="001A035E"/>
  </w:footnote>
  <w:footnote w:type="continuationNotice" w:id="1">
    <w:p w14:paraId="1C785CAB" w14:textId="77777777" w:rsidR="001A035E" w:rsidRDefault="001A035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AAF46A"/>
    <w:lvl w:ilvl="0">
      <w:start w:val="1"/>
      <w:numFmt w:val="decimal"/>
      <w:pStyle w:val="ListNumber5"/>
      <w:lvlText w:val="%1."/>
      <w:lvlJc w:val="left"/>
      <w:pPr>
        <w:ind w:left="2041" w:hanging="397"/>
      </w:pPr>
      <w:rPr>
        <w:rFonts w:hint="default"/>
      </w:rPr>
    </w:lvl>
  </w:abstractNum>
  <w:abstractNum w:abstractNumId="1" w15:restartNumberingAfterBreak="0">
    <w:nsid w:val="FFFFFF7D"/>
    <w:multiLevelType w:val="singleLevel"/>
    <w:tmpl w:val="39C0E4AE"/>
    <w:lvl w:ilvl="0">
      <w:start w:val="1"/>
      <w:numFmt w:val="decimal"/>
      <w:pStyle w:val="ListNumber4"/>
      <w:lvlText w:val="%1."/>
      <w:lvlJc w:val="left"/>
      <w:pPr>
        <w:ind w:left="1644" w:hanging="453"/>
      </w:pPr>
      <w:rPr>
        <w:rFonts w:hint="default"/>
      </w:rPr>
    </w:lvl>
  </w:abstractNum>
  <w:abstractNum w:abstractNumId="2" w15:restartNumberingAfterBreak="0">
    <w:nsid w:val="FFFFFF7E"/>
    <w:multiLevelType w:val="singleLevel"/>
    <w:tmpl w:val="C1CC5BE2"/>
    <w:lvl w:ilvl="0">
      <w:start w:val="1"/>
      <w:numFmt w:val="decimal"/>
      <w:pStyle w:val="ListNumber3"/>
      <w:lvlText w:val="%1."/>
      <w:lvlJc w:val="left"/>
      <w:pPr>
        <w:ind w:left="1191" w:hanging="397"/>
      </w:pPr>
      <w:rPr>
        <w:rFonts w:hint="default"/>
      </w:rPr>
    </w:lvl>
  </w:abstractNum>
  <w:abstractNum w:abstractNumId="3" w15:restartNumberingAfterBreak="0">
    <w:nsid w:val="FFFFFF7F"/>
    <w:multiLevelType w:val="singleLevel"/>
    <w:tmpl w:val="6450C6D0"/>
    <w:lvl w:ilvl="0">
      <w:start w:val="1"/>
      <w:numFmt w:val="decimal"/>
      <w:pStyle w:val="ListNumber2"/>
      <w:lvlText w:val="%1."/>
      <w:lvlJc w:val="left"/>
      <w:pPr>
        <w:ind w:left="794" w:hanging="397"/>
      </w:pPr>
      <w:rPr>
        <w:rFonts w:hint="default"/>
      </w:rPr>
    </w:lvl>
  </w:abstractNum>
  <w:abstractNum w:abstractNumId="4" w15:restartNumberingAfterBreak="0">
    <w:nsid w:val="FFFFFF80"/>
    <w:multiLevelType w:val="singleLevel"/>
    <w:tmpl w:val="B1885B8A"/>
    <w:lvl w:ilvl="0">
      <w:start w:val="1"/>
      <w:numFmt w:val="bullet"/>
      <w:pStyle w:val="ListBullet5"/>
      <w:lvlText w:val="•"/>
      <w:lvlJc w:val="left"/>
      <w:pPr>
        <w:ind w:left="2041" w:hanging="397"/>
      </w:pPr>
      <w:rPr>
        <w:rFonts w:ascii="Cambria" w:hAnsi="Cambria" w:hint="default"/>
      </w:rPr>
    </w:lvl>
  </w:abstractNum>
  <w:abstractNum w:abstractNumId="5" w15:restartNumberingAfterBreak="0">
    <w:nsid w:val="FFFFFF81"/>
    <w:multiLevelType w:val="singleLevel"/>
    <w:tmpl w:val="5210C814"/>
    <w:lvl w:ilvl="0">
      <w:start w:val="1"/>
      <w:numFmt w:val="bullet"/>
      <w:pStyle w:val="ListBullet4"/>
      <w:lvlText w:val="•"/>
      <w:lvlJc w:val="left"/>
      <w:pPr>
        <w:ind w:left="1644" w:hanging="453"/>
      </w:pPr>
      <w:rPr>
        <w:rFonts w:ascii="Cambria" w:hAnsi="Cambria" w:hint="default"/>
      </w:rPr>
    </w:lvl>
  </w:abstractNum>
  <w:abstractNum w:abstractNumId="6" w15:restartNumberingAfterBreak="0">
    <w:nsid w:val="FFFFFF82"/>
    <w:multiLevelType w:val="singleLevel"/>
    <w:tmpl w:val="AC3ACE02"/>
    <w:lvl w:ilvl="0">
      <w:start w:val="1"/>
      <w:numFmt w:val="bullet"/>
      <w:pStyle w:val="ListBullet3"/>
      <w:lvlText w:val="•"/>
      <w:lvlJc w:val="left"/>
      <w:pPr>
        <w:ind w:left="1361" w:hanging="454"/>
      </w:pPr>
      <w:rPr>
        <w:rFonts w:ascii="Cambria" w:hAnsi="Cambria" w:hint="default"/>
      </w:rPr>
    </w:lvl>
  </w:abstractNum>
  <w:abstractNum w:abstractNumId="7" w15:restartNumberingAfterBreak="0">
    <w:nsid w:val="FFFFFF83"/>
    <w:multiLevelType w:val="singleLevel"/>
    <w:tmpl w:val="2330715A"/>
    <w:lvl w:ilvl="0">
      <w:start w:val="1"/>
      <w:numFmt w:val="bullet"/>
      <w:pStyle w:val="ListBullet2"/>
      <w:lvlText w:val="•"/>
      <w:lvlJc w:val="left"/>
      <w:pPr>
        <w:ind w:left="794" w:hanging="340"/>
      </w:pPr>
      <w:rPr>
        <w:rFonts w:ascii="Cambria" w:hAnsi="Cambria" w:hint="default"/>
      </w:rPr>
    </w:lvl>
  </w:abstractNum>
  <w:abstractNum w:abstractNumId="8" w15:restartNumberingAfterBreak="0">
    <w:nsid w:val="FFFFFF88"/>
    <w:multiLevelType w:val="singleLevel"/>
    <w:tmpl w:val="8D94E338"/>
    <w:lvl w:ilvl="0">
      <w:start w:val="1"/>
      <w:numFmt w:val="decimal"/>
      <w:pStyle w:val="ListNumber"/>
      <w:lvlText w:val="%1."/>
      <w:lvlJc w:val="left"/>
      <w:pPr>
        <w:ind w:left="397" w:hanging="397"/>
      </w:pPr>
      <w:rPr>
        <w:rFonts w:hint="default"/>
      </w:rPr>
    </w:lvl>
  </w:abstractNum>
  <w:abstractNum w:abstractNumId="9" w15:restartNumberingAfterBreak="0">
    <w:nsid w:val="FFFFFF89"/>
    <w:multiLevelType w:val="singleLevel"/>
    <w:tmpl w:val="90CEAC7E"/>
    <w:lvl w:ilvl="0">
      <w:start w:val="1"/>
      <w:numFmt w:val="bullet"/>
      <w:pStyle w:val="ListBullet"/>
      <w:lvlText w:val="•"/>
      <w:lvlJc w:val="left"/>
      <w:pPr>
        <w:ind w:left="397" w:hanging="397"/>
      </w:pPr>
      <w:rPr>
        <w:rFonts w:ascii="Cambria" w:hAnsi="Cambria" w:hint="default"/>
      </w:rPr>
    </w:lvl>
  </w:abstractNum>
  <w:abstractNum w:abstractNumId="10" w15:restartNumberingAfterBreak="0">
    <w:nsid w:val="0AFD5080"/>
    <w:multiLevelType w:val="hybridMultilevel"/>
    <w:tmpl w:val="FF5E5BA6"/>
    <w:lvl w:ilvl="0" w:tplc="04140017">
      <w:start w:val="1"/>
      <w:numFmt w:val="lowerLetter"/>
      <w:lvlText w:val="%1)"/>
      <w:lvlJc w:val="left"/>
      <w:pPr>
        <w:tabs>
          <w:tab w:val="num" w:pos="454"/>
        </w:tabs>
        <w:ind w:left="454" w:hanging="45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0B5F7154"/>
    <w:multiLevelType w:val="multilevel"/>
    <w:tmpl w:val="626A0194"/>
    <w:name w:val="oList"/>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F7237CD"/>
    <w:multiLevelType w:val="hybridMultilevel"/>
    <w:tmpl w:val="0CA0943E"/>
    <w:lvl w:ilvl="0" w:tplc="FF6EED44">
      <w:start w:val="1"/>
      <w:numFmt w:val="decimal"/>
      <w:lvlText w:val="%1."/>
      <w:lvlJc w:val="left"/>
      <w:pPr>
        <w:tabs>
          <w:tab w:val="num" w:pos="454"/>
        </w:tabs>
        <w:ind w:left="454" w:hanging="45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7817029"/>
    <w:multiLevelType w:val="hybridMultilevel"/>
    <w:tmpl w:val="6FA44D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AFE2F9A"/>
    <w:multiLevelType w:val="hybridMultilevel"/>
    <w:tmpl w:val="A8229C76"/>
    <w:lvl w:ilvl="0" w:tplc="04140011">
      <w:start w:val="1"/>
      <w:numFmt w:val="decimal"/>
      <w:lvlText w:val="%1)"/>
      <w:lvlJc w:val="left"/>
      <w:pPr>
        <w:tabs>
          <w:tab w:val="num" w:pos="454"/>
        </w:tabs>
        <w:ind w:left="454" w:hanging="45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BE42E6D"/>
    <w:multiLevelType w:val="hybridMultilevel"/>
    <w:tmpl w:val="AF98ED48"/>
    <w:lvl w:ilvl="0" w:tplc="98DCA24C">
      <w:start w:val="7"/>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0115E3"/>
    <w:multiLevelType w:val="multilevel"/>
    <w:tmpl w:val="DA64CE62"/>
    <w:lvl w:ilvl="0">
      <w:start w:val="1"/>
      <w:numFmt w:val="decimal"/>
      <w:pStyle w:val="Listenum1"/>
      <w:lvlText w:val="%1."/>
      <w:lvlJc w:val="left"/>
      <w:pPr>
        <w:tabs>
          <w:tab w:val="num" w:pos="397"/>
        </w:tabs>
        <w:ind w:left="397" w:hanging="397"/>
      </w:pPr>
      <w:rPr>
        <w:rFonts w:hint="default"/>
      </w:rPr>
    </w:lvl>
    <w:lvl w:ilvl="1">
      <w:start w:val="1"/>
      <w:numFmt w:val="decimal"/>
      <w:pStyle w:val="Listenum2"/>
      <w:lvlText w:val="%2."/>
      <w:lvlJc w:val="left"/>
      <w:pPr>
        <w:tabs>
          <w:tab w:val="num" w:pos="1191"/>
        </w:tabs>
        <w:ind w:left="794" w:hanging="397"/>
      </w:pPr>
      <w:rPr>
        <w:rFonts w:hint="default"/>
      </w:rPr>
    </w:lvl>
    <w:lvl w:ilvl="2">
      <w:start w:val="1"/>
      <w:numFmt w:val="decimal"/>
      <w:pStyle w:val="Listenum3"/>
      <w:lvlText w:val="%3."/>
      <w:lvlJc w:val="left"/>
      <w:pPr>
        <w:tabs>
          <w:tab w:val="num" w:pos="1588"/>
        </w:tabs>
        <w:ind w:left="1191" w:hanging="397"/>
      </w:pPr>
      <w:rPr>
        <w:rFonts w:hint="default"/>
      </w:rPr>
    </w:lvl>
    <w:lvl w:ilvl="3">
      <w:start w:val="1"/>
      <w:numFmt w:val="decimal"/>
      <w:pStyle w:val="Listenum4"/>
      <w:lvlText w:val="%4."/>
      <w:lvlJc w:val="left"/>
      <w:pPr>
        <w:tabs>
          <w:tab w:val="num" w:pos="1985"/>
        </w:tabs>
        <w:ind w:left="1588" w:hanging="397"/>
      </w:pPr>
      <w:rPr>
        <w:rFonts w:hint="default"/>
      </w:rPr>
    </w:lvl>
    <w:lvl w:ilvl="4">
      <w:start w:val="1"/>
      <w:numFmt w:val="decimal"/>
      <w:pStyle w:val="Listenum5"/>
      <w:lvlText w:val="%5."/>
      <w:lvlJc w:val="left"/>
      <w:pPr>
        <w:tabs>
          <w:tab w:val="num" w:pos="2382"/>
        </w:tabs>
        <w:ind w:left="1985" w:hanging="397"/>
      </w:pPr>
      <w:rPr>
        <w:rFonts w:hint="default"/>
      </w:rPr>
    </w:lvl>
    <w:lvl w:ilvl="5">
      <w:start w:val="1"/>
      <w:numFmt w:val="decimal"/>
      <w:pStyle w:val="Listenum6"/>
      <w:lvlText w:val="%6."/>
      <w:lvlJc w:val="left"/>
      <w:pPr>
        <w:tabs>
          <w:tab w:val="num" w:pos="2779"/>
        </w:tabs>
        <w:ind w:left="2382" w:hanging="397"/>
      </w:pPr>
      <w:rPr>
        <w:rFonts w:hint="default"/>
      </w:rPr>
    </w:lvl>
    <w:lvl w:ilvl="6">
      <w:start w:val="1"/>
      <w:numFmt w:val="decimal"/>
      <w:pStyle w:val="Listenum7"/>
      <w:lvlText w:val="%7."/>
      <w:lvlJc w:val="left"/>
      <w:pPr>
        <w:tabs>
          <w:tab w:val="num" w:pos="3176"/>
        </w:tabs>
        <w:ind w:left="2779" w:hanging="397"/>
      </w:pPr>
      <w:rPr>
        <w:rFonts w:hint="default"/>
      </w:rPr>
    </w:lvl>
    <w:lvl w:ilvl="7">
      <w:start w:val="1"/>
      <w:numFmt w:val="decimal"/>
      <w:pStyle w:val="Listenum8"/>
      <w:lvlText w:val="%8."/>
      <w:lvlJc w:val="left"/>
      <w:pPr>
        <w:tabs>
          <w:tab w:val="num" w:pos="3573"/>
        </w:tabs>
        <w:ind w:left="3176" w:hanging="397"/>
      </w:pPr>
      <w:rPr>
        <w:rFonts w:hint="default"/>
      </w:rPr>
    </w:lvl>
    <w:lvl w:ilvl="8">
      <w:start w:val="1"/>
      <w:numFmt w:val="decimal"/>
      <w:pStyle w:val="Listenum9"/>
      <w:lvlText w:val="%9."/>
      <w:lvlJc w:val="left"/>
      <w:pPr>
        <w:tabs>
          <w:tab w:val="num" w:pos="3970"/>
        </w:tabs>
        <w:ind w:left="3573" w:hanging="397"/>
      </w:pPr>
      <w:rPr>
        <w:rFonts w:hint="default"/>
      </w:rPr>
    </w:lvl>
  </w:abstractNum>
  <w:abstractNum w:abstractNumId="17" w15:restartNumberingAfterBreak="0">
    <w:nsid w:val="230229DA"/>
    <w:multiLevelType w:val="multilevel"/>
    <w:tmpl w:val="B1D47FFC"/>
    <w:styleLink w:val="CurrentList3"/>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spacing w:val="-10"/>
      </w:rPr>
    </w:lvl>
    <w:lvl w:ilvl="4">
      <w:start w:val="1"/>
      <w:numFmt w:val="decimal"/>
      <w:lvlText w:val="%1.%2.%3.%4.%5"/>
      <w:lvlJc w:val="left"/>
      <w:pPr>
        <w:tabs>
          <w:tab w:val="num" w:pos="1191"/>
        </w:tabs>
        <w:ind w:left="1191" w:hanging="1191"/>
      </w:pPr>
      <w:rPr>
        <w:rFonts w:hint="default"/>
        <w:spacing w:val="-8"/>
        <w:sz w:val="20"/>
      </w:rPr>
    </w:lvl>
    <w:lvl w:ilvl="5">
      <w:start w:val="1"/>
      <w:numFmt w:val="decimal"/>
      <w:lvlText w:val="%1.%2.%3.%4.%5.%6"/>
      <w:lvlJc w:val="left"/>
      <w:pPr>
        <w:tabs>
          <w:tab w:val="num" w:pos="1191"/>
        </w:tabs>
        <w:ind w:left="1191" w:hanging="1191"/>
      </w:pPr>
      <w:rPr>
        <w:rFonts w:hint="default"/>
        <w:spacing w:val="-8"/>
        <w:sz w:val="19"/>
      </w:rPr>
    </w:lvl>
    <w:lvl w:ilvl="6">
      <w:start w:val="1"/>
      <w:numFmt w:val="decimal"/>
      <w:lvlText w:val="%1.%2.%3.%4.%5.%6.%7"/>
      <w:lvlJc w:val="left"/>
      <w:pPr>
        <w:tabs>
          <w:tab w:val="num" w:pos="1361"/>
        </w:tabs>
        <w:ind w:left="1361" w:hanging="1361"/>
      </w:pPr>
      <w:rPr>
        <w:rFonts w:hint="default"/>
        <w:spacing w:val="-4"/>
        <w:sz w:val="20"/>
      </w:rPr>
    </w:lvl>
    <w:lvl w:ilvl="7">
      <w:start w:val="1"/>
      <w:numFmt w:val="decimal"/>
      <w:lvlText w:val="%1.%2.%3.%4.%5.%6.%7.%8"/>
      <w:lvlJc w:val="left"/>
      <w:pPr>
        <w:ind w:left="1361" w:hanging="1361"/>
      </w:pPr>
      <w:rPr>
        <w:rFonts w:hint="default"/>
        <w:spacing w:val="-8"/>
        <w:sz w:val="19"/>
      </w:rPr>
    </w:lvl>
    <w:lvl w:ilvl="8">
      <w:start w:val="1"/>
      <w:numFmt w:val="decimal"/>
      <w:lvlText w:val="%1.%2.%3.%4.%5.%6.%7.%8.%9"/>
      <w:lvlJc w:val="left"/>
      <w:pPr>
        <w:tabs>
          <w:tab w:val="num" w:pos="794"/>
        </w:tabs>
        <w:ind w:left="794" w:hanging="794"/>
      </w:pPr>
      <w:rPr>
        <w:rFonts w:hint="default"/>
        <w:spacing w:val="-16"/>
        <w:sz w:val="19"/>
      </w:rPr>
    </w:lvl>
  </w:abstractNum>
  <w:abstractNum w:abstractNumId="18" w15:restartNumberingAfterBreak="0">
    <w:nsid w:val="29055863"/>
    <w:multiLevelType w:val="hybridMultilevel"/>
    <w:tmpl w:val="444682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93B76CC"/>
    <w:multiLevelType w:val="multilevel"/>
    <w:tmpl w:val="04140023"/>
    <w:styleLink w:val="ArticleSection"/>
    <w:lvl w:ilvl="0">
      <w:start w:val="1"/>
      <w:numFmt w:val="upperRoman"/>
      <w:lvlText w:val="Artikkel %1."/>
      <w:lvlJc w:val="left"/>
      <w:pPr>
        <w:ind w:left="0" w:firstLine="0"/>
      </w:pPr>
      <w:rPr>
        <w:rFonts w:asciiTheme="minorHAnsi" w:hAnsiTheme="minorHAnsi" w:cstheme="minorHAnsi"/>
        <w:color w:val="auto"/>
      </w:r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2A35790F"/>
    <w:multiLevelType w:val="hybridMultilevel"/>
    <w:tmpl w:val="EC5ACD14"/>
    <w:lvl w:ilvl="0" w:tplc="C62891BA">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1" w15:restartNumberingAfterBreak="0">
    <w:nsid w:val="2B132D8B"/>
    <w:multiLevelType w:val="multilevel"/>
    <w:tmpl w:val="B1D47FFC"/>
    <w:lvl w:ilvl="0">
      <w:start w:val="1"/>
      <w:numFmt w:val="decimal"/>
      <w:pStyle w:val="Heading1"/>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spacing w:val="-10"/>
      </w:rPr>
    </w:lvl>
    <w:lvl w:ilvl="4">
      <w:start w:val="1"/>
      <w:numFmt w:val="decimal"/>
      <w:lvlText w:val="%1.%2.%3.%4.%5"/>
      <w:lvlJc w:val="left"/>
      <w:pPr>
        <w:tabs>
          <w:tab w:val="num" w:pos="1191"/>
        </w:tabs>
        <w:ind w:left="1191" w:hanging="1191"/>
      </w:pPr>
      <w:rPr>
        <w:rFonts w:hint="default"/>
        <w:spacing w:val="-8"/>
        <w:sz w:val="20"/>
      </w:rPr>
    </w:lvl>
    <w:lvl w:ilvl="5">
      <w:start w:val="1"/>
      <w:numFmt w:val="decimal"/>
      <w:lvlText w:val="%1.%2.%3.%4.%5.%6"/>
      <w:lvlJc w:val="left"/>
      <w:pPr>
        <w:tabs>
          <w:tab w:val="num" w:pos="1191"/>
        </w:tabs>
        <w:ind w:left="1191" w:hanging="1191"/>
      </w:pPr>
      <w:rPr>
        <w:rFonts w:hint="default"/>
        <w:spacing w:val="-8"/>
        <w:sz w:val="19"/>
      </w:rPr>
    </w:lvl>
    <w:lvl w:ilvl="6">
      <w:start w:val="1"/>
      <w:numFmt w:val="decimal"/>
      <w:lvlText w:val="%1.%2.%3.%4.%5.%6.%7"/>
      <w:lvlJc w:val="left"/>
      <w:pPr>
        <w:tabs>
          <w:tab w:val="num" w:pos="1361"/>
        </w:tabs>
        <w:ind w:left="1361" w:hanging="1361"/>
      </w:pPr>
      <w:rPr>
        <w:rFonts w:hint="default"/>
        <w:spacing w:val="-4"/>
        <w:sz w:val="20"/>
      </w:rPr>
    </w:lvl>
    <w:lvl w:ilvl="7">
      <w:start w:val="1"/>
      <w:numFmt w:val="decimal"/>
      <w:lvlText w:val="%1.%2.%3.%4.%5.%6.%7.%8"/>
      <w:lvlJc w:val="left"/>
      <w:pPr>
        <w:ind w:left="1361" w:hanging="1361"/>
      </w:pPr>
      <w:rPr>
        <w:rFonts w:hint="default"/>
        <w:spacing w:val="-8"/>
        <w:sz w:val="19"/>
      </w:rPr>
    </w:lvl>
    <w:lvl w:ilvl="8">
      <w:start w:val="1"/>
      <w:numFmt w:val="decimal"/>
      <w:lvlText w:val="%1.%2.%3.%4.%5.%6.%7.%8.%9"/>
      <w:lvlJc w:val="left"/>
      <w:pPr>
        <w:tabs>
          <w:tab w:val="num" w:pos="794"/>
        </w:tabs>
        <w:ind w:left="794" w:hanging="794"/>
      </w:pPr>
      <w:rPr>
        <w:rFonts w:hint="default"/>
        <w:spacing w:val="-16"/>
        <w:sz w:val="19"/>
      </w:rPr>
    </w:lvl>
  </w:abstractNum>
  <w:abstractNum w:abstractNumId="22" w15:restartNumberingAfterBreak="0">
    <w:nsid w:val="2D6E21A7"/>
    <w:multiLevelType w:val="multilevel"/>
    <w:tmpl w:val="0414001D"/>
    <w:styleLink w:val="1ai"/>
    <w:lvl w:ilvl="0">
      <w:start w:val="1"/>
      <w:numFmt w:val="decimal"/>
      <w:lvlText w:val="%1)"/>
      <w:lvlJc w:val="left"/>
      <w:pPr>
        <w:ind w:left="360" w:hanging="360"/>
      </w:pPr>
      <w:rPr>
        <w:rFonts w:asciiTheme="minorHAnsi" w:hAnsiTheme="minorHAnsi" w:cstheme="minorHAnsi"/>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13F0CC9"/>
    <w:multiLevelType w:val="hybridMultilevel"/>
    <w:tmpl w:val="B5D2E9BE"/>
    <w:lvl w:ilvl="0" w:tplc="782A686E">
      <w:start w:val="1"/>
      <w:numFmt w:val="upperRoman"/>
      <w:lvlText w:val="%1."/>
      <w:lvlJc w:val="left"/>
      <w:pPr>
        <w:ind w:left="1080" w:hanging="72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A41F61"/>
    <w:multiLevelType w:val="multilevel"/>
    <w:tmpl w:val="12C8FB0A"/>
    <w:lvl w:ilvl="0">
      <w:start w:val="1"/>
      <w:numFmt w:val="upperLetter"/>
      <w:pStyle w:val="Listealfastor1"/>
      <w:lvlText w:val="(%1)"/>
      <w:lvlJc w:val="left"/>
      <w:pPr>
        <w:tabs>
          <w:tab w:val="num" w:pos="397"/>
        </w:tabs>
        <w:ind w:left="397" w:hanging="397"/>
      </w:pPr>
      <w:rPr>
        <w:rFonts w:hint="default"/>
      </w:rPr>
    </w:lvl>
    <w:lvl w:ilvl="1">
      <w:start w:val="1"/>
      <w:numFmt w:val="upperLetter"/>
      <w:pStyle w:val="Listealfastor2"/>
      <w:lvlText w:val="(%2)"/>
      <w:lvlJc w:val="left"/>
      <w:pPr>
        <w:tabs>
          <w:tab w:val="num" w:pos="1191"/>
        </w:tabs>
        <w:ind w:left="794" w:hanging="397"/>
      </w:pPr>
      <w:rPr>
        <w:rFonts w:hint="default"/>
      </w:rPr>
    </w:lvl>
    <w:lvl w:ilvl="2">
      <w:start w:val="1"/>
      <w:numFmt w:val="upperLetter"/>
      <w:pStyle w:val="Listealfastor3"/>
      <w:lvlText w:val="(%3)"/>
      <w:lvlJc w:val="left"/>
      <w:pPr>
        <w:tabs>
          <w:tab w:val="num" w:pos="1588"/>
        </w:tabs>
        <w:ind w:left="1191" w:hanging="397"/>
      </w:pPr>
      <w:rPr>
        <w:rFonts w:hint="default"/>
        <w:lang w:val="nb-NO"/>
      </w:rPr>
    </w:lvl>
    <w:lvl w:ilvl="3">
      <w:start w:val="1"/>
      <w:numFmt w:val="upperLetter"/>
      <w:pStyle w:val="Listealfastor4"/>
      <w:lvlText w:val="(%4)"/>
      <w:lvlJc w:val="left"/>
      <w:pPr>
        <w:tabs>
          <w:tab w:val="num" w:pos="1985"/>
        </w:tabs>
        <w:ind w:left="1588" w:hanging="397"/>
      </w:pPr>
      <w:rPr>
        <w:rFonts w:hint="default"/>
      </w:rPr>
    </w:lvl>
    <w:lvl w:ilvl="4">
      <w:start w:val="1"/>
      <w:numFmt w:val="upperLetter"/>
      <w:pStyle w:val="Listealfastor5"/>
      <w:lvlText w:val="(%5)"/>
      <w:lvlJc w:val="left"/>
      <w:pPr>
        <w:tabs>
          <w:tab w:val="num" w:pos="2382"/>
        </w:tabs>
        <w:ind w:left="1985" w:hanging="397"/>
      </w:pPr>
      <w:rPr>
        <w:rFonts w:hint="default"/>
      </w:rPr>
    </w:lvl>
    <w:lvl w:ilvl="5">
      <w:start w:val="1"/>
      <w:numFmt w:val="upperLetter"/>
      <w:pStyle w:val="Listealfastor6"/>
      <w:lvlText w:val="(%6)"/>
      <w:lvlJc w:val="left"/>
      <w:pPr>
        <w:tabs>
          <w:tab w:val="num" w:pos="2779"/>
        </w:tabs>
        <w:ind w:left="2382" w:hanging="397"/>
      </w:pPr>
      <w:rPr>
        <w:rFonts w:hint="default"/>
      </w:rPr>
    </w:lvl>
    <w:lvl w:ilvl="6">
      <w:start w:val="1"/>
      <w:numFmt w:val="upperLetter"/>
      <w:pStyle w:val="Listealfastor7"/>
      <w:lvlText w:val="(%7)"/>
      <w:lvlJc w:val="left"/>
      <w:pPr>
        <w:tabs>
          <w:tab w:val="num" w:pos="3176"/>
        </w:tabs>
        <w:ind w:left="2779" w:hanging="397"/>
      </w:pPr>
      <w:rPr>
        <w:rFonts w:hint="default"/>
      </w:rPr>
    </w:lvl>
    <w:lvl w:ilvl="7">
      <w:start w:val="1"/>
      <w:numFmt w:val="upperLetter"/>
      <w:pStyle w:val="Listealfastor8"/>
      <w:lvlText w:val="(%8)"/>
      <w:lvlJc w:val="left"/>
      <w:pPr>
        <w:tabs>
          <w:tab w:val="num" w:pos="3573"/>
        </w:tabs>
        <w:ind w:left="3176" w:hanging="397"/>
      </w:pPr>
      <w:rPr>
        <w:rFonts w:hint="default"/>
      </w:rPr>
    </w:lvl>
    <w:lvl w:ilvl="8">
      <w:start w:val="1"/>
      <w:numFmt w:val="upperLetter"/>
      <w:pStyle w:val="Listealfastor9"/>
      <w:lvlText w:val="(%9)"/>
      <w:lvlJc w:val="left"/>
      <w:pPr>
        <w:tabs>
          <w:tab w:val="num" w:pos="3970"/>
        </w:tabs>
        <w:ind w:left="3573" w:hanging="397"/>
      </w:pPr>
      <w:rPr>
        <w:rFonts w:hint="default"/>
      </w:rPr>
    </w:lvl>
  </w:abstractNum>
  <w:abstractNum w:abstractNumId="25" w15:restartNumberingAfterBreak="0">
    <w:nsid w:val="31F65B72"/>
    <w:multiLevelType w:val="multilevel"/>
    <w:tmpl w:val="50682BDC"/>
    <w:lvl w:ilvl="0">
      <w:start w:val="1"/>
      <w:numFmt w:val="lowerRoman"/>
      <w:pStyle w:val="Listeromer1"/>
      <w:lvlText w:val="(%1)"/>
      <w:lvlJc w:val="left"/>
      <w:pPr>
        <w:tabs>
          <w:tab w:val="num" w:pos="397"/>
        </w:tabs>
        <w:ind w:left="397" w:hanging="397"/>
      </w:pPr>
      <w:rPr>
        <w:rFonts w:hint="default"/>
      </w:rPr>
    </w:lvl>
    <w:lvl w:ilvl="1">
      <w:start w:val="1"/>
      <w:numFmt w:val="lowerRoman"/>
      <w:pStyle w:val="Listeromer2"/>
      <w:lvlText w:val="(%2)"/>
      <w:lvlJc w:val="left"/>
      <w:pPr>
        <w:tabs>
          <w:tab w:val="num" w:pos="397"/>
        </w:tabs>
        <w:ind w:left="794" w:hanging="397"/>
      </w:pPr>
      <w:rPr>
        <w:rFonts w:hint="default"/>
      </w:rPr>
    </w:lvl>
    <w:lvl w:ilvl="2">
      <w:start w:val="1"/>
      <w:numFmt w:val="lowerRoman"/>
      <w:lvlText w:val="(%3)"/>
      <w:lvlJc w:val="left"/>
      <w:pPr>
        <w:tabs>
          <w:tab w:val="num" w:pos="794"/>
        </w:tabs>
        <w:ind w:left="1191" w:hanging="397"/>
      </w:pPr>
      <w:rPr>
        <w:rFonts w:hint="default"/>
        <w:color w:val="333333"/>
      </w:rPr>
    </w:lvl>
    <w:lvl w:ilvl="3">
      <w:start w:val="1"/>
      <w:numFmt w:val="lowerRoman"/>
      <w:lvlText w:val="(%4)"/>
      <w:lvlJc w:val="left"/>
      <w:pPr>
        <w:tabs>
          <w:tab w:val="num" w:pos="1191"/>
        </w:tabs>
        <w:ind w:left="1588" w:hanging="397"/>
      </w:pPr>
      <w:rPr>
        <w:rFonts w:hint="default"/>
      </w:rPr>
    </w:lvl>
    <w:lvl w:ilvl="4">
      <w:start w:val="1"/>
      <w:numFmt w:val="lowerRoman"/>
      <w:lvlText w:val="(%5)"/>
      <w:lvlJc w:val="left"/>
      <w:pPr>
        <w:tabs>
          <w:tab w:val="num" w:pos="1588"/>
        </w:tabs>
        <w:ind w:left="1985" w:hanging="397"/>
      </w:pPr>
      <w:rPr>
        <w:rFonts w:hint="default"/>
      </w:rPr>
    </w:lvl>
    <w:lvl w:ilvl="5">
      <w:start w:val="1"/>
      <w:numFmt w:val="lowerRoman"/>
      <w:lvlText w:val="(%6)"/>
      <w:lvlJc w:val="left"/>
      <w:pPr>
        <w:tabs>
          <w:tab w:val="num" w:pos="1985"/>
        </w:tabs>
        <w:ind w:left="2382" w:hanging="397"/>
      </w:pPr>
      <w:rPr>
        <w:rFonts w:hint="default"/>
      </w:rPr>
    </w:lvl>
    <w:lvl w:ilvl="6">
      <w:start w:val="1"/>
      <w:numFmt w:val="lowerRoman"/>
      <w:lvlText w:val="(%7)"/>
      <w:lvlJc w:val="left"/>
      <w:pPr>
        <w:tabs>
          <w:tab w:val="num" w:pos="2382"/>
        </w:tabs>
        <w:ind w:left="2779" w:hanging="397"/>
      </w:pPr>
      <w:rPr>
        <w:rFonts w:hint="default"/>
      </w:rPr>
    </w:lvl>
    <w:lvl w:ilvl="7">
      <w:start w:val="1"/>
      <w:numFmt w:val="lowerRoman"/>
      <w:lvlText w:val="(%8)"/>
      <w:lvlJc w:val="left"/>
      <w:pPr>
        <w:tabs>
          <w:tab w:val="num" w:pos="2779"/>
        </w:tabs>
        <w:ind w:left="3176" w:hanging="397"/>
      </w:pPr>
      <w:rPr>
        <w:rFonts w:hint="default"/>
      </w:rPr>
    </w:lvl>
    <w:lvl w:ilvl="8">
      <w:start w:val="1"/>
      <w:numFmt w:val="lowerRoman"/>
      <w:lvlText w:val="(%9)"/>
      <w:lvlJc w:val="left"/>
      <w:pPr>
        <w:tabs>
          <w:tab w:val="num" w:pos="3176"/>
        </w:tabs>
        <w:ind w:left="3573" w:hanging="397"/>
      </w:pPr>
      <w:rPr>
        <w:rFonts w:hint="default"/>
      </w:rPr>
    </w:lvl>
  </w:abstractNum>
  <w:abstractNum w:abstractNumId="26" w15:restartNumberingAfterBreak="0">
    <w:nsid w:val="349B6301"/>
    <w:multiLevelType w:val="hybridMultilevel"/>
    <w:tmpl w:val="815E6EBA"/>
    <w:lvl w:ilvl="0" w:tplc="E1041AE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532000E"/>
    <w:multiLevelType w:val="multilevel"/>
    <w:tmpl w:val="CD78FE44"/>
    <w:lvl w:ilvl="0">
      <w:start w:val="1"/>
      <w:numFmt w:val="lowerLetter"/>
      <w:pStyle w:val="Listealfa1"/>
      <w:lvlText w:val="(%1)"/>
      <w:lvlJc w:val="left"/>
      <w:pPr>
        <w:tabs>
          <w:tab w:val="num" w:pos="397"/>
        </w:tabs>
        <w:ind w:left="397" w:hanging="397"/>
      </w:pPr>
      <w:rPr>
        <w:rFonts w:hint="default"/>
      </w:rPr>
    </w:lvl>
    <w:lvl w:ilvl="1">
      <w:start w:val="1"/>
      <w:numFmt w:val="lowerLetter"/>
      <w:pStyle w:val="Listealfa2"/>
      <w:lvlText w:val="(%2)"/>
      <w:lvlJc w:val="left"/>
      <w:pPr>
        <w:tabs>
          <w:tab w:val="num" w:pos="1191"/>
        </w:tabs>
        <w:ind w:left="794" w:hanging="397"/>
      </w:pPr>
      <w:rPr>
        <w:rFonts w:hint="default"/>
      </w:rPr>
    </w:lvl>
    <w:lvl w:ilvl="2">
      <w:start w:val="1"/>
      <w:numFmt w:val="lowerLetter"/>
      <w:pStyle w:val="Listealfa3"/>
      <w:lvlText w:val="(%3)"/>
      <w:lvlJc w:val="left"/>
      <w:pPr>
        <w:tabs>
          <w:tab w:val="num" w:pos="1588"/>
        </w:tabs>
        <w:ind w:left="1191" w:hanging="397"/>
      </w:pPr>
      <w:rPr>
        <w:rFonts w:hint="default"/>
      </w:rPr>
    </w:lvl>
    <w:lvl w:ilvl="3">
      <w:start w:val="1"/>
      <w:numFmt w:val="lowerLetter"/>
      <w:pStyle w:val="Listealfa4"/>
      <w:lvlText w:val="(%4)"/>
      <w:lvlJc w:val="left"/>
      <w:pPr>
        <w:tabs>
          <w:tab w:val="num" w:pos="1985"/>
        </w:tabs>
        <w:ind w:left="1588" w:hanging="397"/>
      </w:pPr>
      <w:rPr>
        <w:rFonts w:hint="default"/>
      </w:rPr>
    </w:lvl>
    <w:lvl w:ilvl="4">
      <w:start w:val="1"/>
      <w:numFmt w:val="lowerLetter"/>
      <w:pStyle w:val="Listealfa5"/>
      <w:lvlText w:val="(%5)"/>
      <w:lvlJc w:val="left"/>
      <w:pPr>
        <w:tabs>
          <w:tab w:val="num" w:pos="2382"/>
        </w:tabs>
        <w:ind w:left="1985" w:hanging="397"/>
      </w:pPr>
      <w:rPr>
        <w:rFonts w:hint="default"/>
      </w:rPr>
    </w:lvl>
    <w:lvl w:ilvl="5">
      <w:start w:val="1"/>
      <w:numFmt w:val="lowerLetter"/>
      <w:pStyle w:val="Listealfa6"/>
      <w:lvlText w:val="(%6)"/>
      <w:lvlJc w:val="left"/>
      <w:pPr>
        <w:tabs>
          <w:tab w:val="num" w:pos="2779"/>
        </w:tabs>
        <w:ind w:left="2382" w:hanging="397"/>
      </w:pPr>
      <w:rPr>
        <w:rFonts w:hint="default"/>
      </w:rPr>
    </w:lvl>
    <w:lvl w:ilvl="6">
      <w:start w:val="1"/>
      <w:numFmt w:val="lowerLetter"/>
      <w:pStyle w:val="Listealfa7"/>
      <w:lvlText w:val="(%7)"/>
      <w:lvlJc w:val="left"/>
      <w:pPr>
        <w:tabs>
          <w:tab w:val="num" w:pos="3176"/>
        </w:tabs>
        <w:ind w:left="2779" w:hanging="397"/>
      </w:pPr>
      <w:rPr>
        <w:rFonts w:hint="default"/>
      </w:rPr>
    </w:lvl>
    <w:lvl w:ilvl="7">
      <w:start w:val="1"/>
      <w:numFmt w:val="lowerLetter"/>
      <w:pStyle w:val="Listealfa8"/>
      <w:lvlText w:val="(%8)"/>
      <w:lvlJc w:val="left"/>
      <w:pPr>
        <w:tabs>
          <w:tab w:val="num" w:pos="3573"/>
        </w:tabs>
        <w:ind w:left="3176" w:hanging="397"/>
      </w:pPr>
      <w:rPr>
        <w:rFonts w:hint="default"/>
      </w:rPr>
    </w:lvl>
    <w:lvl w:ilvl="8">
      <w:start w:val="1"/>
      <w:numFmt w:val="lowerLetter"/>
      <w:pStyle w:val="Listealfa9"/>
      <w:lvlText w:val="(%9)"/>
      <w:lvlJc w:val="left"/>
      <w:pPr>
        <w:tabs>
          <w:tab w:val="num" w:pos="3970"/>
        </w:tabs>
        <w:ind w:left="3573" w:hanging="397"/>
      </w:pPr>
      <w:rPr>
        <w:rFonts w:hint="default"/>
      </w:rPr>
    </w:lvl>
  </w:abstractNum>
  <w:abstractNum w:abstractNumId="28" w15:restartNumberingAfterBreak="0">
    <w:nsid w:val="3D9F4A25"/>
    <w:multiLevelType w:val="multilevel"/>
    <w:tmpl w:val="B1D47FFC"/>
    <w:styleLink w:val="CurrentList1"/>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spacing w:val="-10"/>
      </w:rPr>
    </w:lvl>
    <w:lvl w:ilvl="4">
      <w:start w:val="1"/>
      <w:numFmt w:val="decimal"/>
      <w:lvlText w:val="%1.%2.%3.%4.%5"/>
      <w:lvlJc w:val="left"/>
      <w:pPr>
        <w:tabs>
          <w:tab w:val="num" w:pos="1191"/>
        </w:tabs>
        <w:ind w:left="1191" w:hanging="1191"/>
      </w:pPr>
      <w:rPr>
        <w:rFonts w:hint="default"/>
        <w:spacing w:val="-8"/>
        <w:sz w:val="20"/>
      </w:rPr>
    </w:lvl>
    <w:lvl w:ilvl="5">
      <w:start w:val="1"/>
      <w:numFmt w:val="decimal"/>
      <w:lvlText w:val="%1.%2.%3.%4.%5.%6"/>
      <w:lvlJc w:val="left"/>
      <w:pPr>
        <w:tabs>
          <w:tab w:val="num" w:pos="1191"/>
        </w:tabs>
        <w:ind w:left="1191" w:hanging="1191"/>
      </w:pPr>
      <w:rPr>
        <w:rFonts w:hint="default"/>
        <w:spacing w:val="-8"/>
        <w:sz w:val="19"/>
      </w:rPr>
    </w:lvl>
    <w:lvl w:ilvl="6">
      <w:start w:val="1"/>
      <w:numFmt w:val="decimal"/>
      <w:lvlText w:val="%1.%2.%3.%4.%5.%6.%7"/>
      <w:lvlJc w:val="left"/>
      <w:pPr>
        <w:tabs>
          <w:tab w:val="num" w:pos="1361"/>
        </w:tabs>
        <w:ind w:left="1361" w:hanging="1361"/>
      </w:pPr>
      <w:rPr>
        <w:rFonts w:hint="default"/>
        <w:spacing w:val="-4"/>
        <w:sz w:val="20"/>
      </w:rPr>
    </w:lvl>
    <w:lvl w:ilvl="7">
      <w:start w:val="1"/>
      <w:numFmt w:val="decimal"/>
      <w:lvlText w:val="%1.%2.%3.%4.%5.%6.%7.%8"/>
      <w:lvlJc w:val="left"/>
      <w:pPr>
        <w:ind w:left="1361" w:hanging="1361"/>
      </w:pPr>
      <w:rPr>
        <w:rFonts w:hint="default"/>
        <w:spacing w:val="-8"/>
        <w:sz w:val="19"/>
      </w:rPr>
    </w:lvl>
    <w:lvl w:ilvl="8">
      <w:start w:val="1"/>
      <w:numFmt w:val="decimal"/>
      <w:lvlText w:val="%1.%2.%3.%4.%5.%6.%7.%8.%9"/>
      <w:lvlJc w:val="left"/>
      <w:pPr>
        <w:tabs>
          <w:tab w:val="num" w:pos="794"/>
        </w:tabs>
        <w:ind w:left="794" w:hanging="794"/>
      </w:pPr>
      <w:rPr>
        <w:rFonts w:hint="default"/>
        <w:spacing w:val="-16"/>
        <w:sz w:val="19"/>
      </w:rPr>
    </w:lvl>
  </w:abstractNum>
  <w:abstractNum w:abstractNumId="29" w15:restartNumberingAfterBreak="0">
    <w:nsid w:val="3E020C50"/>
    <w:multiLevelType w:val="hybridMultilevel"/>
    <w:tmpl w:val="30F82A7C"/>
    <w:lvl w:ilvl="0" w:tplc="2CAA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E621C3"/>
    <w:multiLevelType w:val="hybridMultilevel"/>
    <w:tmpl w:val="C42EAC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8757BC7"/>
    <w:multiLevelType w:val="multilevel"/>
    <w:tmpl w:val="E54E80AC"/>
    <w:lvl w:ilvl="0">
      <w:start w:val="1"/>
      <w:numFmt w:val="upperRoman"/>
      <w:pStyle w:val="Listeromerstor1"/>
      <w:lvlText w:val="(%1)"/>
      <w:lvlJc w:val="left"/>
      <w:pPr>
        <w:tabs>
          <w:tab w:val="num" w:pos="397"/>
        </w:tabs>
        <w:ind w:left="397" w:hanging="397"/>
      </w:pPr>
      <w:rPr>
        <w:rFonts w:hint="default"/>
      </w:rPr>
    </w:lvl>
    <w:lvl w:ilvl="1">
      <w:start w:val="1"/>
      <w:numFmt w:val="upperRoman"/>
      <w:pStyle w:val="Listeromerstor2"/>
      <w:lvlText w:val="(%2)"/>
      <w:lvlJc w:val="left"/>
      <w:pPr>
        <w:tabs>
          <w:tab w:val="num" w:pos="1191"/>
        </w:tabs>
        <w:ind w:left="794" w:hanging="397"/>
      </w:pPr>
      <w:rPr>
        <w:rFonts w:hint="default"/>
      </w:rPr>
    </w:lvl>
    <w:lvl w:ilvl="2">
      <w:start w:val="1"/>
      <w:numFmt w:val="upperRoman"/>
      <w:pStyle w:val="Listeromerstor3"/>
      <w:lvlText w:val="(%3)"/>
      <w:lvlJc w:val="left"/>
      <w:pPr>
        <w:tabs>
          <w:tab w:val="num" w:pos="1588"/>
        </w:tabs>
        <w:ind w:left="1191" w:hanging="397"/>
      </w:pPr>
      <w:rPr>
        <w:rFonts w:hint="default"/>
      </w:rPr>
    </w:lvl>
    <w:lvl w:ilvl="3">
      <w:start w:val="1"/>
      <w:numFmt w:val="upperRoman"/>
      <w:pStyle w:val="Listeromerstor4"/>
      <w:lvlText w:val="(%4)"/>
      <w:lvlJc w:val="left"/>
      <w:pPr>
        <w:tabs>
          <w:tab w:val="num" w:pos="1985"/>
        </w:tabs>
        <w:ind w:left="1588" w:hanging="397"/>
      </w:pPr>
      <w:rPr>
        <w:rFonts w:hint="default"/>
      </w:rPr>
    </w:lvl>
    <w:lvl w:ilvl="4">
      <w:start w:val="1"/>
      <w:numFmt w:val="upperRoman"/>
      <w:pStyle w:val="Listeromerstor5"/>
      <w:lvlText w:val="(%5)"/>
      <w:lvlJc w:val="left"/>
      <w:pPr>
        <w:tabs>
          <w:tab w:val="num" w:pos="2382"/>
        </w:tabs>
        <w:ind w:left="1985" w:hanging="397"/>
      </w:pPr>
      <w:rPr>
        <w:rFonts w:hint="default"/>
      </w:rPr>
    </w:lvl>
    <w:lvl w:ilvl="5">
      <w:start w:val="1"/>
      <w:numFmt w:val="upperRoman"/>
      <w:pStyle w:val="Listeromerstor6"/>
      <w:lvlText w:val="(%6)"/>
      <w:lvlJc w:val="left"/>
      <w:pPr>
        <w:tabs>
          <w:tab w:val="num" w:pos="2779"/>
        </w:tabs>
        <w:ind w:left="2382" w:hanging="397"/>
      </w:pPr>
      <w:rPr>
        <w:rFonts w:hint="default"/>
      </w:rPr>
    </w:lvl>
    <w:lvl w:ilvl="6">
      <w:start w:val="1"/>
      <w:numFmt w:val="upperRoman"/>
      <w:pStyle w:val="Listeromerstor7"/>
      <w:lvlText w:val="(%7)"/>
      <w:lvlJc w:val="left"/>
      <w:pPr>
        <w:tabs>
          <w:tab w:val="num" w:pos="3176"/>
        </w:tabs>
        <w:ind w:left="2779" w:hanging="397"/>
      </w:pPr>
      <w:rPr>
        <w:rFonts w:hint="default"/>
      </w:rPr>
    </w:lvl>
    <w:lvl w:ilvl="7">
      <w:start w:val="1"/>
      <w:numFmt w:val="upperRoman"/>
      <w:pStyle w:val="Listeromerstor8"/>
      <w:lvlText w:val="(%8)"/>
      <w:lvlJc w:val="left"/>
      <w:pPr>
        <w:tabs>
          <w:tab w:val="num" w:pos="3573"/>
        </w:tabs>
        <w:ind w:left="3176" w:hanging="397"/>
      </w:pPr>
      <w:rPr>
        <w:rFonts w:hint="default"/>
      </w:rPr>
    </w:lvl>
    <w:lvl w:ilvl="8">
      <w:start w:val="1"/>
      <w:numFmt w:val="upperRoman"/>
      <w:pStyle w:val="Listeromerstor9"/>
      <w:lvlText w:val="(%9)"/>
      <w:lvlJc w:val="left"/>
      <w:pPr>
        <w:tabs>
          <w:tab w:val="num" w:pos="3970"/>
        </w:tabs>
        <w:ind w:left="3573" w:hanging="397"/>
      </w:pPr>
      <w:rPr>
        <w:rFonts w:hint="default"/>
      </w:rPr>
    </w:lvl>
  </w:abstractNum>
  <w:abstractNum w:abstractNumId="32" w15:restartNumberingAfterBreak="0">
    <w:nsid w:val="4ABF5033"/>
    <w:multiLevelType w:val="multilevel"/>
    <w:tmpl w:val="3B12B2AA"/>
    <w:lvl w:ilvl="0">
      <w:start w:val="1"/>
      <w:numFmt w:val="bullet"/>
      <w:pStyle w:val="Listepunkt1"/>
      <w:lvlText w:val="•"/>
      <w:lvlJc w:val="left"/>
      <w:pPr>
        <w:tabs>
          <w:tab w:val="num" w:pos="397"/>
        </w:tabs>
        <w:ind w:left="397" w:hanging="397"/>
      </w:pPr>
      <w:rPr>
        <w:rFonts w:ascii="Constantia" w:hAnsi="Constantia" w:hint="default"/>
        <w:b w:val="0"/>
        <w:i w:val="0"/>
        <w:color w:val="0A0A0A"/>
        <w:spacing w:val="0"/>
        <w:sz w:val="24"/>
      </w:rPr>
    </w:lvl>
    <w:lvl w:ilvl="1">
      <w:start w:val="1"/>
      <w:numFmt w:val="bullet"/>
      <w:pStyle w:val="Listepunkt2"/>
      <w:lvlText w:val="–"/>
      <w:lvlJc w:val="left"/>
      <w:pPr>
        <w:tabs>
          <w:tab w:val="num" w:pos="1191"/>
        </w:tabs>
        <w:ind w:left="794" w:hanging="397"/>
      </w:pPr>
      <w:rPr>
        <w:rFonts w:hint="default"/>
      </w:rPr>
    </w:lvl>
    <w:lvl w:ilvl="2">
      <w:start w:val="1"/>
      <w:numFmt w:val="bullet"/>
      <w:pStyle w:val="Listepunkt3"/>
      <w:lvlText w:val="◦"/>
      <w:lvlJc w:val="left"/>
      <w:pPr>
        <w:tabs>
          <w:tab w:val="num" w:pos="1588"/>
        </w:tabs>
        <w:ind w:left="1191" w:hanging="397"/>
      </w:pPr>
      <w:rPr>
        <w:rFonts w:ascii="Arial" w:hAnsi="Arial" w:hint="default"/>
        <w:sz w:val="24"/>
      </w:rPr>
    </w:lvl>
    <w:lvl w:ilvl="3">
      <w:start w:val="1"/>
      <w:numFmt w:val="bullet"/>
      <w:pStyle w:val="Listepunkt4"/>
      <w:lvlText w:val="–"/>
      <w:lvlJc w:val="left"/>
      <w:pPr>
        <w:tabs>
          <w:tab w:val="num" w:pos="1985"/>
        </w:tabs>
        <w:ind w:left="1588" w:hanging="397"/>
      </w:pPr>
      <w:rPr>
        <w:rFonts w:hint="default"/>
      </w:rPr>
    </w:lvl>
    <w:lvl w:ilvl="4">
      <w:start w:val="1"/>
      <w:numFmt w:val="bullet"/>
      <w:pStyle w:val="Listepunkt5"/>
      <w:lvlText w:val="–"/>
      <w:lvlJc w:val="left"/>
      <w:pPr>
        <w:tabs>
          <w:tab w:val="num" w:pos="2382"/>
        </w:tabs>
        <w:ind w:left="1985" w:hanging="397"/>
      </w:pPr>
      <w:rPr>
        <w:rFonts w:cs="Times New Roman" w:hint="default"/>
      </w:rPr>
    </w:lvl>
    <w:lvl w:ilvl="5">
      <w:start w:val="1"/>
      <w:numFmt w:val="bullet"/>
      <w:pStyle w:val="Listepunkt6"/>
      <w:lvlText w:val="–"/>
      <w:lvlJc w:val="left"/>
      <w:pPr>
        <w:tabs>
          <w:tab w:val="num" w:pos="2779"/>
        </w:tabs>
        <w:ind w:left="2382" w:hanging="397"/>
      </w:pPr>
      <w:rPr>
        <w:rFonts w:hint="default"/>
      </w:rPr>
    </w:lvl>
    <w:lvl w:ilvl="6">
      <w:start w:val="1"/>
      <w:numFmt w:val="bullet"/>
      <w:pStyle w:val="Listepunkt7"/>
      <w:lvlText w:val="–"/>
      <w:lvlJc w:val="left"/>
      <w:pPr>
        <w:tabs>
          <w:tab w:val="num" w:pos="3176"/>
        </w:tabs>
        <w:ind w:left="2779" w:hanging="397"/>
      </w:pPr>
      <w:rPr>
        <w:rFonts w:cs="Times New Roman" w:hint="default"/>
      </w:rPr>
    </w:lvl>
    <w:lvl w:ilvl="7">
      <w:start w:val="1"/>
      <w:numFmt w:val="bullet"/>
      <w:pStyle w:val="Listepunkt8"/>
      <w:lvlText w:val="–"/>
      <w:lvlJc w:val="left"/>
      <w:pPr>
        <w:tabs>
          <w:tab w:val="num" w:pos="3573"/>
        </w:tabs>
        <w:ind w:left="3176" w:hanging="397"/>
      </w:pPr>
      <w:rPr>
        <w:rFonts w:cs="Times New Roman" w:hint="default"/>
      </w:rPr>
    </w:lvl>
    <w:lvl w:ilvl="8">
      <w:start w:val="1"/>
      <w:numFmt w:val="bullet"/>
      <w:pStyle w:val="Listepunkt9"/>
      <w:lvlText w:val="–"/>
      <w:lvlJc w:val="left"/>
      <w:pPr>
        <w:tabs>
          <w:tab w:val="num" w:pos="3970"/>
        </w:tabs>
        <w:ind w:left="3573" w:hanging="397"/>
      </w:pPr>
      <w:rPr>
        <w:rFonts w:hint="default"/>
      </w:rPr>
    </w:lvl>
  </w:abstractNum>
  <w:abstractNum w:abstractNumId="33" w15:restartNumberingAfterBreak="0">
    <w:nsid w:val="4FBF1850"/>
    <w:multiLevelType w:val="hybridMultilevel"/>
    <w:tmpl w:val="01F8CF12"/>
    <w:numStyleLink w:val="ImportedStyle1"/>
  </w:abstractNum>
  <w:abstractNum w:abstractNumId="34" w15:restartNumberingAfterBreak="0">
    <w:nsid w:val="52037F64"/>
    <w:multiLevelType w:val="multilevel"/>
    <w:tmpl w:val="EC5ACD14"/>
    <w:styleLink w:val="CurrentList4"/>
    <w:lvl w:ilvl="0">
      <w:start w:val="1"/>
      <w:numFmt w:val="decimal"/>
      <w:lvlText w:val="%1."/>
      <w:lvlJc w:val="left"/>
      <w:pPr>
        <w:ind w:left="1174" w:hanging="360"/>
      </w:pPr>
    </w:lvl>
    <w:lvl w:ilvl="1">
      <w:start w:val="1"/>
      <w:numFmt w:val="lowerLetter"/>
      <w:lvlText w:val="%2."/>
      <w:lvlJc w:val="left"/>
      <w:pPr>
        <w:ind w:left="1894" w:hanging="360"/>
      </w:pPr>
    </w:lvl>
    <w:lvl w:ilvl="2">
      <w:start w:val="1"/>
      <w:numFmt w:val="lowerRoman"/>
      <w:lvlText w:val="%3."/>
      <w:lvlJc w:val="right"/>
      <w:pPr>
        <w:ind w:left="2614" w:hanging="180"/>
      </w:pPr>
    </w:lvl>
    <w:lvl w:ilvl="3">
      <w:start w:val="1"/>
      <w:numFmt w:val="decimal"/>
      <w:lvlText w:val="%4."/>
      <w:lvlJc w:val="left"/>
      <w:pPr>
        <w:ind w:left="3334" w:hanging="360"/>
      </w:pPr>
    </w:lvl>
    <w:lvl w:ilvl="4">
      <w:start w:val="1"/>
      <w:numFmt w:val="lowerLetter"/>
      <w:lvlText w:val="%5."/>
      <w:lvlJc w:val="left"/>
      <w:pPr>
        <w:ind w:left="4054" w:hanging="360"/>
      </w:pPr>
    </w:lvl>
    <w:lvl w:ilvl="5">
      <w:start w:val="1"/>
      <w:numFmt w:val="lowerRoman"/>
      <w:lvlText w:val="%6."/>
      <w:lvlJc w:val="right"/>
      <w:pPr>
        <w:ind w:left="4774" w:hanging="180"/>
      </w:pPr>
    </w:lvl>
    <w:lvl w:ilvl="6">
      <w:start w:val="1"/>
      <w:numFmt w:val="decimal"/>
      <w:lvlText w:val="%7."/>
      <w:lvlJc w:val="left"/>
      <w:pPr>
        <w:ind w:left="5494" w:hanging="360"/>
      </w:pPr>
    </w:lvl>
    <w:lvl w:ilvl="7">
      <w:start w:val="1"/>
      <w:numFmt w:val="lowerLetter"/>
      <w:lvlText w:val="%8."/>
      <w:lvlJc w:val="left"/>
      <w:pPr>
        <w:ind w:left="6214" w:hanging="360"/>
      </w:pPr>
    </w:lvl>
    <w:lvl w:ilvl="8">
      <w:start w:val="1"/>
      <w:numFmt w:val="lowerRoman"/>
      <w:lvlText w:val="%9."/>
      <w:lvlJc w:val="right"/>
      <w:pPr>
        <w:ind w:left="6934" w:hanging="180"/>
      </w:pPr>
    </w:lvl>
  </w:abstractNum>
  <w:abstractNum w:abstractNumId="35" w15:restartNumberingAfterBreak="0">
    <w:nsid w:val="56C16700"/>
    <w:multiLevelType w:val="hybridMultilevel"/>
    <w:tmpl w:val="90B04A72"/>
    <w:lvl w:ilvl="0" w:tplc="04140001">
      <w:start w:val="1"/>
      <w:numFmt w:val="bullet"/>
      <w:lvlText w:val=""/>
      <w:lvlJc w:val="left"/>
      <w:pPr>
        <w:tabs>
          <w:tab w:val="num" w:pos="454"/>
        </w:tabs>
        <w:ind w:left="454" w:hanging="454"/>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58143EF6"/>
    <w:multiLevelType w:val="hybridMultilevel"/>
    <w:tmpl w:val="73C60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C706FB"/>
    <w:multiLevelType w:val="multilevel"/>
    <w:tmpl w:val="A1FA69C4"/>
    <w:lvl w:ilvl="0">
      <w:start w:val="1"/>
      <w:numFmt w:val="upperRoman"/>
      <w:pStyle w:val="Overskriftartikkel1"/>
      <w:lvlText w:val="%1"/>
      <w:lvlJc w:val="left"/>
      <w:pPr>
        <w:tabs>
          <w:tab w:val="num" w:pos="794"/>
        </w:tabs>
        <w:ind w:left="794" w:hanging="794"/>
      </w:pPr>
      <w:rPr>
        <w:rFonts w:hint="default"/>
      </w:rPr>
    </w:lvl>
    <w:lvl w:ilvl="1">
      <w:start w:val="1"/>
      <w:numFmt w:val="lowerLetter"/>
      <w:pStyle w:val="Overskriftartikkel2"/>
      <w:lvlText w:val="%2)"/>
      <w:lvlJc w:val="left"/>
      <w:pPr>
        <w:tabs>
          <w:tab w:val="num" w:pos="794"/>
        </w:tabs>
        <w:ind w:left="794" w:hanging="794"/>
      </w:pPr>
      <w:rPr>
        <w:rFonts w:hint="default"/>
      </w:rPr>
    </w:lvl>
    <w:lvl w:ilvl="2">
      <w:start w:val="1"/>
      <w:numFmt w:val="lowerRoman"/>
      <w:pStyle w:val="Overskriftartikkel3"/>
      <w:lvlText w:val="%3)"/>
      <w:lvlJc w:val="left"/>
      <w:pPr>
        <w:tabs>
          <w:tab w:val="num" w:pos="794"/>
        </w:tabs>
        <w:ind w:left="794" w:hanging="794"/>
      </w:pPr>
      <w:rPr>
        <w:rFonts w:hint="default"/>
      </w:rPr>
    </w:lvl>
    <w:lvl w:ilvl="3">
      <w:start w:val="1"/>
      <w:numFmt w:val="none"/>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lowerRoman"/>
      <w:lvlText w:val="(%6)"/>
      <w:lvlJc w:val="left"/>
      <w:pPr>
        <w:tabs>
          <w:tab w:val="num" w:pos="794"/>
        </w:tabs>
        <w:ind w:left="794" w:hanging="794"/>
      </w:pPr>
      <w:rPr>
        <w:rFonts w:hint="default"/>
      </w:rPr>
    </w:lvl>
    <w:lvl w:ilvl="6">
      <w:start w:val="1"/>
      <w:numFmt w:val="decimal"/>
      <w:lvlText w:val="%7."/>
      <w:lvlJc w:val="left"/>
      <w:pPr>
        <w:tabs>
          <w:tab w:val="num" w:pos="794"/>
        </w:tabs>
        <w:ind w:left="794" w:hanging="794"/>
      </w:pPr>
      <w:rPr>
        <w:rFonts w:hint="default"/>
      </w:rPr>
    </w:lvl>
    <w:lvl w:ilvl="7">
      <w:start w:val="1"/>
      <w:numFmt w:val="lowerLetter"/>
      <w:lvlText w:val="%8."/>
      <w:lvlJc w:val="left"/>
      <w:pPr>
        <w:tabs>
          <w:tab w:val="num" w:pos="794"/>
        </w:tabs>
        <w:ind w:left="794" w:hanging="794"/>
      </w:pPr>
      <w:rPr>
        <w:rFonts w:hint="default"/>
      </w:rPr>
    </w:lvl>
    <w:lvl w:ilvl="8">
      <w:start w:val="1"/>
      <w:numFmt w:val="lowerRoman"/>
      <w:lvlText w:val="%9."/>
      <w:lvlJc w:val="left"/>
      <w:pPr>
        <w:tabs>
          <w:tab w:val="num" w:pos="794"/>
        </w:tabs>
        <w:ind w:left="794" w:hanging="794"/>
      </w:pPr>
      <w:rPr>
        <w:rFonts w:hint="default"/>
      </w:rPr>
    </w:lvl>
  </w:abstractNum>
  <w:abstractNum w:abstractNumId="38" w15:restartNumberingAfterBreak="0">
    <w:nsid w:val="5CAA2F20"/>
    <w:multiLevelType w:val="hybridMultilevel"/>
    <w:tmpl w:val="1CECF3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AB0426A"/>
    <w:multiLevelType w:val="multilevel"/>
    <w:tmpl w:val="A1FA69C4"/>
    <w:styleLink w:val="CurrentList2"/>
    <w:lvl w:ilvl="0">
      <w:start w:val="1"/>
      <w:numFmt w:val="upperRoman"/>
      <w:lvlText w:val="%1"/>
      <w:lvlJc w:val="left"/>
      <w:pPr>
        <w:tabs>
          <w:tab w:val="num" w:pos="794"/>
        </w:tabs>
        <w:ind w:left="794" w:hanging="794"/>
      </w:pPr>
      <w:rPr>
        <w:rFonts w:hint="default"/>
      </w:rPr>
    </w:lvl>
    <w:lvl w:ilvl="1">
      <w:start w:val="1"/>
      <w:numFmt w:val="lowerLetter"/>
      <w:lvlText w:val="%2)"/>
      <w:lvlJc w:val="left"/>
      <w:pPr>
        <w:tabs>
          <w:tab w:val="num" w:pos="794"/>
        </w:tabs>
        <w:ind w:left="794" w:hanging="794"/>
      </w:pPr>
      <w:rPr>
        <w:rFonts w:hint="default"/>
      </w:rPr>
    </w:lvl>
    <w:lvl w:ilvl="2">
      <w:start w:val="1"/>
      <w:numFmt w:val="lowerRoman"/>
      <w:lvlText w:val="%3)"/>
      <w:lvlJc w:val="left"/>
      <w:pPr>
        <w:tabs>
          <w:tab w:val="num" w:pos="794"/>
        </w:tabs>
        <w:ind w:left="794" w:hanging="794"/>
      </w:pPr>
      <w:rPr>
        <w:rFonts w:hint="default"/>
      </w:rPr>
    </w:lvl>
    <w:lvl w:ilvl="3">
      <w:start w:val="1"/>
      <w:numFmt w:val="none"/>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lowerRoman"/>
      <w:lvlText w:val="(%6)"/>
      <w:lvlJc w:val="left"/>
      <w:pPr>
        <w:tabs>
          <w:tab w:val="num" w:pos="794"/>
        </w:tabs>
        <w:ind w:left="794" w:hanging="794"/>
      </w:pPr>
      <w:rPr>
        <w:rFonts w:hint="default"/>
      </w:rPr>
    </w:lvl>
    <w:lvl w:ilvl="6">
      <w:start w:val="1"/>
      <w:numFmt w:val="decimal"/>
      <w:lvlText w:val="%7."/>
      <w:lvlJc w:val="left"/>
      <w:pPr>
        <w:tabs>
          <w:tab w:val="num" w:pos="794"/>
        </w:tabs>
        <w:ind w:left="794" w:hanging="794"/>
      </w:pPr>
      <w:rPr>
        <w:rFonts w:hint="default"/>
      </w:rPr>
    </w:lvl>
    <w:lvl w:ilvl="7">
      <w:start w:val="1"/>
      <w:numFmt w:val="lowerLetter"/>
      <w:lvlText w:val="%8."/>
      <w:lvlJc w:val="left"/>
      <w:pPr>
        <w:tabs>
          <w:tab w:val="num" w:pos="794"/>
        </w:tabs>
        <w:ind w:left="794" w:hanging="794"/>
      </w:pPr>
      <w:rPr>
        <w:rFonts w:hint="default"/>
      </w:rPr>
    </w:lvl>
    <w:lvl w:ilvl="8">
      <w:start w:val="1"/>
      <w:numFmt w:val="lowerRoman"/>
      <w:lvlText w:val="%9."/>
      <w:lvlJc w:val="left"/>
      <w:pPr>
        <w:tabs>
          <w:tab w:val="num" w:pos="794"/>
        </w:tabs>
        <w:ind w:left="794" w:hanging="794"/>
      </w:pPr>
      <w:rPr>
        <w:rFonts w:hint="default"/>
      </w:rPr>
    </w:lvl>
  </w:abstractNum>
  <w:abstractNum w:abstractNumId="40" w15:restartNumberingAfterBreak="0">
    <w:nsid w:val="6D9827CB"/>
    <w:multiLevelType w:val="hybridMultilevel"/>
    <w:tmpl w:val="C494E9C0"/>
    <w:lvl w:ilvl="0" w:tplc="F1D65A4E">
      <w:numFmt w:val="bullet"/>
      <w:lvlText w:val="-"/>
      <w:lvlJc w:val="left"/>
      <w:pPr>
        <w:ind w:left="720" w:hanging="360"/>
      </w:pPr>
      <w:rPr>
        <w:rFonts w:ascii="Cambria" w:eastAsiaTheme="minorHAnsi" w:hAnsi="Cambri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18F4D85"/>
    <w:multiLevelType w:val="hybridMultilevel"/>
    <w:tmpl w:val="6750DD62"/>
    <w:lvl w:ilvl="0" w:tplc="AA0C210A">
      <w:start w:val="1"/>
      <w:numFmt w:val="bullet"/>
      <w:lvlText w:val=""/>
      <w:lvlJc w:val="left"/>
      <w:pPr>
        <w:tabs>
          <w:tab w:val="num" w:pos="2974"/>
        </w:tabs>
        <w:ind w:left="2974" w:hanging="454"/>
      </w:pPr>
      <w:rPr>
        <w:rFonts w:ascii="Symbol" w:hAnsi="Symbol" w:hint="default"/>
      </w:rPr>
    </w:lvl>
    <w:lvl w:ilvl="1" w:tplc="04140003" w:tentative="1">
      <w:start w:val="1"/>
      <w:numFmt w:val="bullet"/>
      <w:lvlText w:val="o"/>
      <w:lvlJc w:val="left"/>
      <w:pPr>
        <w:ind w:left="3960" w:hanging="360"/>
      </w:pPr>
      <w:rPr>
        <w:rFonts w:ascii="Courier New" w:hAnsi="Courier New" w:cs="Courier New" w:hint="default"/>
      </w:rPr>
    </w:lvl>
    <w:lvl w:ilvl="2" w:tplc="04140005" w:tentative="1">
      <w:start w:val="1"/>
      <w:numFmt w:val="bullet"/>
      <w:lvlText w:val=""/>
      <w:lvlJc w:val="left"/>
      <w:pPr>
        <w:ind w:left="4680" w:hanging="360"/>
      </w:pPr>
      <w:rPr>
        <w:rFonts w:ascii="Wingdings" w:hAnsi="Wingdings" w:hint="default"/>
      </w:rPr>
    </w:lvl>
    <w:lvl w:ilvl="3" w:tplc="04140001" w:tentative="1">
      <w:start w:val="1"/>
      <w:numFmt w:val="bullet"/>
      <w:lvlText w:val=""/>
      <w:lvlJc w:val="left"/>
      <w:pPr>
        <w:ind w:left="5400" w:hanging="360"/>
      </w:pPr>
      <w:rPr>
        <w:rFonts w:ascii="Symbol" w:hAnsi="Symbol" w:hint="default"/>
      </w:rPr>
    </w:lvl>
    <w:lvl w:ilvl="4" w:tplc="04140003" w:tentative="1">
      <w:start w:val="1"/>
      <w:numFmt w:val="bullet"/>
      <w:lvlText w:val="o"/>
      <w:lvlJc w:val="left"/>
      <w:pPr>
        <w:ind w:left="6120" w:hanging="360"/>
      </w:pPr>
      <w:rPr>
        <w:rFonts w:ascii="Courier New" w:hAnsi="Courier New" w:cs="Courier New" w:hint="default"/>
      </w:rPr>
    </w:lvl>
    <w:lvl w:ilvl="5" w:tplc="04140005" w:tentative="1">
      <w:start w:val="1"/>
      <w:numFmt w:val="bullet"/>
      <w:lvlText w:val=""/>
      <w:lvlJc w:val="left"/>
      <w:pPr>
        <w:ind w:left="6840" w:hanging="360"/>
      </w:pPr>
      <w:rPr>
        <w:rFonts w:ascii="Wingdings" w:hAnsi="Wingdings" w:hint="default"/>
      </w:rPr>
    </w:lvl>
    <w:lvl w:ilvl="6" w:tplc="04140001" w:tentative="1">
      <w:start w:val="1"/>
      <w:numFmt w:val="bullet"/>
      <w:lvlText w:val=""/>
      <w:lvlJc w:val="left"/>
      <w:pPr>
        <w:ind w:left="7560" w:hanging="360"/>
      </w:pPr>
      <w:rPr>
        <w:rFonts w:ascii="Symbol" w:hAnsi="Symbol" w:hint="default"/>
      </w:rPr>
    </w:lvl>
    <w:lvl w:ilvl="7" w:tplc="04140003" w:tentative="1">
      <w:start w:val="1"/>
      <w:numFmt w:val="bullet"/>
      <w:lvlText w:val="o"/>
      <w:lvlJc w:val="left"/>
      <w:pPr>
        <w:ind w:left="8280" w:hanging="360"/>
      </w:pPr>
      <w:rPr>
        <w:rFonts w:ascii="Courier New" w:hAnsi="Courier New" w:cs="Courier New" w:hint="default"/>
      </w:rPr>
    </w:lvl>
    <w:lvl w:ilvl="8" w:tplc="04140005" w:tentative="1">
      <w:start w:val="1"/>
      <w:numFmt w:val="bullet"/>
      <w:lvlText w:val=""/>
      <w:lvlJc w:val="left"/>
      <w:pPr>
        <w:ind w:left="9000" w:hanging="360"/>
      </w:pPr>
      <w:rPr>
        <w:rFonts w:ascii="Wingdings" w:hAnsi="Wingdings" w:hint="default"/>
      </w:rPr>
    </w:lvl>
  </w:abstractNum>
  <w:abstractNum w:abstractNumId="42" w15:restartNumberingAfterBreak="0">
    <w:nsid w:val="724220FF"/>
    <w:multiLevelType w:val="hybridMultilevel"/>
    <w:tmpl w:val="18749BB0"/>
    <w:lvl w:ilvl="0" w:tplc="0414000F">
      <w:start w:val="1"/>
      <w:numFmt w:val="decimal"/>
      <w:lvlText w:val="%1."/>
      <w:lvlJc w:val="left"/>
      <w:pPr>
        <w:tabs>
          <w:tab w:val="num" w:pos="454"/>
        </w:tabs>
        <w:ind w:left="454" w:hanging="454"/>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3FB2A3B"/>
    <w:multiLevelType w:val="hybridMultilevel"/>
    <w:tmpl w:val="A9F6F4CA"/>
    <w:lvl w:ilvl="0" w:tplc="AA0C210A">
      <w:start w:val="1"/>
      <w:numFmt w:val="bullet"/>
      <w:lvlText w:val=""/>
      <w:lvlJc w:val="left"/>
      <w:pPr>
        <w:tabs>
          <w:tab w:val="num" w:pos="454"/>
        </w:tabs>
        <w:ind w:left="454" w:hanging="454"/>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4E3045D"/>
    <w:multiLevelType w:val="hybridMultilevel"/>
    <w:tmpl w:val="BC22E888"/>
    <w:lvl w:ilvl="0" w:tplc="7F08F1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B45C3A"/>
    <w:multiLevelType w:val="hybridMultilevel"/>
    <w:tmpl w:val="E4FA0EF2"/>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649127A"/>
    <w:multiLevelType w:val="hybridMultilevel"/>
    <w:tmpl w:val="01F8CF12"/>
    <w:styleLink w:val="ImportedStyle1"/>
    <w:lvl w:ilvl="0" w:tplc="6774262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DE04078">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F28744A">
      <w:start w:val="1"/>
      <w:numFmt w:val="lowerRoman"/>
      <w:lvlText w:val="%3."/>
      <w:lvlJc w:val="left"/>
      <w:pPr>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AD34504C">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4E8B4EE">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9464072">
      <w:start w:val="1"/>
      <w:numFmt w:val="lowerRoman"/>
      <w:lvlText w:val="%6."/>
      <w:lvlJc w:val="left"/>
      <w:pPr>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DF4B24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AB0CCC0">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F7AD382">
      <w:start w:val="1"/>
      <w:numFmt w:val="lowerRoman"/>
      <w:lvlText w:val="%9."/>
      <w:lvlJc w:val="left"/>
      <w:pPr>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7792D1B"/>
    <w:multiLevelType w:val="hybridMultilevel"/>
    <w:tmpl w:val="25BC1AA8"/>
    <w:lvl w:ilvl="0" w:tplc="AA0C210A">
      <w:start w:val="1"/>
      <w:numFmt w:val="bullet"/>
      <w:lvlText w:val=""/>
      <w:lvlJc w:val="left"/>
      <w:pPr>
        <w:tabs>
          <w:tab w:val="num" w:pos="454"/>
        </w:tabs>
        <w:ind w:left="454" w:hanging="454"/>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796C666A"/>
    <w:multiLevelType w:val="multilevel"/>
    <w:tmpl w:val="0414001F"/>
    <w:styleLink w:val="111111"/>
    <w:lvl w:ilvl="0">
      <w:start w:val="1"/>
      <w:numFmt w:val="decimal"/>
      <w:lvlText w:val="%1."/>
      <w:lvlJc w:val="left"/>
      <w:pPr>
        <w:ind w:left="360" w:hanging="360"/>
      </w:pPr>
      <w:rPr>
        <w:rFonts w:asciiTheme="minorHAnsi" w:hAnsiTheme="minorHAnsi" w:cstheme="minorHAnsi"/>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A5265B8"/>
    <w:multiLevelType w:val="hybridMultilevel"/>
    <w:tmpl w:val="5350B306"/>
    <w:lvl w:ilvl="0" w:tplc="3B42C814">
      <w:start w:val="1"/>
      <w:numFmt w:val="upperRoman"/>
      <w:lvlText w:val="%1."/>
      <w:lvlJc w:val="left"/>
      <w:pPr>
        <w:ind w:left="1080" w:hanging="72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E6B103D"/>
    <w:multiLevelType w:val="hybridMultilevel"/>
    <w:tmpl w:val="732A8ED6"/>
    <w:lvl w:ilvl="0" w:tplc="0414000F">
      <w:start w:val="1"/>
      <w:numFmt w:val="decimal"/>
      <w:lvlText w:val="%1."/>
      <w:lvlJc w:val="left"/>
      <w:pPr>
        <w:tabs>
          <w:tab w:val="num" w:pos="454"/>
        </w:tabs>
        <w:ind w:left="454" w:hanging="45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541045609">
    <w:abstractNumId w:val="32"/>
  </w:num>
  <w:num w:numId="2" w16cid:durableId="1372533554">
    <w:abstractNumId w:val="31"/>
  </w:num>
  <w:num w:numId="3" w16cid:durableId="418410996">
    <w:abstractNumId w:val="48"/>
  </w:num>
  <w:num w:numId="4" w16cid:durableId="1514151864">
    <w:abstractNumId w:val="22"/>
  </w:num>
  <w:num w:numId="5" w16cid:durableId="1870221800">
    <w:abstractNumId w:val="19"/>
  </w:num>
  <w:num w:numId="6" w16cid:durableId="1001661421">
    <w:abstractNumId w:val="9"/>
  </w:num>
  <w:num w:numId="7" w16cid:durableId="2136175267">
    <w:abstractNumId w:val="7"/>
  </w:num>
  <w:num w:numId="8" w16cid:durableId="1892573325">
    <w:abstractNumId w:val="6"/>
  </w:num>
  <w:num w:numId="9" w16cid:durableId="1369263235">
    <w:abstractNumId w:val="5"/>
  </w:num>
  <w:num w:numId="10" w16cid:durableId="1182937946">
    <w:abstractNumId w:val="4"/>
  </w:num>
  <w:num w:numId="11" w16cid:durableId="467551940">
    <w:abstractNumId w:val="8"/>
  </w:num>
  <w:num w:numId="12" w16cid:durableId="234046537">
    <w:abstractNumId w:val="3"/>
  </w:num>
  <w:num w:numId="13" w16cid:durableId="1970087515">
    <w:abstractNumId w:val="2"/>
  </w:num>
  <w:num w:numId="14" w16cid:durableId="986518186">
    <w:abstractNumId w:val="1"/>
  </w:num>
  <w:num w:numId="15" w16cid:durableId="720253304">
    <w:abstractNumId w:val="0"/>
  </w:num>
  <w:num w:numId="16" w16cid:durableId="1086462875">
    <w:abstractNumId w:val="27"/>
  </w:num>
  <w:num w:numId="17" w16cid:durableId="684554133">
    <w:abstractNumId w:val="25"/>
  </w:num>
  <w:num w:numId="18" w16cid:durableId="930047390">
    <w:abstractNumId w:val="16"/>
  </w:num>
  <w:num w:numId="19" w16cid:durableId="1281641100">
    <w:abstractNumId w:val="24"/>
  </w:num>
  <w:num w:numId="20" w16cid:durableId="1282690840">
    <w:abstractNumId w:val="21"/>
  </w:num>
  <w:num w:numId="21" w16cid:durableId="1955362270">
    <w:abstractNumId w:val="12"/>
  </w:num>
  <w:num w:numId="22" w16cid:durableId="998145946">
    <w:abstractNumId w:val="35"/>
  </w:num>
  <w:num w:numId="23" w16cid:durableId="210583598">
    <w:abstractNumId w:val="14"/>
  </w:num>
  <w:num w:numId="24" w16cid:durableId="1385258153">
    <w:abstractNumId w:val="50"/>
  </w:num>
  <w:num w:numId="25" w16cid:durableId="489756555">
    <w:abstractNumId w:val="10"/>
  </w:num>
  <w:num w:numId="26" w16cid:durableId="1654213002">
    <w:abstractNumId w:val="37"/>
  </w:num>
  <w:num w:numId="27" w16cid:durableId="1877814329">
    <w:abstractNumId w:val="18"/>
  </w:num>
  <w:num w:numId="28" w16cid:durableId="887688990">
    <w:abstractNumId w:val="45"/>
  </w:num>
  <w:num w:numId="29" w16cid:durableId="375351702">
    <w:abstractNumId w:val="30"/>
  </w:num>
  <w:num w:numId="30" w16cid:durableId="1922399527">
    <w:abstractNumId w:val="38"/>
  </w:num>
  <w:num w:numId="31" w16cid:durableId="186910790">
    <w:abstractNumId w:val="13"/>
  </w:num>
  <w:num w:numId="32" w16cid:durableId="169411074">
    <w:abstractNumId w:val="43"/>
  </w:num>
  <w:num w:numId="33" w16cid:durableId="551382970">
    <w:abstractNumId w:val="47"/>
  </w:num>
  <w:num w:numId="34" w16cid:durableId="1219198662">
    <w:abstractNumId w:val="42"/>
  </w:num>
  <w:num w:numId="35" w16cid:durableId="2092388243">
    <w:abstractNumId w:val="41"/>
  </w:num>
  <w:num w:numId="36" w16cid:durableId="1841502380">
    <w:abstractNumId w:val="44"/>
  </w:num>
  <w:num w:numId="37" w16cid:durableId="2143887325">
    <w:abstractNumId w:val="49"/>
  </w:num>
  <w:num w:numId="38" w16cid:durableId="771515477">
    <w:abstractNumId w:val="23"/>
  </w:num>
  <w:num w:numId="39" w16cid:durableId="254556403">
    <w:abstractNumId w:val="26"/>
  </w:num>
  <w:num w:numId="40" w16cid:durableId="1333023558">
    <w:abstractNumId w:val="40"/>
  </w:num>
  <w:num w:numId="41" w16cid:durableId="558134878">
    <w:abstractNumId w:val="15"/>
  </w:num>
  <w:num w:numId="42" w16cid:durableId="1514538238">
    <w:abstractNumId w:val="36"/>
  </w:num>
  <w:num w:numId="43" w16cid:durableId="804465665">
    <w:abstractNumId w:val="28"/>
  </w:num>
  <w:num w:numId="44" w16cid:durableId="359556167">
    <w:abstractNumId w:val="39"/>
  </w:num>
  <w:num w:numId="45" w16cid:durableId="1326201165">
    <w:abstractNumId w:val="17"/>
  </w:num>
  <w:num w:numId="46" w16cid:durableId="349570212">
    <w:abstractNumId w:val="20"/>
  </w:num>
  <w:num w:numId="47" w16cid:durableId="1684743378">
    <w:abstractNumId w:val="34"/>
  </w:num>
  <w:num w:numId="48" w16cid:durableId="1044213477">
    <w:abstractNumId w:val="29"/>
  </w:num>
  <w:num w:numId="49" w16cid:durableId="1687247333">
    <w:abstractNumId w:val="46"/>
  </w:num>
  <w:num w:numId="50" w16cid:durableId="1890603155">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attachedTemplate r:id="rId1"/>
  <w:documentProtection w:edit="forms" w:enforcement="0"/>
  <w:defaultTabStop w:val="45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2D"/>
    <w:rsid w:val="00000164"/>
    <w:rsid w:val="00000B6D"/>
    <w:rsid w:val="00001DF8"/>
    <w:rsid w:val="0000343B"/>
    <w:rsid w:val="000045B2"/>
    <w:rsid w:val="000058E6"/>
    <w:rsid w:val="0000599B"/>
    <w:rsid w:val="00005A68"/>
    <w:rsid w:val="00005D0B"/>
    <w:rsid w:val="00006050"/>
    <w:rsid w:val="00006D19"/>
    <w:rsid w:val="0001012A"/>
    <w:rsid w:val="000110C6"/>
    <w:rsid w:val="00011EAF"/>
    <w:rsid w:val="00012135"/>
    <w:rsid w:val="00012573"/>
    <w:rsid w:val="00012F44"/>
    <w:rsid w:val="0001369D"/>
    <w:rsid w:val="00014540"/>
    <w:rsid w:val="000201AB"/>
    <w:rsid w:val="00020C04"/>
    <w:rsid w:val="00023053"/>
    <w:rsid w:val="00023507"/>
    <w:rsid w:val="00023599"/>
    <w:rsid w:val="00023844"/>
    <w:rsid w:val="00024CFB"/>
    <w:rsid w:val="0002547E"/>
    <w:rsid w:val="00026FE1"/>
    <w:rsid w:val="00027207"/>
    <w:rsid w:val="00027A4E"/>
    <w:rsid w:val="00030858"/>
    <w:rsid w:val="00030974"/>
    <w:rsid w:val="00030CE8"/>
    <w:rsid w:val="000324D0"/>
    <w:rsid w:val="00032B72"/>
    <w:rsid w:val="000333E0"/>
    <w:rsid w:val="00034A23"/>
    <w:rsid w:val="00034BB6"/>
    <w:rsid w:val="00035B98"/>
    <w:rsid w:val="000373A3"/>
    <w:rsid w:val="00037441"/>
    <w:rsid w:val="00037A64"/>
    <w:rsid w:val="00040E51"/>
    <w:rsid w:val="00041047"/>
    <w:rsid w:val="000425F0"/>
    <w:rsid w:val="000434B8"/>
    <w:rsid w:val="00044208"/>
    <w:rsid w:val="00044D68"/>
    <w:rsid w:val="0004513C"/>
    <w:rsid w:val="00045E48"/>
    <w:rsid w:val="0004620F"/>
    <w:rsid w:val="00047078"/>
    <w:rsid w:val="00047EAD"/>
    <w:rsid w:val="000507EA"/>
    <w:rsid w:val="00050B18"/>
    <w:rsid w:val="00051C87"/>
    <w:rsid w:val="0005369C"/>
    <w:rsid w:val="00053BE6"/>
    <w:rsid w:val="0005509D"/>
    <w:rsid w:val="00055B4C"/>
    <w:rsid w:val="00057495"/>
    <w:rsid w:val="00057B8A"/>
    <w:rsid w:val="0006034A"/>
    <w:rsid w:val="00060DD8"/>
    <w:rsid w:val="00062910"/>
    <w:rsid w:val="00062D1D"/>
    <w:rsid w:val="00064389"/>
    <w:rsid w:val="00065E71"/>
    <w:rsid w:val="000666D5"/>
    <w:rsid w:val="000678F2"/>
    <w:rsid w:val="00072DE0"/>
    <w:rsid w:val="0007336E"/>
    <w:rsid w:val="00075A2A"/>
    <w:rsid w:val="000764FE"/>
    <w:rsid w:val="00076997"/>
    <w:rsid w:val="0007710F"/>
    <w:rsid w:val="00077CCE"/>
    <w:rsid w:val="000809F3"/>
    <w:rsid w:val="000813F3"/>
    <w:rsid w:val="0008279C"/>
    <w:rsid w:val="00082E7C"/>
    <w:rsid w:val="000833FE"/>
    <w:rsid w:val="00083AB9"/>
    <w:rsid w:val="000857BF"/>
    <w:rsid w:val="000866D7"/>
    <w:rsid w:val="00087190"/>
    <w:rsid w:val="00087E5F"/>
    <w:rsid w:val="0009077C"/>
    <w:rsid w:val="000909A1"/>
    <w:rsid w:val="00090EC3"/>
    <w:rsid w:val="000913D7"/>
    <w:rsid w:val="00092BFB"/>
    <w:rsid w:val="00093758"/>
    <w:rsid w:val="00093B9E"/>
    <w:rsid w:val="000968CA"/>
    <w:rsid w:val="000A0463"/>
    <w:rsid w:val="000A0A12"/>
    <w:rsid w:val="000A1757"/>
    <w:rsid w:val="000A2E4A"/>
    <w:rsid w:val="000A3C94"/>
    <w:rsid w:val="000A3C9B"/>
    <w:rsid w:val="000A4A65"/>
    <w:rsid w:val="000B0197"/>
    <w:rsid w:val="000B067C"/>
    <w:rsid w:val="000B08ED"/>
    <w:rsid w:val="000B1272"/>
    <w:rsid w:val="000B25EC"/>
    <w:rsid w:val="000B2C17"/>
    <w:rsid w:val="000B3762"/>
    <w:rsid w:val="000B3A58"/>
    <w:rsid w:val="000B3ADD"/>
    <w:rsid w:val="000B4085"/>
    <w:rsid w:val="000B4A25"/>
    <w:rsid w:val="000B5325"/>
    <w:rsid w:val="000B7227"/>
    <w:rsid w:val="000B778E"/>
    <w:rsid w:val="000B7D89"/>
    <w:rsid w:val="000C04B0"/>
    <w:rsid w:val="000C0E42"/>
    <w:rsid w:val="000C0F16"/>
    <w:rsid w:val="000C1BA3"/>
    <w:rsid w:val="000C5651"/>
    <w:rsid w:val="000C5849"/>
    <w:rsid w:val="000C66B8"/>
    <w:rsid w:val="000D2339"/>
    <w:rsid w:val="000D3E98"/>
    <w:rsid w:val="000D4562"/>
    <w:rsid w:val="000D45C4"/>
    <w:rsid w:val="000D6EB5"/>
    <w:rsid w:val="000D78F3"/>
    <w:rsid w:val="000E08F2"/>
    <w:rsid w:val="000E17B5"/>
    <w:rsid w:val="000E2591"/>
    <w:rsid w:val="000E397B"/>
    <w:rsid w:val="000E3BB2"/>
    <w:rsid w:val="000E42A4"/>
    <w:rsid w:val="000E4742"/>
    <w:rsid w:val="000E4E87"/>
    <w:rsid w:val="000E6720"/>
    <w:rsid w:val="000E6CE6"/>
    <w:rsid w:val="000E7216"/>
    <w:rsid w:val="000E7E8A"/>
    <w:rsid w:val="000F01F5"/>
    <w:rsid w:val="000F08C4"/>
    <w:rsid w:val="000F16B7"/>
    <w:rsid w:val="000F2922"/>
    <w:rsid w:val="000F32E2"/>
    <w:rsid w:val="000F3669"/>
    <w:rsid w:val="000F41F0"/>
    <w:rsid w:val="000F58F7"/>
    <w:rsid w:val="000F621B"/>
    <w:rsid w:val="000F6A09"/>
    <w:rsid w:val="000F745A"/>
    <w:rsid w:val="00101DDC"/>
    <w:rsid w:val="00102BA0"/>
    <w:rsid w:val="00102F0E"/>
    <w:rsid w:val="001033C5"/>
    <w:rsid w:val="001036DF"/>
    <w:rsid w:val="00103988"/>
    <w:rsid w:val="00104A63"/>
    <w:rsid w:val="00104D73"/>
    <w:rsid w:val="0010570B"/>
    <w:rsid w:val="001057BA"/>
    <w:rsid w:val="001059A9"/>
    <w:rsid w:val="00105F73"/>
    <w:rsid w:val="001064A8"/>
    <w:rsid w:val="00111C3D"/>
    <w:rsid w:val="00112409"/>
    <w:rsid w:val="00113A98"/>
    <w:rsid w:val="001143B8"/>
    <w:rsid w:val="001156D2"/>
    <w:rsid w:val="001156D8"/>
    <w:rsid w:val="00115E41"/>
    <w:rsid w:val="00117DB5"/>
    <w:rsid w:val="00120777"/>
    <w:rsid w:val="001217F7"/>
    <w:rsid w:val="00122513"/>
    <w:rsid w:val="00122B58"/>
    <w:rsid w:val="00123251"/>
    <w:rsid w:val="001249CD"/>
    <w:rsid w:val="00124B78"/>
    <w:rsid w:val="0012530A"/>
    <w:rsid w:val="00127880"/>
    <w:rsid w:val="0013044F"/>
    <w:rsid w:val="001316CC"/>
    <w:rsid w:val="001334A1"/>
    <w:rsid w:val="00134E99"/>
    <w:rsid w:val="00135237"/>
    <w:rsid w:val="0013537E"/>
    <w:rsid w:val="00135E05"/>
    <w:rsid w:val="00136586"/>
    <w:rsid w:val="00137479"/>
    <w:rsid w:val="00137648"/>
    <w:rsid w:val="00140A29"/>
    <w:rsid w:val="00141CA3"/>
    <w:rsid w:val="001422B3"/>
    <w:rsid w:val="00142368"/>
    <w:rsid w:val="00143F27"/>
    <w:rsid w:val="001457DF"/>
    <w:rsid w:val="00145AAB"/>
    <w:rsid w:val="0014681B"/>
    <w:rsid w:val="00146B78"/>
    <w:rsid w:val="00147714"/>
    <w:rsid w:val="00147E08"/>
    <w:rsid w:val="00151838"/>
    <w:rsid w:val="00152693"/>
    <w:rsid w:val="001534BE"/>
    <w:rsid w:val="001537DC"/>
    <w:rsid w:val="00154986"/>
    <w:rsid w:val="00154A59"/>
    <w:rsid w:val="001562A0"/>
    <w:rsid w:val="00161D9A"/>
    <w:rsid w:val="001622D3"/>
    <w:rsid w:val="00163760"/>
    <w:rsid w:val="00163DDF"/>
    <w:rsid w:val="00163F4E"/>
    <w:rsid w:val="00164BE6"/>
    <w:rsid w:val="00165A6C"/>
    <w:rsid w:val="00166D90"/>
    <w:rsid w:val="00171CA3"/>
    <w:rsid w:val="00171CE4"/>
    <w:rsid w:val="001720AD"/>
    <w:rsid w:val="00173643"/>
    <w:rsid w:val="0017420C"/>
    <w:rsid w:val="00174AE2"/>
    <w:rsid w:val="00174FF6"/>
    <w:rsid w:val="00175699"/>
    <w:rsid w:val="00176C1A"/>
    <w:rsid w:val="00177D70"/>
    <w:rsid w:val="001806DF"/>
    <w:rsid w:val="00180727"/>
    <w:rsid w:val="00181031"/>
    <w:rsid w:val="001810A7"/>
    <w:rsid w:val="001811C6"/>
    <w:rsid w:val="00181D5D"/>
    <w:rsid w:val="00181DC2"/>
    <w:rsid w:val="001820D2"/>
    <w:rsid w:val="001827AB"/>
    <w:rsid w:val="00182D9E"/>
    <w:rsid w:val="00184035"/>
    <w:rsid w:val="00184E05"/>
    <w:rsid w:val="0018634A"/>
    <w:rsid w:val="001867CA"/>
    <w:rsid w:val="00187857"/>
    <w:rsid w:val="001878B2"/>
    <w:rsid w:val="00190AEA"/>
    <w:rsid w:val="001914D0"/>
    <w:rsid w:val="00191CFA"/>
    <w:rsid w:val="0019553B"/>
    <w:rsid w:val="00196265"/>
    <w:rsid w:val="00196F66"/>
    <w:rsid w:val="00197543"/>
    <w:rsid w:val="00197995"/>
    <w:rsid w:val="00197E18"/>
    <w:rsid w:val="001A035E"/>
    <w:rsid w:val="001A0EE6"/>
    <w:rsid w:val="001A2B57"/>
    <w:rsid w:val="001A2E55"/>
    <w:rsid w:val="001A3685"/>
    <w:rsid w:val="001A37CC"/>
    <w:rsid w:val="001A3949"/>
    <w:rsid w:val="001A48AA"/>
    <w:rsid w:val="001A4B0F"/>
    <w:rsid w:val="001A4E2B"/>
    <w:rsid w:val="001A5FC4"/>
    <w:rsid w:val="001A7734"/>
    <w:rsid w:val="001B1824"/>
    <w:rsid w:val="001B216E"/>
    <w:rsid w:val="001B24EE"/>
    <w:rsid w:val="001B3313"/>
    <w:rsid w:val="001B5639"/>
    <w:rsid w:val="001B5EFB"/>
    <w:rsid w:val="001B74FA"/>
    <w:rsid w:val="001C0952"/>
    <w:rsid w:val="001C1121"/>
    <w:rsid w:val="001C113B"/>
    <w:rsid w:val="001C1C6F"/>
    <w:rsid w:val="001C284A"/>
    <w:rsid w:val="001C37E5"/>
    <w:rsid w:val="001C3D27"/>
    <w:rsid w:val="001C4568"/>
    <w:rsid w:val="001C5DED"/>
    <w:rsid w:val="001C6164"/>
    <w:rsid w:val="001C6A8D"/>
    <w:rsid w:val="001C7804"/>
    <w:rsid w:val="001C79CB"/>
    <w:rsid w:val="001D1937"/>
    <w:rsid w:val="001D1E47"/>
    <w:rsid w:val="001D1E5C"/>
    <w:rsid w:val="001D23E9"/>
    <w:rsid w:val="001D3859"/>
    <w:rsid w:val="001D5000"/>
    <w:rsid w:val="001D512E"/>
    <w:rsid w:val="001D5494"/>
    <w:rsid w:val="001D69C9"/>
    <w:rsid w:val="001D6FFF"/>
    <w:rsid w:val="001D7989"/>
    <w:rsid w:val="001E0533"/>
    <w:rsid w:val="001E0ADB"/>
    <w:rsid w:val="001E16DC"/>
    <w:rsid w:val="001E2195"/>
    <w:rsid w:val="001E2343"/>
    <w:rsid w:val="001E30EF"/>
    <w:rsid w:val="001E4216"/>
    <w:rsid w:val="001E4E81"/>
    <w:rsid w:val="001E5413"/>
    <w:rsid w:val="001E5F0E"/>
    <w:rsid w:val="001E7459"/>
    <w:rsid w:val="001E78A4"/>
    <w:rsid w:val="001E7DFC"/>
    <w:rsid w:val="001F09CD"/>
    <w:rsid w:val="001F0B9C"/>
    <w:rsid w:val="001F0DFC"/>
    <w:rsid w:val="001F104B"/>
    <w:rsid w:val="001F1904"/>
    <w:rsid w:val="001F24F3"/>
    <w:rsid w:val="001F2A58"/>
    <w:rsid w:val="001F2C92"/>
    <w:rsid w:val="001F51D3"/>
    <w:rsid w:val="001F630E"/>
    <w:rsid w:val="001F656B"/>
    <w:rsid w:val="001F65DB"/>
    <w:rsid w:val="001F67A7"/>
    <w:rsid w:val="001F7A96"/>
    <w:rsid w:val="00201ADF"/>
    <w:rsid w:val="00202989"/>
    <w:rsid w:val="00202B86"/>
    <w:rsid w:val="002030BE"/>
    <w:rsid w:val="00203281"/>
    <w:rsid w:val="002051E7"/>
    <w:rsid w:val="00205CE1"/>
    <w:rsid w:val="00205E91"/>
    <w:rsid w:val="00206350"/>
    <w:rsid w:val="00210586"/>
    <w:rsid w:val="0021072B"/>
    <w:rsid w:val="00210AF8"/>
    <w:rsid w:val="00210D16"/>
    <w:rsid w:val="002114C1"/>
    <w:rsid w:val="0021181D"/>
    <w:rsid w:val="0021182C"/>
    <w:rsid w:val="002133F8"/>
    <w:rsid w:val="00214967"/>
    <w:rsid w:val="002156A5"/>
    <w:rsid w:val="00216E16"/>
    <w:rsid w:val="002176FA"/>
    <w:rsid w:val="00217892"/>
    <w:rsid w:val="00217A66"/>
    <w:rsid w:val="002212DA"/>
    <w:rsid w:val="00221FA9"/>
    <w:rsid w:val="00223589"/>
    <w:rsid w:val="002242F0"/>
    <w:rsid w:val="0022461D"/>
    <w:rsid w:val="00225815"/>
    <w:rsid w:val="002262FB"/>
    <w:rsid w:val="00227006"/>
    <w:rsid w:val="00227165"/>
    <w:rsid w:val="00227981"/>
    <w:rsid w:val="00227E38"/>
    <w:rsid w:val="0023067D"/>
    <w:rsid w:val="002307E8"/>
    <w:rsid w:val="00232D89"/>
    <w:rsid w:val="002331C4"/>
    <w:rsid w:val="0023345C"/>
    <w:rsid w:val="00233EB8"/>
    <w:rsid w:val="00235010"/>
    <w:rsid w:val="00235DDA"/>
    <w:rsid w:val="00236E52"/>
    <w:rsid w:val="00237157"/>
    <w:rsid w:val="00237EC1"/>
    <w:rsid w:val="00241502"/>
    <w:rsid w:val="00241817"/>
    <w:rsid w:val="00242303"/>
    <w:rsid w:val="00242D84"/>
    <w:rsid w:val="00243946"/>
    <w:rsid w:val="00243B85"/>
    <w:rsid w:val="00244168"/>
    <w:rsid w:val="00244368"/>
    <w:rsid w:val="00244DD2"/>
    <w:rsid w:val="00245006"/>
    <w:rsid w:val="00245031"/>
    <w:rsid w:val="00246279"/>
    <w:rsid w:val="002464D2"/>
    <w:rsid w:val="00247A66"/>
    <w:rsid w:val="00247E26"/>
    <w:rsid w:val="00250886"/>
    <w:rsid w:val="00251953"/>
    <w:rsid w:val="0025318E"/>
    <w:rsid w:val="0025365E"/>
    <w:rsid w:val="002558C5"/>
    <w:rsid w:val="00255A3E"/>
    <w:rsid w:val="0025701E"/>
    <w:rsid w:val="00257B34"/>
    <w:rsid w:val="00261296"/>
    <w:rsid w:val="00261AF8"/>
    <w:rsid w:val="0026322A"/>
    <w:rsid w:val="002633F8"/>
    <w:rsid w:val="002638C0"/>
    <w:rsid w:val="00264BD9"/>
    <w:rsid w:val="0026547C"/>
    <w:rsid w:val="00266C82"/>
    <w:rsid w:val="00267AAE"/>
    <w:rsid w:val="00270C73"/>
    <w:rsid w:val="002713D0"/>
    <w:rsid w:val="00273045"/>
    <w:rsid w:val="002734B7"/>
    <w:rsid w:val="002743E0"/>
    <w:rsid w:val="00274C6A"/>
    <w:rsid w:val="002752FD"/>
    <w:rsid w:val="00275AD5"/>
    <w:rsid w:val="002760A0"/>
    <w:rsid w:val="002761C6"/>
    <w:rsid w:val="0027650C"/>
    <w:rsid w:val="002766F2"/>
    <w:rsid w:val="00280A8A"/>
    <w:rsid w:val="002819A0"/>
    <w:rsid w:val="00281BC2"/>
    <w:rsid w:val="00283DE5"/>
    <w:rsid w:val="0028791A"/>
    <w:rsid w:val="002902E5"/>
    <w:rsid w:val="00290CC3"/>
    <w:rsid w:val="00293187"/>
    <w:rsid w:val="002935C6"/>
    <w:rsid w:val="00294ED3"/>
    <w:rsid w:val="00295B58"/>
    <w:rsid w:val="00296301"/>
    <w:rsid w:val="00296412"/>
    <w:rsid w:val="00296500"/>
    <w:rsid w:val="00296B48"/>
    <w:rsid w:val="00297631"/>
    <w:rsid w:val="002A0150"/>
    <w:rsid w:val="002A04DA"/>
    <w:rsid w:val="002A0D07"/>
    <w:rsid w:val="002A1562"/>
    <w:rsid w:val="002A1E6F"/>
    <w:rsid w:val="002A2A3E"/>
    <w:rsid w:val="002A3404"/>
    <w:rsid w:val="002A3D54"/>
    <w:rsid w:val="002A51F5"/>
    <w:rsid w:val="002A6D2E"/>
    <w:rsid w:val="002A6FC2"/>
    <w:rsid w:val="002A7DD3"/>
    <w:rsid w:val="002B0564"/>
    <w:rsid w:val="002B0786"/>
    <w:rsid w:val="002B1A04"/>
    <w:rsid w:val="002B1B2F"/>
    <w:rsid w:val="002B22FA"/>
    <w:rsid w:val="002B26FC"/>
    <w:rsid w:val="002B294A"/>
    <w:rsid w:val="002B2C73"/>
    <w:rsid w:val="002B30DD"/>
    <w:rsid w:val="002B34AF"/>
    <w:rsid w:val="002B4720"/>
    <w:rsid w:val="002B517C"/>
    <w:rsid w:val="002B58F7"/>
    <w:rsid w:val="002C089D"/>
    <w:rsid w:val="002C0E23"/>
    <w:rsid w:val="002C106E"/>
    <w:rsid w:val="002C10A0"/>
    <w:rsid w:val="002C2377"/>
    <w:rsid w:val="002C2429"/>
    <w:rsid w:val="002C27D6"/>
    <w:rsid w:val="002C3975"/>
    <w:rsid w:val="002C4503"/>
    <w:rsid w:val="002C58AE"/>
    <w:rsid w:val="002C5DD4"/>
    <w:rsid w:val="002C648D"/>
    <w:rsid w:val="002C6B08"/>
    <w:rsid w:val="002C77DF"/>
    <w:rsid w:val="002D0427"/>
    <w:rsid w:val="002D297E"/>
    <w:rsid w:val="002D40E9"/>
    <w:rsid w:val="002D4437"/>
    <w:rsid w:val="002D52F2"/>
    <w:rsid w:val="002D53A7"/>
    <w:rsid w:val="002D57FF"/>
    <w:rsid w:val="002D6B05"/>
    <w:rsid w:val="002D7052"/>
    <w:rsid w:val="002D72CC"/>
    <w:rsid w:val="002E06FF"/>
    <w:rsid w:val="002E0EA9"/>
    <w:rsid w:val="002E1C7B"/>
    <w:rsid w:val="002E1D2C"/>
    <w:rsid w:val="002E3A43"/>
    <w:rsid w:val="002E440E"/>
    <w:rsid w:val="002E50A2"/>
    <w:rsid w:val="002E519C"/>
    <w:rsid w:val="002E6148"/>
    <w:rsid w:val="002E62A6"/>
    <w:rsid w:val="002E777C"/>
    <w:rsid w:val="002E7A76"/>
    <w:rsid w:val="002F006E"/>
    <w:rsid w:val="002F015A"/>
    <w:rsid w:val="002F17FE"/>
    <w:rsid w:val="002F2967"/>
    <w:rsid w:val="002F3DDD"/>
    <w:rsid w:val="002F486E"/>
    <w:rsid w:val="002F6205"/>
    <w:rsid w:val="002F6228"/>
    <w:rsid w:val="002F72C2"/>
    <w:rsid w:val="002F74C4"/>
    <w:rsid w:val="002F7C26"/>
    <w:rsid w:val="0030043B"/>
    <w:rsid w:val="003024BE"/>
    <w:rsid w:val="00302771"/>
    <w:rsid w:val="00304E77"/>
    <w:rsid w:val="00304E9D"/>
    <w:rsid w:val="00305115"/>
    <w:rsid w:val="0030699F"/>
    <w:rsid w:val="00312638"/>
    <w:rsid w:val="0031282B"/>
    <w:rsid w:val="00312DC9"/>
    <w:rsid w:val="0031542A"/>
    <w:rsid w:val="0031550C"/>
    <w:rsid w:val="00315FFD"/>
    <w:rsid w:val="00316B20"/>
    <w:rsid w:val="00320314"/>
    <w:rsid w:val="003208B9"/>
    <w:rsid w:val="00320AA0"/>
    <w:rsid w:val="00321081"/>
    <w:rsid w:val="00322C47"/>
    <w:rsid w:val="00323816"/>
    <w:rsid w:val="00323E5D"/>
    <w:rsid w:val="0032470D"/>
    <w:rsid w:val="003269D6"/>
    <w:rsid w:val="00326C61"/>
    <w:rsid w:val="00326D00"/>
    <w:rsid w:val="003271F2"/>
    <w:rsid w:val="003307E8"/>
    <w:rsid w:val="00330DFB"/>
    <w:rsid w:val="003322B7"/>
    <w:rsid w:val="00332DF7"/>
    <w:rsid w:val="00333491"/>
    <w:rsid w:val="00333B29"/>
    <w:rsid w:val="003348F7"/>
    <w:rsid w:val="00335259"/>
    <w:rsid w:val="00335446"/>
    <w:rsid w:val="00335529"/>
    <w:rsid w:val="00336410"/>
    <w:rsid w:val="003401D2"/>
    <w:rsid w:val="003407D7"/>
    <w:rsid w:val="00340EE7"/>
    <w:rsid w:val="003413FF"/>
    <w:rsid w:val="00341586"/>
    <w:rsid w:val="003418B9"/>
    <w:rsid w:val="0034381D"/>
    <w:rsid w:val="00343D9D"/>
    <w:rsid w:val="003447F5"/>
    <w:rsid w:val="003449D1"/>
    <w:rsid w:val="00344D68"/>
    <w:rsid w:val="00345093"/>
    <w:rsid w:val="003450C5"/>
    <w:rsid w:val="003458C9"/>
    <w:rsid w:val="00351657"/>
    <w:rsid w:val="003518C1"/>
    <w:rsid w:val="003548B2"/>
    <w:rsid w:val="00354C2A"/>
    <w:rsid w:val="0035502C"/>
    <w:rsid w:val="0035536B"/>
    <w:rsid w:val="0036031A"/>
    <w:rsid w:val="00360453"/>
    <w:rsid w:val="00360711"/>
    <w:rsid w:val="00360E6A"/>
    <w:rsid w:val="0036139E"/>
    <w:rsid w:val="003618EE"/>
    <w:rsid w:val="00365DB3"/>
    <w:rsid w:val="00365E38"/>
    <w:rsid w:val="00367C4D"/>
    <w:rsid w:val="0037046D"/>
    <w:rsid w:val="00370618"/>
    <w:rsid w:val="00370E9A"/>
    <w:rsid w:val="003737F3"/>
    <w:rsid w:val="00373AAE"/>
    <w:rsid w:val="00373C9B"/>
    <w:rsid w:val="00374CD8"/>
    <w:rsid w:val="00375164"/>
    <w:rsid w:val="0037553D"/>
    <w:rsid w:val="003757A4"/>
    <w:rsid w:val="00375C27"/>
    <w:rsid w:val="003764ED"/>
    <w:rsid w:val="003766F0"/>
    <w:rsid w:val="00377EDA"/>
    <w:rsid w:val="00380145"/>
    <w:rsid w:val="00380213"/>
    <w:rsid w:val="00380C23"/>
    <w:rsid w:val="00380F15"/>
    <w:rsid w:val="00381550"/>
    <w:rsid w:val="00381816"/>
    <w:rsid w:val="00381E5D"/>
    <w:rsid w:val="00383242"/>
    <w:rsid w:val="00383BF9"/>
    <w:rsid w:val="00383E3F"/>
    <w:rsid w:val="00383EAA"/>
    <w:rsid w:val="00384F15"/>
    <w:rsid w:val="0038546F"/>
    <w:rsid w:val="003856DE"/>
    <w:rsid w:val="0038658E"/>
    <w:rsid w:val="00387326"/>
    <w:rsid w:val="00390193"/>
    <w:rsid w:val="003902B1"/>
    <w:rsid w:val="0039052B"/>
    <w:rsid w:val="003910BF"/>
    <w:rsid w:val="00393C08"/>
    <w:rsid w:val="00393F58"/>
    <w:rsid w:val="0039455F"/>
    <w:rsid w:val="0039458E"/>
    <w:rsid w:val="00394C60"/>
    <w:rsid w:val="00394E72"/>
    <w:rsid w:val="003966EA"/>
    <w:rsid w:val="003A14E3"/>
    <w:rsid w:val="003A1F4A"/>
    <w:rsid w:val="003A2971"/>
    <w:rsid w:val="003A31A7"/>
    <w:rsid w:val="003A367F"/>
    <w:rsid w:val="003A3C39"/>
    <w:rsid w:val="003A418F"/>
    <w:rsid w:val="003A51A4"/>
    <w:rsid w:val="003A51C9"/>
    <w:rsid w:val="003A64B2"/>
    <w:rsid w:val="003A6FE6"/>
    <w:rsid w:val="003A7693"/>
    <w:rsid w:val="003B3F74"/>
    <w:rsid w:val="003B4C95"/>
    <w:rsid w:val="003B54D5"/>
    <w:rsid w:val="003B6551"/>
    <w:rsid w:val="003B668E"/>
    <w:rsid w:val="003B6764"/>
    <w:rsid w:val="003B6872"/>
    <w:rsid w:val="003C091B"/>
    <w:rsid w:val="003C0F2B"/>
    <w:rsid w:val="003C14E7"/>
    <w:rsid w:val="003C2330"/>
    <w:rsid w:val="003C24BB"/>
    <w:rsid w:val="003C2580"/>
    <w:rsid w:val="003C259B"/>
    <w:rsid w:val="003C34C9"/>
    <w:rsid w:val="003C4C38"/>
    <w:rsid w:val="003C554C"/>
    <w:rsid w:val="003C621D"/>
    <w:rsid w:val="003C68AA"/>
    <w:rsid w:val="003D046F"/>
    <w:rsid w:val="003D12E0"/>
    <w:rsid w:val="003D1F93"/>
    <w:rsid w:val="003D4403"/>
    <w:rsid w:val="003D5A10"/>
    <w:rsid w:val="003D5BF1"/>
    <w:rsid w:val="003D65EF"/>
    <w:rsid w:val="003D6C42"/>
    <w:rsid w:val="003D77F5"/>
    <w:rsid w:val="003D7EDD"/>
    <w:rsid w:val="003E002C"/>
    <w:rsid w:val="003E02F4"/>
    <w:rsid w:val="003E07EE"/>
    <w:rsid w:val="003E119E"/>
    <w:rsid w:val="003E1B53"/>
    <w:rsid w:val="003E1EF1"/>
    <w:rsid w:val="003E1F4D"/>
    <w:rsid w:val="003E37A1"/>
    <w:rsid w:val="003E3A12"/>
    <w:rsid w:val="003E4973"/>
    <w:rsid w:val="003E49EF"/>
    <w:rsid w:val="003E4CB8"/>
    <w:rsid w:val="003E559E"/>
    <w:rsid w:val="003E57AE"/>
    <w:rsid w:val="003E59C0"/>
    <w:rsid w:val="003E633B"/>
    <w:rsid w:val="003E6DFB"/>
    <w:rsid w:val="003F1187"/>
    <w:rsid w:val="003F132F"/>
    <w:rsid w:val="003F2881"/>
    <w:rsid w:val="003F2AA6"/>
    <w:rsid w:val="003F3188"/>
    <w:rsid w:val="003F3227"/>
    <w:rsid w:val="003F426E"/>
    <w:rsid w:val="003F4F1D"/>
    <w:rsid w:val="003F5633"/>
    <w:rsid w:val="003F5687"/>
    <w:rsid w:val="003F676A"/>
    <w:rsid w:val="003F750F"/>
    <w:rsid w:val="00400002"/>
    <w:rsid w:val="00400180"/>
    <w:rsid w:val="00401126"/>
    <w:rsid w:val="0040197E"/>
    <w:rsid w:val="004037EC"/>
    <w:rsid w:val="00404354"/>
    <w:rsid w:val="00404553"/>
    <w:rsid w:val="0040508D"/>
    <w:rsid w:val="0040702A"/>
    <w:rsid w:val="004075B0"/>
    <w:rsid w:val="00410E7D"/>
    <w:rsid w:val="004110D8"/>
    <w:rsid w:val="004123C0"/>
    <w:rsid w:val="004126C1"/>
    <w:rsid w:val="004127B8"/>
    <w:rsid w:val="00412BB7"/>
    <w:rsid w:val="00412F6C"/>
    <w:rsid w:val="00413E19"/>
    <w:rsid w:val="00413FC2"/>
    <w:rsid w:val="00414CF3"/>
    <w:rsid w:val="00415A23"/>
    <w:rsid w:val="00416AA3"/>
    <w:rsid w:val="00417724"/>
    <w:rsid w:val="00420297"/>
    <w:rsid w:val="00421311"/>
    <w:rsid w:val="0042189C"/>
    <w:rsid w:val="00421AA7"/>
    <w:rsid w:val="00421DE0"/>
    <w:rsid w:val="004241F7"/>
    <w:rsid w:val="0042517D"/>
    <w:rsid w:val="00425DDE"/>
    <w:rsid w:val="00425E88"/>
    <w:rsid w:val="00426908"/>
    <w:rsid w:val="00430160"/>
    <w:rsid w:val="004314EF"/>
    <w:rsid w:val="00431563"/>
    <w:rsid w:val="004325B0"/>
    <w:rsid w:val="004329A4"/>
    <w:rsid w:val="00432ABD"/>
    <w:rsid w:val="00432C28"/>
    <w:rsid w:val="00432EE7"/>
    <w:rsid w:val="00434D6D"/>
    <w:rsid w:val="00435288"/>
    <w:rsid w:val="00436A1A"/>
    <w:rsid w:val="00436BC8"/>
    <w:rsid w:val="00437318"/>
    <w:rsid w:val="00441134"/>
    <w:rsid w:val="004417DC"/>
    <w:rsid w:val="00441ADD"/>
    <w:rsid w:val="004422A1"/>
    <w:rsid w:val="00443CA4"/>
    <w:rsid w:val="004441DA"/>
    <w:rsid w:val="00445701"/>
    <w:rsid w:val="00446E84"/>
    <w:rsid w:val="00447A9B"/>
    <w:rsid w:val="004519CB"/>
    <w:rsid w:val="00452751"/>
    <w:rsid w:val="00452BA7"/>
    <w:rsid w:val="00454DEB"/>
    <w:rsid w:val="00455585"/>
    <w:rsid w:val="00455FF9"/>
    <w:rsid w:val="004569E4"/>
    <w:rsid w:val="00456A4A"/>
    <w:rsid w:val="00456D2C"/>
    <w:rsid w:val="0045725C"/>
    <w:rsid w:val="00457A90"/>
    <w:rsid w:val="00457CDA"/>
    <w:rsid w:val="00460111"/>
    <w:rsid w:val="00460B07"/>
    <w:rsid w:val="00460EC6"/>
    <w:rsid w:val="00461E9F"/>
    <w:rsid w:val="00462300"/>
    <w:rsid w:val="00464E19"/>
    <w:rsid w:val="00465193"/>
    <w:rsid w:val="00465E88"/>
    <w:rsid w:val="00467D2B"/>
    <w:rsid w:val="0047033B"/>
    <w:rsid w:val="00472F10"/>
    <w:rsid w:val="0047349C"/>
    <w:rsid w:val="00473FD5"/>
    <w:rsid w:val="004745ED"/>
    <w:rsid w:val="00475054"/>
    <w:rsid w:val="004760EE"/>
    <w:rsid w:val="00476408"/>
    <w:rsid w:val="00476F73"/>
    <w:rsid w:val="00477134"/>
    <w:rsid w:val="00477E38"/>
    <w:rsid w:val="00480090"/>
    <w:rsid w:val="0048098B"/>
    <w:rsid w:val="00480A4A"/>
    <w:rsid w:val="004817BB"/>
    <w:rsid w:val="00481A5D"/>
    <w:rsid w:val="00481C7C"/>
    <w:rsid w:val="00483946"/>
    <w:rsid w:val="00483DD3"/>
    <w:rsid w:val="00484021"/>
    <w:rsid w:val="00485F0D"/>
    <w:rsid w:val="0048653E"/>
    <w:rsid w:val="00486BDE"/>
    <w:rsid w:val="00487425"/>
    <w:rsid w:val="004875DA"/>
    <w:rsid w:val="00490FD4"/>
    <w:rsid w:val="004916B2"/>
    <w:rsid w:val="00491842"/>
    <w:rsid w:val="00491C5D"/>
    <w:rsid w:val="004925CD"/>
    <w:rsid w:val="004949D8"/>
    <w:rsid w:val="004960A9"/>
    <w:rsid w:val="004964A0"/>
    <w:rsid w:val="004A0EA2"/>
    <w:rsid w:val="004A12DC"/>
    <w:rsid w:val="004A2688"/>
    <w:rsid w:val="004A2E31"/>
    <w:rsid w:val="004A3061"/>
    <w:rsid w:val="004A39E5"/>
    <w:rsid w:val="004A428B"/>
    <w:rsid w:val="004A583D"/>
    <w:rsid w:val="004A5B24"/>
    <w:rsid w:val="004A6D99"/>
    <w:rsid w:val="004A725F"/>
    <w:rsid w:val="004B02CF"/>
    <w:rsid w:val="004B1685"/>
    <w:rsid w:val="004B1E68"/>
    <w:rsid w:val="004B28CB"/>
    <w:rsid w:val="004B2BCB"/>
    <w:rsid w:val="004B5813"/>
    <w:rsid w:val="004B5C93"/>
    <w:rsid w:val="004B76DF"/>
    <w:rsid w:val="004B7E45"/>
    <w:rsid w:val="004C005C"/>
    <w:rsid w:val="004C02AE"/>
    <w:rsid w:val="004C0763"/>
    <w:rsid w:val="004C09D4"/>
    <w:rsid w:val="004C3200"/>
    <w:rsid w:val="004C4033"/>
    <w:rsid w:val="004C5783"/>
    <w:rsid w:val="004C6D5D"/>
    <w:rsid w:val="004C6F2D"/>
    <w:rsid w:val="004C7341"/>
    <w:rsid w:val="004C7899"/>
    <w:rsid w:val="004D35A7"/>
    <w:rsid w:val="004D6554"/>
    <w:rsid w:val="004D65B1"/>
    <w:rsid w:val="004D6A59"/>
    <w:rsid w:val="004D76AD"/>
    <w:rsid w:val="004D7ECA"/>
    <w:rsid w:val="004E0E2C"/>
    <w:rsid w:val="004E2196"/>
    <w:rsid w:val="004E2723"/>
    <w:rsid w:val="004E7102"/>
    <w:rsid w:val="004F0600"/>
    <w:rsid w:val="004F074E"/>
    <w:rsid w:val="004F0CCD"/>
    <w:rsid w:val="004F0F8C"/>
    <w:rsid w:val="004F1377"/>
    <w:rsid w:val="004F177F"/>
    <w:rsid w:val="004F2ED2"/>
    <w:rsid w:val="004F33C1"/>
    <w:rsid w:val="004F3FDF"/>
    <w:rsid w:val="004F4BF3"/>
    <w:rsid w:val="004F5405"/>
    <w:rsid w:val="004F54AC"/>
    <w:rsid w:val="004F561C"/>
    <w:rsid w:val="004F57D1"/>
    <w:rsid w:val="004F7262"/>
    <w:rsid w:val="00500A7A"/>
    <w:rsid w:val="00501299"/>
    <w:rsid w:val="00501381"/>
    <w:rsid w:val="005014C0"/>
    <w:rsid w:val="00505081"/>
    <w:rsid w:val="0050521C"/>
    <w:rsid w:val="005052D4"/>
    <w:rsid w:val="00505D97"/>
    <w:rsid w:val="00506773"/>
    <w:rsid w:val="005071CB"/>
    <w:rsid w:val="005072B4"/>
    <w:rsid w:val="005125FE"/>
    <w:rsid w:val="00512C2F"/>
    <w:rsid w:val="005136C4"/>
    <w:rsid w:val="00513C2A"/>
    <w:rsid w:val="00514A43"/>
    <w:rsid w:val="00514BB3"/>
    <w:rsid w:val="00514E7D"/>
    <w:rsid w:val="00514EF2"/>
    <w:rsid w:val="005159F9"/>
    <w:rsid w:val="00515D78"/>
    <w:rsid w:val="0051657A"/>
    <w:rsid w:val="005208BA"/>
    <w:rsid w:val="00520920"/>
    <w:rsid w:val="00521A67"/>
    <w:rsid w:val="005236D6"/>
    <w:rsid w:val="00524E46"/>
    <w:rsid w:val="00525D52"/>
    <w:rsid w:val="00527554"/>
    <w:rsid w:val="00531026"/>
    <w:rsid w:val="00531451"/>
    <w:rsid w:val="005314C0"/>
    <w:rsid w:val="00531913"/>
    <w:rsid w:val="00533745"/>
    <w:rsid w:val="005365AC"/>
    <w:rsid w:val="005372B1"/>
    <w:rsid w:val="00537F7A"/>
    <w:rsid w:val="0054004E"/>
    <w:rsid w:val="005400D4"/>
    <w:rsid w:val="0054190E"/>
    <w:rsid w:val="00541B0E"/>
    <w:rsid w:val="005429C6"/>
    <w:rsid w:val="005439E7"/>
    <w:rsid w:val="00543E45"/>
    <w:rsid w:val="00544A0E"/>
    <w:rsid w:val="00544B23"/>
    <w:rsid w:val="00545748"/>
    <w:rsid w:val="00546315"/>
    <w:rsid w:val="00546722"/>
    <w:rsid w:val="0054748B"/>
    <w:rsid w:val="0054759C"/>
    <w:rsid w:val="005476D0"/>
    <w:rsid w:val="00550462"/>
    <w:rsid w:val="00550A35"/>
    <w:rsid w:val="005513AE"/>
    <w:rsid w:val="00551753"/>
    <w:rsid w:val="00553D7B"/>
    <w:rsid w:val="005540C1"/>
    <w:rsid w:val="00555226"/>
    <w:rsid w:val="00556006"/>
    <w:rsid w:val="00556718"/>
    <w:rsid w:val="0055688B"/>
    <w:rsid w:val="00561066"/>
    <w:rsid w:val="005618DD"/>
    <w:rsid w:val="00562541"/>
    <w:rsid w:val="005626FD"/>
    <w:rsid w:val="00562ECB"/>
    <w:rsid w:val="00562F00"/>
    <w:rsid w:val="00563060"/>
    <w:rsid w:val="005640A6"/>
    <w:rsid w:val="00566387"/>
    <w:rsid w:val="005670D7"/>
    <w:rsid w:val="005676C0"/>
    <w:rsid w:val="00567A1F"/>
    <w:rsid w:val="00570034"/>
    <w:rsid w:val="0057145E"/>
    <w:rsid w:val="005714FC"/>
    <w:rsid w:val="00572426"/>
    <w:rsid w:val="0057265F"/>
    <w:rsid w:val="005730A7"/>
    <w:rsid w:val="00574463"/>
    <w:rsid w:val="00574604"/>
    <w:rsid w:val="0057668A"/>
    <w:rsid w:val="0057756B"/>
    <w:rsid w:val="005802F2"/>
    <w:rsid w:val="0058195E"/>
    <w:rsid w:val="00581AC4"/>
    <w:rsid w:val="00584E21"/>
    <w:rsid w:val="0058516B"/>
    <w:rsid w:val="00585349"/>
    <w:rsid w:val="0058587B"/>
    <w:rsid w:val="005858E6"/>
    <w:rsid w:val="0058662E"/>
    <w:rsid w:val="00590413"/>
    <w:rsid w:val="00590B8C"/>
    <w:rsid w:val="005912CA"/>
    <w:rsid w:val="005913B9"/>
    <w:rsid w:val="00591CD6"/>
    <w:rsid w:val="00591E4A"/>
    <w:rsid w:val="00593E0E"/>
    <w:rsid w:val="005943CC"/>
    <w:rsid w:val="00596997"/>
    <w:rsid w:val="00596E3E"/>
    <w:rsid w:val="0059797D"/>
    <w:rsid w:val="005A0504"/>
    <w:rsid w:val="005A0A78"/>
    <w:rsid w:val="005A0EF8"/>
    <w:rsid w:val="005A160B"/>
    <w:rsid w:val="005A1A06"/>
    <w:rsid w:val="005A24A1"/>
    <w:rsid w:val="005A2913"/>
    <w:rsid w:val="005A318A"/>
    <w:rsid w:val="005A5026"/>
    <w:rsid w:val="005A548E"/>
    <w:rsid w:val="005A6B85"/>
    <w:rsid w:val="005A7EDF"/>
    <w:rsid w:val="005B172F"/>
    <w:rsid w:val="005B1AAE"/>
    <w:rsid w:val="005B1DDE"/>
    <w:rsid w:val="005B2237"/>
    <w:rsid w:val="005B35AD"/>
    <w:rsid w:val="005B5497"/>
    <w:rsid w:val="005B5F7B"/>
    <w:rsid w:val="005B78C4"/>
    <w:rsid w:val="005C069A"/>
    <w:rsid w:val="005C23D8"/>
    <w:rsid w:val="005C2DD0"/>
    <w:rsid w:val="005C30E3"/>
    <w:rsid w:val="005C3A71"/>
    <w:rsid w:val="005C3BE8"/>
    <w:rsid w:val="005C3D41"/>
    <w:rsid w:val="005C450C"/>
    <w:rsid w:val="005C455F"/>
    <w:rsid w:val="005C4780"/>
    <w:rsid w:val="005C4FA0"/>
    <w:rsid w:val="005C54AA"/>
    <w:rsid w:val="005C56CF"/>
    <w:rsid w:val="005C5D71"/>
    <w:rsid w:val="005C72CD"/>
    <w:rsid w:val="005C72F1"/>
    <w:rsid w:val="005D09CE"/>
    <w:rsid w:val="005D09E2"/>
    <w:rsid w:val="005D0FCA"/>
    <w:rsid w:val="005D1D54"/>
    <w:rsid w:val="005D293C"/>
    <w:rsid w:val="005D3232"/>
    <w:rsid w:val="005D35B0"/>
    <w:rsid w:val="005D388A"/>
    <w:rsid w:val="005D3FDC"/>
    <w:rsid w:val="005D50E7"/>
    <w:rsid w:val="005D51FA"/>
    <w:rsid w:val="005D5971"/>
    <w:rsid w:val="005D62C9"/>
    <w:rsid w:val="005D67FB"/>
    <w:rsid w:val="005D6B54"/>
    <w:rsid w:val="005D7500"/>
    <w:rsid w:val="005D7CD7"/>
    <w:rsid w:val="005E1EC6"/>
    <w:rsid w:val="005E2F0F"/>
    <w:rsid w:val="005E3777"/>
    <w:rsid w:val="005E4D91"/>
    <w:rsid w:val="005E4FF3"/>
    <w:rsid w:val="005E6084"/>
    <w:rsid w:val="005E72C3"/>
    <w:rsid w:val="005E7622"/>
    <w:rsid w:val="005E7F59"/>
    <w:rsid w:val="005F02AA"/>
    <w:rsid w:val="005F07F2"/>
    <w:rsid w:val="005F50D7"/>
    <w:rsid w:val="005F72C8"/>
    <w:rsid w:val="005F759D"/>
    <w:rsid w:val="005F7D58"/>
    <w:rsid w:val="00600175"/>
    <w:rsid w:val="00601091"/>
    <w:rsid w:val="00601C94"/>
    <w:rsid w:val="00601DCF"/>
    <w:rsid w:val="00602378"/>
    <w:rsid w:val="00603887"/>
    <w:rsid w:val="00603A2A"/>
    <w:rsid w:val="0061088D"/>
    <w:rsid w:val="006119C6"/>
    <w:rsid w:val="00613560"/>
    <w:rsid w:val="00613B1E"/>
    <w:rsid w:val="00614CAB"/>
    <w:rsid w:val="00614E06"/>
    <w:rsid w:val="00616887"/>
    <w:rsid w:val="00616FFD"/>
    <w:rsid w:val="00617029"/>
    <w:rsid w:val="00620363"/>
    <w:rsid w:val="0062077B"/>
    <w:rsid w:val="00620AD4"/>
    <w:rsid w:val="00622234"/>
    <w:rsid w:val="006227CF"/>
    <w:rsid w:val="006230AF"/>
    <w:rsid w:val="00623A36"/>
    <w:rsid w:val="00624085"/>
    <w:rsid w:val="00625116"/>
    <w:rsid w:val="006262FA"/>
    <w:rsid w:val="006263F0"/>
    <w:rsid w:val="00626531"/>
    <w:rsid w:val="006271C5"/>
    <w:rsid w:val="006278E6"/>
    <w:rsid w:val="00627D52"/>
    <w:rsid w:val="0063079B"/>
    <w:rsid w:val="00631846"/>
    <w:rsid w:val="00631A5A"/>
    <w:rsid w:val="00636FB9"/>
    <w:rsid w:val="00637108"/>
    <w:rsid w:val="00640E0C"/>
    <w:rsid w:val="00641ABB"/>
    <w:rsid w:val="00641C4B"/>
    <w:rsid w:val="00645A15"/>
    <w:rsid w:val="00645C18"/>
    <w:rsid w:val="00645D44"/>
    <w:rsid w:val="00646431"/>
    <w:rsid w:val="00647938"/>
    <w:rsid w:val="00650248"/>
    <w:rsid w:val="006521E2"/>
    <w:rsid w:val="006525C1"/>
    <w:rsid w:val="006526B2"/>
    <w:rsid w:val="00653148"/>
    <w:rsid w:val="00653F16"/>
    <w:rsid w:val="006545B4"/>
    <w:rsid w:val="006546DC"/>
    <w:rsid w:val="006550C1"/>
    <w:rsid w:val="00660C4A"/>
    <w:rsid w:val="00665401"/>
    <w:rsid w:val="00665BFB"/>
    <w:rsid w:val="00666DB5"/>
    <w:rsid w:val="00667DB1"/>
    <w:rsid w:val="00670D4C"/>
    <w:rsid w:val="00670F69"/>
    <w:rsid w:val="006719F4"/>
    <w:rsid w:val="00673091"/>
    <w:rsid w:val="0067348B"/>
    <w:rsid w:val="006736E2"/>
    <w:rsid w:val="00673D1D"/>
    <w:rsid w:val="0067472C"/>
    <w:rsid w:val="0067527A"/>
    <w:rsid w:val="00675A50"/>
    <w:rsid w:val="006762F7"/>
    <w:rsid w:val="00676308"/>
    <w:rsid w:val="00676BC6"/>
    <w:rsid w:val="00677D21"/>
    <w:rsid w:val="00680D55"/>
    <w:rsid w:val="00681115"/>
    <w:rsid w:val="00681271"/>
    <w:rsid w:val="00681374"/>
    <w:rsid w:val="00681E6A"/>
    <w:rsid w:val="00683A67"/>
    <w:rsid w:val="00683C4D"/>
    <w:rsid w:val="006845CA"/>
    <w:rsid w:val="006851F3"/>
    <w:rsid w:val="00685543"/>
    <w:rsid w:val="0068701B"/>
    <w:rsid w:val="00687809"/>
    <w:rsid w:val="00687E9E"/>
    <w:rsid w:val="006910CD"/>
    <w:rsid w:val="006913B0"/>
    <w:rsid w:val="00693072"/>
    <w:rsid w:val="006965FB"/>
    <w:rsid w:val="006969C4"/>
    <w:rsid w:val="006973EF"/>
    <w:rsid w:val="00697EF0"/>
    <w:rsid w:val="006A08B1"/>
    <w:rsid w:val="006A3B11"/>
    <w:rsid w:val="006A4563"/>
    <w:rsid w:val="006A485E"/>
    <w:rsid w:val="006A5F9D"/>
    <w:rsid w:val="006A621B"/>
    <w:rsid w:val="006A6417"/>
    <w:rsid w:val="006A6801"/>
    <w:rsid w:val="006A68C9"/>
    <w:rsid w:val="006A7A42"/>
    <w:rsid w:val="006A7C38"/>
    <w:rsid w:val="006A7F1E"/>
    <w:rsid w:val="006B45EB"/>
    <w:rsid w:val="006B4FD7"/>
    <w:rsid w:val="006B5049"/>
    <w:rsid w:val="006B5485"/>
    <w:rsid w:val="006B5AD5"/>
    <w:rsid w:val="006B623D"/>
    <w:rsid w:val="006B6496"/>
    <w:rsid w:val="006B7153"/>
    <w:rsid w:val="006B72F0"/>
    <w:rsid w:val="006C1FE1"/>
    <w:rsid w:val="006C26BF"/>
    <w:rsid w:val="006C2BED"/>
    <w:rsid w:val="006C37ED"/>
    <w:rsid w:val="006C4201"/>
    <w:rsid w:val="006C6251"/>
    <w:rsid w:val="006C6334"/>
    <w:rsid w:val="006C75F4"/>
    <w:rsid w:val="006D0DF4"/>
    <w:rsid w:val="006D1032"/>
    <w:rsid w:val="006D115C"/>
    <w:rsid w:val="006D1B81"/>
    <w:rsid w:val="006D36D1"/>
    <w:rsid w:val="006D3AE6"/>
    <w:rsid w:val="006D4C70"/>
    <w:rsid w:val="006D60AC"/>
    <w:rsid w:val="006D6A11"/>
    <w:rsid w:val="006D6A84"/>
    <w:rsid w:val="006D7280"/>
    <w:rsid w:val="006D7E1C"/>
    <w:rsid w:val="006E03C0"/>
    <w:rsid w:val="006E0DFE"/>
    <w:rsid w:val="006E1151"/>
    <w:rsid w:val="006E178F"/>
    <w:rsid w:val="006E1A79"/>
    <w:rsid w:val="006E2864"/>
    <w:rsid w:val="006E2A82"/>
    <w:rsid w:val="006E319E"/>
    <w:rsid w:val="006E3986"/>
    <w:rsid w:val="006E6AE0"/>
    <w:rsid w:val="006E6FB9"/>
    <w:rsid w:val="006F13A9"/>
    <w:rsid w:val="006F161F"/>
    <w:rsid w:val="006F4C59"/>
    <w:rsid w:val="006F5265"/>
    <w:rsid w:val="006F55D4"/>
    <w:rsid w:val="006F6176"/>
    <w:rsid w:val="006F6B08"/>
    <w:rsid w:val="00701A10"/>
    <w:rsid w:val="00701A53"/>
    <w:rsid w:val="00701E1C"/>
    <w:rsid w:val="00702CE8"/>
    <w:rsid w:val="00702E38"/>
    <w:rsid w:val="00704AB7"/>
    <w:rsid w:val="007050C4"/>
    <w:rsid w:val="00705514"/>
    <w:rsid w:val="0070596F"/>
    <w:rsid w:val="007062D3"/>
    <w:rsid w:val="00706E32"/>
    <w:rsid w:val="00707553"/>
    <w:rsid w:val="007105B3"/>
    <w:rsid w:val="007117FB"/>
    <w:rsid w:val="00712206"/>
    <w:rsid w:val="007140CB"/>
    <w:rsid w:val="00714359"/>
    <w:rsid w:val="00715127"/>
    <w:rsid w:val="007159BC"/>
    <w:rsid w:val="00716D54"/>
    <w:rsid w:val="00716F31"/>
    <w:rsid w:val="00717A70"/>
    <w:rsid w:val="007206EF"/>
    <w:rsid w:val="00720C28"/>
    <w:rsid w:val="00720E37"/>
    <w:rsid w:val="00721106"/>
    <w:rsid w:val="00721312"/>
    <w:rsid w:val="007216A1"/>
    <w:rsid w:val="00721ECA"/>
    <w:rsid w:val="007239C9"/>
    <w:rsid w:val="00723A4C"/>
    <w:rsid w:val="007240A9"/>
    <w:rsid w:val="00724C2D"/>
    <w:rsid w:val="007274D1"/>
    <w:rsid w:val="0073158A"/>
    <w:rsid w:val="00731C98"/>
    <w:rsid w:val="0073333F"/>
    <w:rsid w:val="00733791"/>
    <w:rsid w:val="00734237"/>
    <w:rsid w:val="00735B05"/>
    <w:rsid w:val="00736C02"/>
    <w:rsid w:val="0073756B"/>
    <w:rsid w:val="00737BA3"/>
    <w:rsid w:val="00737D67"/>
    <w:rsid w:val="00740416"/>
    <w:rsid w:val="00742715"/>
    <w:rsid w:val="00743BDF"/>
    <w:rsid w:val="00744A45"/>
    <w:rsid w:val="0074662B"/>
    <w:rsid w:val="00746890"/>
    <w:rsid w:val="0074710E"/>
    <w:rsid w:val="00747291"/>
    <w:rsid w:val="00747447"/>
    <w:rsid w:val="00747E72"/>
    <w:rsid w:val="007505AA"/>
    <w:rsid w:val="007519EE"/>
    <w:rsid w:val="00752A08"/>
    <w:rsid w:val="00753EBA"/>
    <w:rsid w:val="0075424B"/>
    <w:rsid w:val="00754D03"/>
    <w:rsid w:val="007578F3"/>
    <w:rsid w:val="00757996"/>
    <w:rsid w:val="007606D7"/>
    <w:rsid w:val="00761E1D"/>
    <w:rsid w:val="007626B0"/>
    <w:rsid w:val="00762BD6"/>
    <w:rsid w:val="0076342B"/>
    <w:rsid w:val="00764ACB"/>
    <w:rsid w:val="00765526"/>
    <w:rsid w:val="007665FC"/>
    <w:rsid w:val="007668A2"/>
    <w:rsid w:val="0076788C"/>
    <w:rsid w:val="00770A25"/>
    <w:rsid w:val="00771389"/>
    <w:rsid w:val="00771676"/>
    <w:rsid w:val="00771E82"/>
    <w:rsid w:val="0077205A"/>
    <w:rsid w:val="00772AD6"/>
    <w:rsid w:val="0077331D"/>
    <w:rsid w:val="007744BF"/>
    <w:rsid w:val="0077469D"/>
    <w:rsid w:val="0077480F"/>
    <w:rsid w:val="0077628B"/>
    <w:rsid w:val="00776485"/>
    <w:rsid w:val="007810B5"/>
    <w:rsid w:val="00781F61"/>
    <w:rsid w:val="0078310E"/>
    <w:rsid w:val="00784CBE"/>
    <w:rsid w:val="007852D7"/>
    <w:rsid w:val="007866E0"/>
    <w:rsid w:val="00791215"/>
    <w:rsid w:val="00792C85"/>
    <w:rsid w:val="00792CDB"/>
    <w:rsid w:val="007939B3"/>
    <w:rsid w:val="00793C23"/>
    <w:rsid w:val="0079458C"/>
    <w:rsid w:val="00794653"/>
    <w:rsid w:val="00795050"/>
    <w:rsid w:val="007953C2"/>
    <w:rsid w:val="00795DAF"/>
    <w:rsid w:val="0079608C"/>
    <w:rsid w:val="00796D4D"/>
    <w:rsid w:val="007976FC"/>
    <w:rsid w:val="007978D0"/>
    <w:rsid w:val="007A16E6"/>
    <w:rsid w:val="007A1990"/>
    <w:rsid w:val="007A2892"/>
    <w:rsid w:val="007A2A70"/>
    <w:rsid w:val="007A3F77"/>
    <w:rsid w:val="007A43E5"/>
    <w:rsid w:val="007A5A76"/>
    <w:rsid w:val="007A6E04"/>
    <w:rsid w:val="007A713E"/>
    <w:rsid w:val="007A78BF"/>
    <w:rsid w:val="007A7BAB"/>
    <w:rsid w:val="007B038C"/>
    <w:rsid w:val="007B190B"/>
    <w:rsid w:val="007B37A4"/>
    <w:rsid w:val="007B40A3"/>
    <w:rsid w:val="007B5515"/>
    <w:rsid w:val="007B67F0"/>
    <w:rsid w:val="007C0A79"/>
    <w:rsid w:val="007C0C35"/>
    <w:rsid w:val="007C0C6D"/>
    <w:rsid w:val="007C0C77"/>
    <w:rsid w:val="007C1311"/>
    <w:rsid w:val="007C1C8D"/>
    <w:rsid w:val="007C22AB"/>
    <w:rsid w:val="007C320D"/>
    <w:rsid w:val="007C3E29"/>
    <w:rsid w:val="007C47B4"/>
    <w:rsid w:val="007C4A70"/>
    <w:rsid w:val="007C6417"/>
    <w:rsid w:val="007C7525"/>
    <w:rsid w:val="007C7EAE"/>
    <w:rsid w:val="007D029B"/>
    <w:rsid w:val="007D198F"/>
    <w:rsid w:val="007D2BF3"/>
    <w:rsid w:val="007D2D02"/>
    <w:rsid w:val="007D3789"/>
    <w:rsid w:val="007D45C3"/>
    <w:rsid w:val="007D4805"/>
    <w:rsid w:val="007D4DCA"/>
    <w:rsid w:val="007D4F9D"/>
    <w:rsid w:val="007D523D"/>
    <w:rsid w:val="007D6640"/>
    <w:rsid w:val="007D6A13"/>
    <w:rsid w:val="007D79F1"/>
    <w:rsid w:val="007E0384"/>
    <w:rsid w:val="007E06AB"/>
    <w:rsid w:val="007E0CED"/>
    <w:rsid w:val="007E1623"/>
    <w:rsid w:val="007E1826"/>
    <w:rsid w:val="007E2FEE"/>
    <w:rsid w:val="007E32B9"/>
    <w:rsid w:val="007E4115"/>
    <w:rsid w:val="007E47F1"/>
    <w:rsid w:val="007E4DB0"/>
    <w:rsid w:val="007E7D9C"/>
    <w:rsid w:val="007F0AC9"/>
    <w:rsid w:val="007F0E55"/>
    <w:rsid w:val="007F1E8C"/>
    <w:rsid w:val="007F24D3"/>
    <w:rsid w:val="007F317D"/>
    <w:rsid w:val="007F3D79"/>
    <w:rsid w:val="007F4C13"/>
    <w:rsid w:val="00800088"/>
    <w:rsid w:val="00800829"/>
    <w:rsid w:val="00800CED"/>
    <w:rsid w:val="008028C7"/>
    <w:rsid w:val="00802FA0"/>
    <w:rsid w:val="008036B8"/>
    <w:rsid w:val="0080373E"/>
    <w:rsid w:val="0080391F"/>
    <w:rsid w:val="00805442"/>
    <w:rsid w:val="00806CF6"/>
    <w:rsid w:val="0080703B"/>
    <w:rsid w:val="00810A81"/>
    <w:rsid w:val="00811153"/>
    <w:rsid w:val="00813547"/>
    <w:rsid w:val="00813938"/>
    <w:rsid w:val="00813A67"/>
    <w:rsid w:val="008154D2"/>
    <w:rsid w:val="008175B3"/>
    <w:rsid w:val="00820433"/>
    <w:rsid w:val="008204BA"/>
    <w:rsid w:val="008216B5"/>
    <w:rsid w:val="00824043"/>
    <w:rsid w:val="00824408"/>
    <w:rsid w:val="00826B86"/>
    <w:rsid w:val="0082756B"/>
    <w:rsid w:val="00827D67"/>
    <w:rsid w:val="00830911"/>
    <w:rsid w:val="00831009"/>
    <w:rsid w:val="00832679"/>
    <w:rsid w:val="00835669"/>
    <w:rsid w:val="00836006"/>
    <w:rsid w:val="008367D1"/>
    <w:rsid w:val="00837797"/>
    <w:rsid w:val="00840DD1"/>
    <w:rsid w:val="00840FDA"/>
    <w:rsid w:val="0084123D"/>
    <w:rsid w:val="00842645"/>
    <w:rsid w:val="0084346F"/>
    <w:rsid w:val="008436FF"/>
    <w:rsid w:val="00843909"/>
    <w:rsid w:val="00843C91"/>
    <w:rsid w:val="008446CF"/>
    <w:rsid w:val="00846340"/>
    <w:rsid w:val="00846451"/>
    <w:rsid w:val="00846D53"/>
    <w:rsid w:val="008471D2"/>
    <w:rsid w:val="008475F1"/>
    <w:rsid w:val="00847D57"/>
    <w:rsid w:val="0085084A"/>
    <w:rsid w:val="008523C7"/>
    <w:rsid w:val="00852B1E"/>
    <w:rsid w:val="00852D2C"/>
    <w:rsid w:val="0085300B"/>
    <w:rsid w:val="0085342A"/>
    <w:rsid w:val="00853672"/>
    <w:rsid w:val="00855142"/>
    <w:rsid w:val="00855A6C"/>
    <w:rsid w:val="00855D12"/>
    <w:rsid w:val="00855E4B"/>
    <w:rsid w:val="008569EE"/>
    <w:rsid w:val="00856FDF"/>
    <w:rsid w:val="008572A3"/>
    <w:rsid w:val="00857506"/>
    <w:rsid w:val="00857693"/>
    <w:rsid w:val="008603D5"/>
    <w:rsid w:val="008607E8"/>
    <w:rsid w:val="00860A6C"/>
    <w:rsid w:val="00861198"/>
    <w:rsid w:val="00861FCF"/>
    <w:rsid w:val="008633A7"/>
    <w:rsid w:val="00863A35"/>
    <w:rsid w:val="00863BA7"/>
    <w:rsid w:val="00864825"/>
    <w:rsid w:val="00864BCD"/>
    <w:rsid w:val="00870008"/>
    <w:rsid w:val="0087030A"/>
    <w:rsid w:val="008704B9"/>
    <w:rsid w:val="00870917"/>
    <w:rsid w:val="00873587"/>
    <w:rsid w:val="008752F7"/>
    <w:rsid w:val="008758C2"/>
    <w:rsid w:val="00875BE9"/>
    <w:rsid w:val="00876011"/>
    <w:rsid w:val="008764E8"/>
    <w:rsid w:val="008767BD"/>
    <w:rsid w:val="008770AE"/>
    <w:rsid w:val="00877B8B"/>
    <w:rsid w:val="00877CB0"/>
    <w:rsid w:val="00877DF2"/>
    <w:rsid w:val="00877E95"/>
    <w:rsid w:val="00881031"/>
    <w:rsid w:val="0088134C"/>
    <w:rsid w:val="00881656"/>
    <w:rsid w:val="00881A87"/>
    <w:rsid w:val="00883704"/>
    <w:rsid w:val="00883809"/>
    <w:rsid w:val="00884519"/>
    <w:rsid w:val="00884DAC"/>
    <w:rsid w:val="00885B29"/>
    <w:rsid w:val="00886AF3"/>
    <w:rsid w:val="00891475"/>
    <w:rsid w:val="00891DCB"/>
    <w:rsid w:val="008922A8"/>
    <w:rsid w:val="0089250E"/>
    <w:rsid w:val="0089265A"/>
    <w:rsid w:val="0089301C"/>
    <w:rsid w:val="00893B95"/>
    <w:rsid w:val="00893B9F"/>
    <w:rsid w:val="00893BA9"/>
    <w:rsid w:val="00894402"/>
    <w:rsid w:val="008946E2"/>
    <w:rsid w:val="008950F3"/>
    <w:rsid w:val="008952B6"/>
    <w:rsid w:val="00895A4C"/>
    <w:rsid w:val="008A0DCC"/>
    <w:rsid w:val="008A0E30"/>
    <w:rsid w:val="008A22DD"/>
    <w:rsid w:val="008A3026"/>
    <w:rsid w:val="008A35E2"/>
    <w:rsid w:val="008A3716"/>
    <w:rsid w:val="008A3966"/>
    <w:rsid w:val="008A488C"/>
    <w:rsid w:val="008A54A6"/>
    <w:rsid w:val="008A5D8B"/>
    <w:rsid w:val="008A5EDE"/>
    <w:rsid w:val="008A729D"/>
    <w:rsid w:val="008B0916"/>
    <w:rsid w:val="008B10D0"/>
    <w:rsid w:val="008B195B"/>
    <w:rsid w:val="008B662D"/>
    <w:rsid w:val="008B6965"/>
    <w:rsid w:val="008C1584"/>
    <w:rsid w:val="008C210A"/>
    <w:rsid w:val="008C2FA8"/>
    <w:rsid w:val="008C3CA0"/>
    <w:rsid w:val="008C43C1"/>
    <w:rsid w:val="008C4E05"/>
    <w:rsid w:val="008C65F8"/>
    <w:rsid w:val="008C7817"/>
    <w:rsid w:val="008C7B71"/>
    <w:rsid w:val="008D010C"/>
    <w:rsid w:val="008D20CF"/>
    <w:rsid w:val="008D2726"/>
    <w:rsid w:val="008D295E"/>
    <w:rsid w:val="008D3A0F"/>
    <w:rsid w:val="008D3EE4"/>
    <w:rsid w:val="008D41E1"/>
    <w:rsid w:val="008D41FB"/>
    <w:rsid w:val="008D438F"/>
    <w:rsid w:val="008D5E3A"/>
    <w:rsid w:val="008E008A"/>
    <w:rsid w:val="008E15BB"/>
    <w:rsid w:val="008E20AF"/>
    <w:rsid w:val="008E2615"/>
    <w:rsid w:val="008E2B68"/>
    <w:rsid w:val="008E2C50"/>
    <w:rsid w:val="008E30E3"/>
    <w:rsid w:val="008E39C8"/>
    <w:rsid w:val="008E4A53"/>
    <w:rsid w:val="008E4CC8"/>
    <w:rsid w:val="008E54BD"/>
    <w:rsid w:val="008E5A4A"/>
    <w:rsid w:val="008E6693"/>
    <w:rsid w:val="008F12D3"/>
    <w:rsid w:val="008F12E7"/>
    <w:rsid w:val="008F1F82"/>
    <w:rsid w:val="008F207A"/>
    <w:rsid w:val="008F39D9"/>
    <w:rsid w:val="008F51D1"/>
    <w:rsid w:val="008F555E"/>
    <w:rsid w:val="008F601C"/>
    <w:rsid w:val="008F6437"/>
    <w:rsid w:val="008F6861"/>
    <w:rsid w:val="008F7103"/>
    <w:rsid w:val="008F786B"/>
    <w:rsid w:val="008F7F2D"/>
    <w:rsid w:val="008F7F42"/>
    <w:rsid w:val="009016C6"/>
    <w:rsid w:val="0090171D"/>
    <w:rsid w:val="00901A8F"/>
    <w:rsid w:val="00902221"/>
    <w:rsid w:val="00902E9D"/>
    <w:rsid w:val="0090340D"/>
    <w:rsid w:val="009035C8"/>
    <w:rsid w:val="00903762"/>
    <w:rsid w:val="0090390F"/>
    <w:rsid w:val="00905A5F"/>
    <w:rsid w:val="00907224"/>
    <w:rsid w:val="0090741B"/>
    <w:rsid w:val="009107B5"/>
    <w:rsid w:val="00910EC7"/>
    <w:rsid w:val="00912989"/>
    <w:rsid w:val="009131BB"/>
    <w:rsid w:val="00913EF3"/>
    <w:rsid w:val="009148A1"/>
    <w:rsid w:val="00915178"/>
    <w:rsid w:val="0091582F"/>
    <w:rsid w:val="0091683B"/>
    <w:rsid w:val="00916975"/>
    <w:rsid w:val="00917EF7"/>
    <w:rsid w:val="00920032"/>
    <w:rsid w:val="0092068A"/>
    <w:rsid w:val="00921243"/>
    <w:rsid w:val="00921685"/>
    <w:rsid w:val="00923541"/>
    <w:rsid w:val="00923B0B"/>
    <w:rsid w:val="009247F5"/>
    <w:rsid w:val="009248E9"/>
    <w:rsid w:val="009249BB"/>
    <w:rsid w:val="00925898"/>
    <w:rsid w:val="00926E3A"/>
    <w:rsid w:val="00927C31"/>
    <w:rsid w:val="00927D28"/>
    <w:rsid w:val="00932B7B"/>
    <w:rsid w:val="0093431D"/>
    <w:rsid w:val="00934918"/>
    <w:rsid w:val="00934E46"/>
    <w:rsid w:val="009353ED"/>
    <w:rsid w:val="009360B2"/>
    <w:rsid w:val="00936216"/>
    <w:rsid w:val="0093634C"/>
    <w:rsid w:val="00936708"/>
    <w:rsid w:val="00937BC1"/>
    <w:rsid w:val="00937C2E"/>
    <w:rsid w:val="00941955"/>
    <w:rsid w:val="00942541"/>
    <w:rsid w:val="00942604"/>
    <w:rsid w:val="00943770"/>
    <w:rsid w:val="00945264"/>
    <w:rsid w:val="00946B0A"/>
    <w:rsid w:val="009507DC"/>
    <w:rsid w:val="00951B59"/>
    <w:rsid w:val="00951EB9"/>
    <w:rsid w:val="00952622"/>
    <w:rsid w:val="00952D42"/>
    <w:rsid w:val="00953D50"/>
    <w:rsid w:val="00954458"/>
    <w:rsid w:val="00954584"/>
    <w:rsid w:val="00955DDC"/>
    <w:rsid w:val="009563A1"/>
    <w:rsid w:val="00956CDE"/>
    <w:rsid w:val="00957187"/>
    <w:rsid w:val="00960939"/>
    <w:rsid w:val="00960CB6"/>
    <w:rsid w:val="009618DD"/>
    <w:rsid w:val="00961CCE"/>
    <w:rsid w:val="00962605"/>
    <w:rsid w:val="00962F88"/>
    <w:rsid w:val="0096382A"/>
    <w:rsid w:val="00963CC0"/>
    <w:rsid w:val="0096459C"/>
    <w:rsid w:val="0096495D"/>
    <w:rsid w:val="009649E8"/>
    <w:rsid w:val="00964BB0"/>
    <w:rsid w:val="009651A4"/>
    <w:rsid w:val="00965CB0"/>
    <w:rsid w:val="00966745"/>
    <w:rsid w:val="00967EA3"/>
    <w:rsid w:val="00970315"/>
    <w:rsid w:val="0097079C"/>
    <w:rsid w:val="00970F45"/>
    <w:rsid w:val="009710DA"/>
    <w:rsid w:val="009725EC"/>
    <w:rsid w:val="009743FC"/>
    <w:rsid w:val="00974524"/>
    <w:rsid w:val="009752F8"/>
    <w:rsid w:val="009770AE"/>
    <w:rsid w:val="00977535"/>
    <w:rsid w:val="00977780"/>
    <w:rsid w:val="00977C10"/>
    <w:rsid w:val="00977F82"/>
    <w:rsid w:val="009810C9"/>
    <w:rsid w:val="009818D9"/>
    <w:rsid w:val="009827B4"/>
    <w:rsid w:val="00983D02"/>
    <w:rsid w:val="00984710"/>
    <w:rsid w:val="0098546F"/>
    <w:rsid w:val="009855B9"/>
    <w:rsid w:val="00986258"/>
    <w:rsid w:val="00987749"/>
    <w:rsid w:val="00987FA7"/>
    <w:rsid w:val="00990F69"/>
    <w:rsid w:val="0099135C"/>
    <w:rsid w:val="00991B12"/>
    <w:rsid w:val="00991DE1"/>
    <w:rsid w:val="009932D0"/>
    <w:rsid w:val="009943DC"/>
    <w:rsid w:val="00995142"/>
    <w:rsid w:val="00995178"/>
    <w:rsid w:val="009951F8"/>
    <w:rsid w:val="009955EB"/>
    <w:rsid w:val="0099595D"/>
    <w:rsid w:val="009967DC"/>
    <w:rsid w:val="00997643"/>
    <w:rsid w:val="009A092F"/>
    <w:rsid w:val="009A0AF3"/>
    <w:rsid w:val="009A2A73"/>
    <w:rsid w:val="009A3285"/>
    <w:rsid w:val="009A35AC"/>
    <w:rsid w:val="009A36A4"/>
    <w:rsid w:val="009A4597"/>
    <w:rsid w:val="009A557F"/>
    <w:rsid w:val="009A5B50"/>
    <w:rsid w:val="009A62F4"/>
    <w:rsid w:val="009B102B"/>
    <w:rsid w:val="009B2240"/>
    <w:rsid w:val="009B2408"/>
    <w:rsid w:val="009B28BC"/>
    <w:rsid w:val="009B31E4"/>
    <w:rsid w:val="009B3F60"/>
    <w:rsid w:val="009B4F41"/>
    <w:rsid w:val="009B5984"/>
    <w:rsid w:val="009B5BB5"/>
    <w:rsid w:val="009B5C93"/>
    <w:rsid w:val="009B67E0"/>
    <w:rsid w:val="009B69ED"/>
    <w:rsid w:val="009B6D1C"/>
    <w:rsid w:val="009B78F1"/>
    <w:rsid w:val="009B7BFE"/>
    <w:rsid w:val="009C063E"/>
    <w:rsid w:val="009C091D"/>
    <w:rsid w:val="009C1153"/>
    <w:rsid w:val="009C1505"/>
    <w:rsid w:val="009C1D52"/>
    <w:rsid w:val="009C289A"/>
    <w:rsid w:val="009C2A78"/>
    <w:rsid w:val="009C30B0"/>
    <w:rsid w:val="009C31E8"/>
    <w:rsid w:val="009C3E46"/>
    <w:rsid w:val="009C4262"/>
    <w:rsid w:val="009C5D97"/>
    <w:rsid w:val="009C6BB0"/>
    <w:rsid w:val="009C7248"/>
    <w:rsid w:val="009D04EE"/>
    <w:rsid w:val="009D0C88"/>
    <w:rsid w:val="009D1D04"/>
    <w:rsid w:val="009D1F9E"/>
    <w:rsid w:val="009D1FB6"/>
    <w:rsid w:val="009D27DF"/>
    <w:rsid w:val="009D2DB7"/>
    <w:rsid w:val="009D4156"/>
    <w:rsid w:val="009D638B"/>
    <w:rsid w:val="009D6A25"/>
    <w:rsid w:val="009D6C04"/>
    <w:rsid w:val="009D6CDC"/>
    <w:rsid w:val="009D7206"/>
    <w:rsid w:val="009E004F"/>
    <w:rsid w:val="009E04C8"/>
    <w:rsid w:val="009E0F7A"/>
    <w:rsid w:val="009E0FD2"/>
    <w:rsid w:val="009E1A79"/>
    <w:rsid w:val="009E3AAD"/>
    <w:rsid w:val="009E3E69"/>
    <w:rsid w:val="009E5632"/>
    <w:rsid w:val="009E66BC"/>
    <w:rsid w:val="009F072F"/>
    <w:rsid w:val="009F07E8"/>
    <w:rsid w:val="009F1EA6"/>
    <w:rsid w:val="009F2763"/>
    <w:rsid w:val="009F2DD4"/>
    <w:rsid w:val="009F4676"/>
    <w:rsid w:val="009F5447"/>
    <w:rsid w:val="009F59D0"/>
    <w:rsid w:val="009F5A38"/>
    <w:rsid w:val="009F6077"/>
    <w:rsid w:val="009F6736"/>
    <w:rsid w:val="009F7808"/>
    <w:rsid w:val="00A005B8"/>
    <w:rsid w:val="00A0110A"/>
    <w:rsid w:val="00A0515D"/>
    <w:rsid w:val="00A05B47"/>
    <w:rsid w:val="00A05D8E"/>
    <w:rsid w:val="00A05EB5"/>
    <w:rsid w:val="00A06D46"/>
    <w:rsid w:val="00A06E05"/>
    <w:rsid w:val="00A073DE"/>
    <w:rsid w:val="00A0751C"/>
    <w:rsid w:val="00A0768E"/>
    <w:rsid w:val="00A076AF"/>
    <w:rsid w:val="00A121B4"/>
    <w:rsid w:val="00A12678"/>
    <w:rsid w:val="00A13DF7"/>
    <w:rsid w:val="00A14A7E"/>
    <w:rsid w:val="00A150BB"/>
    <w:rsid w:val="00A15141"/>
    <w:rsid w:val="00A15400"/>
    <w:rsid w:val="00A15D92"/>
    <w:rsid w:val="00A16862"/>
    <w:rsid w:val="00A1765B"/>
    <w:rsid w:val="00A17DD5"/>
    <w:rsid w:val="00A203FD"/>
    <w:rsid w:val="00A20C78"/>
    <w:rsid w:val="00A20FDE"/>
    <w:rsid w:val="00A213BA"/>
    <w:rsid w:val="00A2186B"/>
    <w:rsid w:val="00A219F1"/>
    <w:rsid w:val="00A22177"/>
    <w:rsid w:val="00A22ADC"/>
    <w:rsid w:val="00A239DA"/>
    <w:rsid w:val="00A2404B"/>
    <w:rsid w:val="00A2475B"/>
    <w:rsid w:val="00A249F2"/>
    <w:rsid w:val="00A24A12"/>
    <w:rsid w:val="00A256E6"/>
    <w:rsid w:val="00A260E7"/>
    <w:rsid w:val="00A27FC0"/>
    <w:rsid w:val="00A3019D"/>
    <w:rsid w:val="00A302CA"/>
    <w:rsid w:val="00A33005"/>
    <w:rsid w:val="00A33567"/>
    <w:rsid w:val="00A335C1"/>
    <w:rsid w:val="00A339CC"/>
    <w:rsid w:val="00A343C8"/>
    <w:rsid w:val="00A35258"/>
    <w:rsid w:val="00A3607A"/>
    <w:rsid w:val="00A36DEC"/>
    <w:rsid w:val="00A370A6"/>
    <w:rsid w:val="00A37696"/>
    <w:rsid w:val="00A37AF0"/>
    <w:rsid w:val="00A402F4"/>
    <w:rsid w:val="00A405C2"/>
    <w:rsid w:val="00A408E1"/>
    <w:rsid w:val="00A418ED"/>
    <w:rsid w:val="00A4201B"/>
    <w:rsid w:val="00A42109"/>
    <w:rsid w:val="00A44655"/>
    <w:rsid w:val="00A449AE"/>
    <w:rsid w:val="00A46464"/>
    <w:rsid w:val="00A4685D"/>
    <w:rsid w:val="00A46B00"/>
    <w:rsid w:val="00A47666"/>
    <w:rsid w:val="00A478C2"/>
    <w:rsid w:val="00A47C3A"/>
    <w:rsid w:val="00A50E94"/>
    <w:rsid w:val="00A52EFC"/>
    <w:rsid w:val="00A53DDD"/>
    <w:rsid w:val="00A543F3"/>
    <w:rsid w:val="00A558FA"/>
    <w:rsid w:val="00A5616A"/>
    <w:rsid w:val="00A5665D"/>
    <w:rsid w:val="00A56953"/>
    <w:rsid w:val="00A60AB2"/>
    <w:rsid w:val="00A62400"/>
    <w:rsid w:val="00A62E8C"/>
    <w:rsid w:val="00A6322D"/>
    <w:rsid w:val="00A63ED2"/>
    <w:rsid w:val="00A65209"/>
    <w:rsid w:val="00A652EE"/>
    <w:rsid w:val="00A65A41"/>
    <w:rsid w:val="00A66AC2"/>
    <w:rsid w:val="00A677F7"/>
    <w:rsid w:val="00A70205"/>
    <w:rsid w:val="00A70416"/>
    <w:rsid w:val="00A719AD"/>
    <w:rsid w:val="00A72741"/>
    <w:rsid w:val="00A73BD4"/>
    <w:rsid w:val="00A7538C"/>
    <w:rsid w:val="00A76106"/>
    <w:rsid w:val="00A77C06"/>
    <w:rsid w:val="00A803FC"/>
    <w:rsid w:val="00A80496"/>
    <w:rsid w:val="00A80947"/>
    <w:rsid w:val="00A8156D"/>
    <w:rsid w:val="00A81731"/>
    <w:rsid w:val="00A81BC5"/>
    <w:rsid w:val="00A81C6B"/>
    <w:rsid w:val="00A8273A"/>
    <w:rsid w:val="00A849B5"/>
    <w:rsid w:val="00A84E72"/>
    <w:rsid w:val="00A85260"/>
    <w:rsid w:val="00A8526B"/>
    <w:rsid w:val="00A86E79"/>
    <w:rsid w:val="00A86F02"/>
    <w:rsid w:val="00A91FFB"/>
    <w:rsid w:val="00A92207"/>
    <w:rsid w:val="00A93463"/>
    <w:rsid w:val="00A937A6"/>
    <w:rsid w:val="00A95087"/>
    <w:rsid w:val="00A95089"/>
    <w:rsid w:val="00A950D0"/>
    <w:rsid w:val="00A9523B"/>
    <w:rsid w:val="00A95602"/>
    <w:rsid w:val="00A962CE"/>
    <w:rsid w:val="00A96A12"/>
    <w:rsid w:val="00A97536"/>
    <w:rsid w:val="00A976F9"/>
    <w:rsid w:val="00A97A22"/>
    <w:rsid w:val="00A97A4C"/>
    <w:rsid w:val="00AA0537"/>
    <w:rsid w:val="00AA06CC"/>
    <w:rsid w:val="00AA14D5"/>
    <w:rsid w:val="00AA50E7"/>
    <w:rsid w:val="00AA554F"/>
    <w:rsid w:val="00AA6F73"/>
    <w:rsid w:val="00AA7274"/>
    <w:rsid w:val="00AA7533"/>
    <w:rsid w:val="00AA78A6"/>
    <w:rsid w:val="00AB06CC"/>
    <w:rsid w:val="00AB1B24"/>
    <w:rsid w:val="00AB3554"/>
    <w:rsid w:val="00AB387A"/>
    <w:rsid w:val="00AB3EF5"/>
    <w:rsid w:val="00AB5EDB"/>
    <w:rsid w:val="00AB5EDD"/>
    <w:rsid w:val="00AB6313"/>
    <w:rsid w:val="00AB7290"/>
    <w:rsid w:val="00AC371B"/>
    <w:rsid w:val="00AC45B8"/>
    <w:rsid w:val="00AC5464"/>
    <w:rsid w:val="00AC5924"/>
    <w:rsid w:val="00AC5F6C"/>
    <w:rsid w:val="00AC5FC2"/>
    <w:rsid w:val="00AC6EF0"/>
    <w:rsid w:val="00AC7993"/>
    <w:rsid w:val="00AC7DF5"/>
    <w:rsid w:val="00AD01B7"/>
    <w:rsid w:val="00AD1F3F"/>
    <w:rsid w:val="00AD24AF"/>
    <w:rsid w:val="00AD2558"/>
    <w:rsid w:val="00AD2CFC"/>
    <w:rsid w:val="00AD3DC1"/>
    <w:rsid w:val="00AD4163"/>
    <w:rsid w:val="00AD509A"/>
    <w:rsid w:val="00AD5315"/>
    <w:rsid w:val="00AD5F3D"/>
    <w:rsid w:val="00AD5FB2"/>
    <w:rsid w:val="00AD75ED"/>
    <w:rsid w:val="00AD7BED"/>
    <w:rsid w:val="00AE0824"/>
    <w:rsid w:val="00AE0B05"/>
    <w:rsid w:val="00AE2221"/>
    <w:rsid w:val="00AE23EC"/>
    <w:rsid w:val="00AE2E44"/>
    <w:rsid w:val="00AE3D04"/>
    <w:rsid w:val="00AE3D05"/>
    <w:rsid w:val="00AE44F3"/>
    <w:rsid w:val="00AE548A"/>
    <w:rsid w:val="00AE669E"/>
    <w:rsid w:val="00AE787B"/>
    <w:rsid w:val="00AE7B6A"/>
    <w:rsid w:val="00AE7FB4"/>
    <w:rsid w:val="00AF0CDD"/>
    <w:rsid w:val="00AF305F"/>
    <w:rsid w:val="00AF358F"/>
    <w:rsid w:val="00AF4699"/>
    <w:rsid w:val="00AF4CFD"/>
    <w:rsid w:val="00AF6641"/>
    <w:rsid w:val="00AF6BD1"/>
    <w:rsid w:val="00AF6CC0"/>
    <w:rsid w:val="00B00172"/>
    <w:rsid w:val="00B00B6B"/>
    <w:rsid w:val="00B01AE9"/>
    <w:rsid w:val="00B034AA"/>
    <w:rsid w:val="00B0380A"/>
    <w:rsid w:val="00B03E65"/>
    <w:rsid w:val="00B050D4"/>
    <w:rsid w:val="00B05DB7"/>
    <w:rsid w:val="00B06356"/>
    <w:rsid w:val="00B065A2"/>
    <w:rsid w:val="00B06EAC"/>
    <w:rsid w:val="00B076AD"/>
    <w:rsid w:val="00B1118E"/>
    <w:rsid w:val="00B11B99"/>
    <w:rsid w:val="00B11EF3"/>
    <w:rsid w:val="00B12CC7"/>
    <w:rsid w:val="00B13656"/>
    <w:rsid w:val="00B1513B"/>
    <w:rsid w:val="00B175F6"/>
    <w:rsid w:val="00B178DD"/>
    <w:rsid w:val="00B20B20"/>
    <w:rsid w:val="00B20C10"/>
    <w:rsid w:val="00B20D9E"/>
    <w:rsid w:val="00B20F1A"/>
    <w:rsid w:val="00B21639"/>
    <w:rsid w:val="00B22963"/>
    <w:rsid w:val="00B22B70"/>
    <w:rsid w:val="00B22C18"/>
    <w:rsid w:val="00B2445F"/>
    <w:rsid w:val="00B250C7"/>
    <w:rsid w:val="00B2539E"/>
    <w:rsid w:val="00B253C5"/>
    <w:rsid w:val="00B263DE"/>
    <w:rsid w:val="00B3186F"/>
    <w:rsid w:val="00B31DD7"/>
    <w:rsid w:val="00B32457"/>
    <w:rsid w:val="00B32707"/>
    <w:rsid w:val="00B32961"/>
    <w:rsid w:val="00B32C18"/>
    <w:rsid w:val="00B33137"/>
    <w:rsid w:val="00B34C37"/>
    <w:rsid w:val="00B3672D"/>
    <w:rsid w:val="00B41508"/>
    <w:rsid w:val="00B41811"/>
    <w:rsid w:val="00B42657"/>
    <w:rsid w:val="00B43895"/>
    <w:rsid w:val="00B4411A"/>
    <w:rsid w:val="00B45655"/>
    <w:rsid w:val="00B468B1"/>
    <w:rsid w:val="00B46915"/>
    <w:rsid w:val="00B50D21"/>
    <w:rsid w:val="00B52E21"/>
    <w:rsid w:val="00B532A1"/>
    <w:rsid w:val="00B54557"/>
    <w:rsid w:val="00B55590"/>
    <w:rsid w:val="00B5593C"/>
    <w:rsid w:val="00B55EE3"/>
    <w:rsid w:val="00B568F2"/>
    <w:rsid w:val="00B57413"/>
    <w:rsid w:val="00B57AD7"/>
    <w:rsid w:val="00B62329"/>
    <w:rsid w:val="00B62963"/>
    <w:rsid w:val="00B62BEC"/>
    <w:rsid w:val="00B62D9B"/>
    <w:rsid w:val="00B63513"/>
    <w:rsid w:val="00B64545"/>
    <w:rsid w:val="00B6507C"/>
    <w:rsid w:val="00B6555E"/>
    <w:rsid w:val="00B66BC9"/>
    <w:rsid w:val="00B67139"/>
    <w:rsid w:val="00B677A5"/>
    <w:rsid w:val="00B67FC9"/>
    <w:rsid w:val="00B71A02"/>
    <w:rsid w:val="00B729E2"/>
    <w:rsid w:val="00B73949"/>
    <w:rsid w:val="00B7426D"/>
    <w:rsid w:val="00B74841"/>
    <w:rsid w:val="00B754C6"/>
    <w:rsid w:val="00B7575B"/>
    <w:rsid w:val="00B75842"/>
    <w:rsid w:val="00B758C7"/>
    <w:rsid w:val="00B76A4A"/>
    <w:rsid w:val="00B76C76"/>
    <w:rsid w:val="00B81706"/>
    <w:rsid w:val="00B818D0"/>
    <w:rsid w:val="00B82A07"/>
    <w:rsid w:val="00B83C0E"/>
    <w:rsid w:val="00B85FC6"/>
    <w:rsid w:val="00B87C37"/>
    <w:rsid w:val="00B907E6"/>
    <w:rsid w:val="00B91524"/>
    <w:rsid w:val="00B91829"/>
    <w:rsid w:val="00B91B87"/>
    <w:rsid w:val="00B91EDD"/>
    <w:rsid w:val="00B939E7"/>
    <w:rsid w:val="00B978F4"/>
    <w:rsid w:val="00B97CF4"/>
    <w:rsid w:val="00BA0B2F"/>
    <w:rsid w:val="00BA1201"/>
    <w:rsid w:val="00BA1C19"/>
    <w:rsid w:val="00BA3097"/>
    <w:rsid w:val="00BA5446"/>
    <w:rsid w:val="00BA5F34"/>
    <w:rsid w:val="00BA63A2"/>
    <w:rsid w:val="00BA64EC"/>
    <w:rsid w:val="00BA703F"/>
    <w:rsid w:val="00BB176E"/>
    <w:rsid w:val="00BB1FC0"/>
    <w:rsid w:val="00BB1FC6"/>
    <w:rsid w:val="00BB2D6E"/>
    <w:rsid w:val="00BB2EED"/>
    <w:rsid w:val="00BB3092"/>
    <w:rsid w:val="00BB3C15"/>
    <w:rsid w:val="00BB47A2"/>
    <w:rsid w:val="00BB5522"/>
    <w:rsid w:val="00BB739A"/>
    <w:rsid w:val="00BB73F4"/>
    <w:rsid w:val="00BB782F"/>
    <w:rsid w:val="00BB79DF"/>
    <w:rsid w:val="00BB79E6"/>
    <w:rsid w:val="00BC0431"/>
    <w:rsid w:val="00BC3268"/>
    <w:rsid w:val="00BC3809"/>
    <w:rsid w:val="00BC3C1B"/>
    <w:rsid w:val="00BC4913"/>
    <w:rsid w:val="00BC5141"/>
    <w:rsid w:val="00BC5AFD"/>
    <w:rsid w:val="00BC62F5"/>
    <w:rsid w:val="00BC6DAA"/>
    <w:rsid w:val="00BC78DC"/>
    <w:rsid w:val="00BC7AFA"/>
    <w:rsid w:val="00BC7E2A"/>
    <w:rsid w:val="00BD058F"/>
    <w:rsid w:val="00BD11A2"/>
    <w:rsid w:val="00BD1483"/>
    <w:rsid w:val="00BD17D1"/>
    <w:rsid w:val="00BD23FD"/>
    <w:rsid w:val="00BD42F1"/>
    <w:rsid w:val="00BD4605"/>
    <w:rsid w:val="00BD5611"/>
    <w:rsid w:val="00BD63AA"/>
    <w:rsid w:val="00BD6D29"/>
    <w:rsid w:val="00BD6D3C"/>
    <w:rsid w:val="00BD6D40"/>
    <w:rsid w:val="00BD6D7E"/>
    <w:rsid w:val="00BE0212"/>
    <w:rsid w:val="00BE0445"/>
    <w:rsid w:val="00BE1B79"/>
    <w:rsid w:val="00BE2081"/>
    <w:rsid w:val="00BE389D"/>
    <w:rsid w:val="00BE4D1D"/>
    <w:rsid w:val="00BE4FAC"/>
    <w:rsid w:val="00BE5ABF"/>
    <w:rsid w:val="00BE5E32"/>
    <w:rsid w:val="00BE5F41"/>
    <w:rsid w:val="00BE69E3"/>
    <w:rsid w:val="00BF153D"/>
    <w:rsid w:val="00BF1651"/>
    <w:rsid w:val="00BF198E"/>
    <w:rsid w:val="00BF1B38"/>
    <w:rsid w:val="00BF29FC"/>
    <w:rsid w:val="00BF3546"/>
    <w:rsid w:val="00BF581E"/>
    <w:rsid w:val="00BF5F8D"/>
    <w:rsid w:val="00BF6742"/>
    <w:rsid w:val="00BF6CBD"/>
    <w:rsid w:val="00BF7DF8"/>
    <w:rsid w:val="00C00440"/>
    <w:rsid w:val="00C013B2"/>
    <w:rsid w:val="00C01693"/>
    <w:rsid w:val="00C0244E"/>
    <w:rsid w:val="00C026AD"/>
    <w:rsid w:val="00C028EB"/>
    <w:rsid w:val="00C032BA"/>
    <w:rsid w:val="00C036A3"/>
    <w:rsid w:val="00C03CD3"/>
    <w:rsid w:val="00C050CE"/>
    <w:rsid w:val="00C0589F"/>
    <w:rsid w:val="00C05B2B"/>
    <w:rsid w:val="00C05F9E"/>
    <w:rsid w:val="00C06A7C"/>
    <w:rsid w:val="00C0768E"/>
    <w:rsid w:val="00C07BBD"/>
    <w:rsid w:val="00C10568"/>
    <w:rsid w:val="00C11136"/>
    <w:rsid w:val="00C1292A"/>
    <w:rsid w:val="00C12DCD"/>
    <w:rsid w:val="00C12F42"/>
    <w:rsid w:val="00C1350C"/>
    <w:rsid w:val="00C16B0D"/>
    <w:rsid w:val="00C17B16"/>
    <w:rsid w:val="00C17D28"/>
    <w:rsid w:val="00C20D45"/>
    <w:rsid w:val="00C21165"/>
    <w:rsid w:val="00C2168D"/>
    <w:rsid w:val="00C21741"/>
    <w:rsid w:val="00C2176D"/>
    <w:rsid w:val="00C228C8"/>
    <w:rsid w:val="00C22E22"/>
    <w:rsid w:val="00C2307A"/>
    <w:rsid w:val="00C24AA3"/>
    <w:rsid w:val="00C252BE"/>
    <w:rsid w:val="00C2551D"/>
    <w:rsid w:val="00C25D01"/>
    <w:rsid w:val="00C2621A"/>
    <w:rsid w:val="00C26F9F"/>
    <w:rsid w:val="00C27316"/>
    <w:rsid w:val="00C30AC5"/>
    <w:rsid w:val="00C30DEA"/>
    <w:rsid w:val="00C3103E"/>
    <w:rsid w:val="00C31574"/>
    <w:rsid w:val="00C31811"/>
    <w:rsid w:val="00C31D0A"/>
    <w:rsid w:val="00C31DAE"/>
    <w:rsid w:val="00C33936"/>
    <w:rsid w:val="00C3426F"/>
    <w:rsid w:val="00C3466D"/>
    <w:rsid w:val="00C35A73"/>
    <w:rsid w:val="00C376C2"/>
    <w:rsid w:val="00C407B7"/>
    <w:rsid w:val="00C40CD4"/>
    <w:rsid w:val="00C41221"/>
    <w:rsid w:val="00C437F4"/>
    <w:rsid w:val="00C44B6A"/>
    <w:rsid w:val="00C44E62"/>
    <w:rsid w:val="00C451AC"/>
    <w:rsid w:val="00C4560E"/>
    <w:rsid w:val="00C45E85"/>
    <w:rsid w:val="00C465C5"/>
    <w:rsid w:val="00C46870"/>
    <w:rsid w:val="00C46D8C"/>
    <w:rsid w:val="00C477AC"/>
    <w:rsid w:val="00C4790D"/>
    <w:rsid w:val="00C50C7B"/>
    <w:rsid w:val="00C50DC5"/>
    <w:rsid w:val="00C512E3"/>
    <w:rsid w:val="00C51577"/>
    <w:rsid w:val="00C525B9"/>
    <w:rsid w:val="00C53DA4"/>
    <w:rsid w:val="00C53E83"/>
    <w:rsid w:val="00C54128"/>
    <w:rsid w:val="00C548DA"/>
    <w:rsid w:val="00C55483"/>
    <w:rsid w:val="00C56017"/>
    <w:rsid w:val="00C56A2E"/>
    <w:rsid w:val="00C56CDF"/>
    <w:rsid w:val="00C60C9C"/>
    <w:rsid w:val="00C60FCF"/>
    <w:rsid w:val="00C61E51"/>
    <w:rsid w:val="00C648A9"/>
    <w:rsid w:val="00C67602"/>
    <w:rsid w:val="00C71420"/>
    <w:rsid w:val="00C71ADD"/>
    <w:rsid w:val="00C726E0"/>
    <w:rsid w:val="00C72749"/>
    <w:rsid w:val="00C733DB"/>
    <w:rsid w:val="00C734FD"/>
    <w:rsid w:val="00C73A4E"/>
    <w:rsid w:val="00C74325"/>
    <w:rsid w:val="00C74CD3"/>
    <w:rsid w:val="00C76B0D"/>
    <w:rsid w:val="00C76B7C"/>
    <w:rsid w:val="00C77FEA"/>
    <w:rsid w:val="00C8040E"/>
    <w:rsid w:val="00C81FD2"/>
    <w:rsid w:val="00C84170"/>
    <w:rsid w:val="00C8568C"/>
    <w:rsid w:val="00C8569E"/>
    <w:rsid w:val="00C86997"/>
    <w:rsid w:val="00C86FDA"/>
    <w:rsid w:val="00C90485"/>
    <w:rsid w:val="00C91282"/>
    <w:rsid w:val="00C92372"/>
    <w:rsid w:val="00C93D04"/>
    <w:rsid w:val="00C940E0"/>
    <w:rsid w:val="00C94443"/>
    <w:rsid w:val="00C9540B"/>
    <w:rsid w:val="00C95624"/>
    <w:rsid w:val="00C966BB"/>
    <w:rsid w:val="00C968DA"/>
    <w:rsid w:val="00CA05E2"/>
    <w:rsid w:val="00CA088A"/>
    <w:rsid w:val="00CA10C5"/>
    <w:rsid w:val="00CA1625"/>
    <w:rsid w:val="00CA250C"/>
    <w:rsid w:val="00CA350C"/>
    <w:rsid w:val="00CA4985"/>
    <w:rsid w:val="00CA4D1E"/>
    <w:rsid w:val="00CA6B6D"/>
    <w:rsid w:val="00CA7AA1"/>
    <w:rsid w:val="00CB12A6"/>
    <w:rsid w:val="00CB142C"/>
    <w:rsid w:val="00CB41BE"/>
    <w:rsid w:val="00CB462E"/>
    <w:rsid w:val="00CB5269"/>
    <w:rsid w:val="00CB55AE"/>
    <w:rsid w:val="00CB6FDC"/>
    <w:rsid w:val="00CB7500"/>
    <w:rsid w:val="00CB77E4"/>
    <w:rsid w:val="00CC29C7"/>
    <w:rsid w:val="00CC34C4"/>
    <w:rsid w:val="00CC3624"/>
    <w:rsid w:val="00CC371A"/>
    <w:rsid w:val="00CC4730"/>
    <w:rsid w:val="00CC57D3"/>
    <w:rsid w:val="00CD1118"/>
    <w:rsid w:val="00CD1B4B"/>
    <w:rsid w:val="00CD231B"/>
    <w:rsid w:val="00CD2626"/>
    <w:rsid w:val="00CD4AE9"/>
    <w:rsid w:val="00CD52B0"/>
    <w:rsid w:val="00CD5DB3"/>
    <w:rsid w:val="00CD7274"/>
    <w:rsid w:val="00CD79A2"/>
    <w:rsid w:val="00CE0957"/>
    <w:rsid w:val="00CE2116"/>
    <w:rsid w:val="00CE3047"/>
    <w:rsid w:val="00CE30A7"/>
    <w:rsid w:val="00CE5106"/>
    <w:rsid w:val="00CE5F7E"/>
    <w:rsid w:val="00CF048F"/>
    <w:rsid w:val="00CF11A9"/>
    <w:rsid w:val="00CF13A6"/>
    <w:rsid w:val="00CF1DB6"/>
    <w:rsid w:val="00CF2557"/>
    <w:rsid w:val="00CF474C"/>
    <w:rsid w:val="00CF4A51"/>
    <w:rsid w:val="00CF5E48"/>
    <w:rsid w:val="00CF5F12"/>
    <w:rsid w:val="00CF73E5"/>
    <w:rsid w:val="00D009B5"/>
    <w:rsid w:val="00D01184"/>
    <w:rsid w:val="00D01D9F"/>
    <w:rsid w:val="00D0414A"/>
    <w:rsid w:val="00D07222"/>
    <w:rsid w:val="00D0781A"/>
    <w:rsid w:val="00D1341A"/>
    <w:rsid w:val="00D1491C"/>
    <w:rsid w:val="00D14FE9"/>
    <w:rsid w:val="00D16C1B"/>
    <w:rsid w:val="00D20014"/>
    <w:rsid w:val="00D20A31"/>
    <w:rsid w:val="00D2120E"/>
    <w:rsid w:val="00D244BA"/>
    <w:rsid w:val="00D2689D"/>
    <w:rsid w:val="00D26C64"/>
    <w:rsid w:val="00D27BF3"/>
    <w:rsid w:val="00D310B4"/>
    <w:rsid w:val="00D31B89"/>
    <w:rsid w:val="00D33F4C"/>
    <w:rsid w:val="00D34C6E"/>
    <w:rsid w:val="00D34E61"/>
    <w:rsid w:val="00D36D28"/>
    <w:rsid w:val="00D37494"/>
    <w:rsid w:val="00D41141"/>
    <w:rsid w:val="00D41242"/>
    <w:rsid w:val="00D412DC"/>
    <w:rsid w:val="00D41BA4"/>
    <w:rsid w:val="00D42D66"/>
    <w:rsid w:val="00D433B1"/>
    <w:rsid w:val="00D454FE"/>
    <w:rsid w:val="00D45AFA"/>
    <w:rsid w:val="00D46AE1"/>
    <w:rsid w:val="00D50475"/>
    <w:rsid w:val="00D508CE"/>
    <w:rsid w:val="00D50D05"/>
    <w:rsid w:val="00D51ECB"/>
    <w:rsid w:val="00D52C84"/>
    <w:rsid w:val="00D53C9B"/>
    <w:rsid w:val="00D53DC2"/>
    <w:rsid w:val="00D6063F"/>
    <w:rsid w:val="00D615D4"/>
    <w:rsid w:val="00D61985"/>
    <w:rsid w:val="00D629F1"/>
    <w:rsid w:val="00D632A3"/>
    <w:rsid w:val="00D633B7"/>
    <w:rsid w:val="00D63702"/>
    <w:rsid w:val="00D64C80"/>
    <w:rsid w:val="00D64ED9"/>
    <w:rsid w:val="00D65785"/>
    <w:rsid w:val="00D6590A"/>
    <w:rsid w:val="00D70CF9"/>
    <w:rsid w:val="00D7182B"/>
    <w:rsid w:val="00D71DD6"/>
    <w:rsid w:val="00D7230E"/>
    <w:rsid w:val="00D724DD"/>
    <w:rsid w:val="00D74C87"/>
    <w:rsid w:val="00D756ED"/>
    <w:rsid w:val="00D760A2"/>
    <w:rsid w:val="00D76444"/>
    <w:rsid w:val="00D76473"/>
    <w:rsid w:val="00D7707B"/>
    <w:rsid w:val="00D77097"/>
    <w:rsid w:val="00D80082"/>
    <w:rsid w:val="00D80490"/>
    <w:rsid w:val="00D80963"/>
    <w:rsid w:val="00D80B6E"/>
    <w:rsid w:val="00D82430"/>
    <w:rsid w:val="00D82AEC"/>
    <w:rsid w:val="00D82B23"/>
    <w:rsid w:val="00D839CE"/>
    <w:rsid w:val="00D8565D"/>
    <w:rsid w:val="00D85884"/>
    <w:rsid w:val="00D85D57"/>
    <w:rsid w:val="00D85F13"/>
    <w:rsid w:val="00D861F3"/>
    <w:rsid w:val="00D86433"/>
    <w:rsid w:val="00D8714F"/>
    <w:rsid w:val="00D87208"/>
    <w:rsid w:val="00D87761"/>
    <w:rsid w:val="00D87A1A"/>
    <w:rsid w:val="00D87A72"/>
    <w:rsid w:val="00D9037D"/>
    <w:rsid w:val="00D903BD"/>
    <w:rsid w:val="00D931CE"/>
    <w:rsid w:val="00D941BA"/>
    <w:rsid w:val="00D94CA5"/>
    <w:rsid w:val="00D966FA"/>
    <w:rsid w:val="00D96BA9"/>
    <w:rsid w:val="00D96D09"/>
    <w:rsid w:val="00D96EF7"/>
    <w:rsid w:val="00D9761A"/>
    <w:rsid w:val="00DA0208"/>
    <w:rsid w:val="00DA26FA"/>
    <w:rsid w:val="00DA2AC6"/>
    <w:rsid w:val="00DA2B5C"/>
    <w:rsid w:val="00DA2C45"/>
    <w:rsid w:val="00DA49C7"/>
    <w:rsid w:val="00DA7355"/>
    <w:rsid w:val="00DB0443"/>
    <w:rsid w:val="00DB2648"/>
    <w:rsid w:val="00DB37F5"/>
    <w:rsid w:val="00DB393C"/>
    <w:rsid w:val="00DB4BDC"/>
    <w:rsid w:val="00DB5DDD"/>
    <w:rsid w:val="00DB5DF6"/>
    <w:rsid w:val="00DB6468"/>
    <w:rsid w:val="00DB65E4"/>
    <w:rsid w:val="00DB68A1"/>
    <w:rsid w:val="00DB694A"/>
    <w:rsid w:val="00DB6967"/>
    <w:rsid w:val="00DB7316"/>
    <w:rsid w:val="00DB7341"/>
    <w:rsid w:val="00DC2333"/>
    <w:rsid w:val="00DC256F"/>
    <w:rsid w:val="00DC55DF"/>
    <w:rsid w:val="00DC55E8"/>
    <w:rsid w:val="00DC608C"/>
    <w:rsid w:val="00DC61BF"/>
    <w:rsid w:val="00DC6B61"/>
    <w:rsid w:val="00DC6FCD"/>
    <w:rsid w:val="00DD3CCE"/>
    <w:rsid w:val="00DD5C3A"/>
    <w:rsid w:val="00DD6548"/>
    <w:rsid w:val="00DE18FC"/>
    <w:rsid w:val="00DE1CB9"/>
    <w:rsid w:val="00DE3B6A"/>
    <w:rsid w:val="00DE4466"/>
    <w:rsid w:val="00DE504E"/>
    <w:rsid w:val="00DE6D53"/>
    <w:rsid w:val="00DF0DE9"/>
    <w:rsid w:val="00DF1650"/>
    <w:rsid w:val="00DF1735"/>
    <w:rsid w:val="00DF1B7D"/>
    <w:rsid w:val="00DF208C"/>
    <w:rsid w:val="00DF3296"/>
    <w:rsid w:val="00DF341B"/>
    <w:rsid w:val="00DF5B3B"/>
    <w:rsid w:val="00DF7B2B"/>
    <w:rsid w:val="00DF7B50"/>
    <w:rsid w:val="00E00E75"/>
    <w:rsid w:val="00E019F1"/>
    <w:rsid w:val="00E0283A"/>
    <w:rsid w:val="00E0315C"/>
    <w:rsid w:val="00E03320"/>
    <w:rsid w:val="00E04954"/>
    <w:rsid w:val="00E04EBB"/>
    <w:rsid w:val="00E04EFC"/>
    <w:rsid w:val="00E05161"/>
    <w:rsid w:val="00E05C8B"/>
    <w:rsid w:val="00E06013"/>
    <w:rsid w:val="00E0687B"/>
    <w:rsid w:val="00E06A4E"/>
    <w:rsid w:val="00E070CC"/>
    <w:rsid w:val="00E07564"/>
    <w:rsid w:val="00E07959"/>
    <w:rsid w:val="00E07B1F"/>
    <w:rsid w:val="00E11458"/>
    <w:rsid w:val="00E11F2D"/>
    <w:rsid w:val="00E12B75"/>
    <w:rsid w:val="00E13097"/>
    <w:rsid w:val="00E143DC"/>
    <w:rsid w:val="00E15A9D"/>
    <w:rsid w:val="00E16132"/>
    <w:rsid w:val="00E16C5A"/>
    <w:rsid w:val="00E17297"/>
    <w:rsid w:val="00E20203"/>
    <w:rsid w:val="00E2045D"/>
    <w:rsid w:val="00E20B02"/>
    <w:rsid w:val="00E218CC"/>
    <w:rsid w:val="00E21D5C"/>
    <w:rsid w:val="00E233F0"/>
    <w:rsid w:val="00E23506"/>
    <w:rsid w:val="00E2385A"/>
    <w:rsid w:val="00E239DB"/>
    <w:rsid w:val="00E23B7D"/>
    <w:rsid w:val="00E24C96"/>
    <w:rsid w:val="00E25C22"/>
    <w:rsid w:val="00E25C72"/>
    <w:rsid w:val="00E262A3"/>
    <w:rsid w:val="00E303E5"/>
    <w:rsid w:val="00E30566"/>
    <w:rsid w:val="00E306F2"/>
    <w:rsid w:val="00E34578"/>
    <w:rsid w:val="00E350BA"/>
    <w:rsid w:val="00E359A5"/>
    <w:rsid w:val="00E35BAA"/>
    <w:rsid w:val="00E35CAD"/>
    <w:rsid w:val="00E35D16"/>
    <w:rsid w:val="00E379E1"/>
    <w:rsid w:val="00E406F4"/>
    <w:rsid w:val="00E40A6B"/>
    <w:rsid w:val="00E40A85"/>
    <w:rsid w:val="00E42591"/>
    <w:rsid w:val="00E440FC"/>
    <w:rsid w:val="00E4414F"/>
    <w:rsid w:val="00E4477F"/>
    <w:rsid w:val="00E47B6B"/>
    <w:rsid w:val="00E47CAE"/>
    <w:rsid w:val="00E514A5"/>
    <w:rsid w:val="00E5150D"/>
    <w:rsid w:val="00E51EB3"/>
    <w:rsid w:val="00E532D2"/>
    <w:rsid w:val="00E545E9"/>
    <w:rsid w:val="00E5505B"/>
    <w:rsid w:val="00E56442"/>
    <w:rsid w:val="00E565E4"/>
    <w:rsid w:val="00E56974"/>
    <w:rsid w:val="00E57B6E"/>
    <w:rsid w:val="00E60FFA"/>
    <w:rsid w:val="00E61055"/>
    <w:rsid w:val="00E610D8"/>
    <w:rsid w:val="00E61E59"/>
    <w:rsid w:val="00E621FE"/>
    <w:rsid w:val="00E6293F"/>
    <w:rsid w:val="00E62EE8"/>
    <w:rsid w:val="00E62F71"/>
    <w:rsid w:val="00E6479E"/>
    <w:rsid w:val="00E64F24"/>
    <w:rsid w:val="00E67832"/>
    <w:rsid w:val="00E734BD"/>
    <w:rsid w:val="00E734FE"/>
    <w:rsid w:val="00E741DB"/>
    <w:rsid w:val="00E74C6C"/>
    <w:rsid w:val="00E75EE2"/>
    <w:rsid w:val="00E75FB4"/>
    <w:rsid w:val="00E7696F"/>
    <w:rsid w:val="00E76CFC"/>
    <w:rsid w:val="00E775A7"/>
    <w:rsid w:val="00E77DB8"/>
    <w:rsid w:val="00E805D8"/>
    <w:rsid w:val="00E80997"/>
    <w:rsid w:val="00E80F1B"/>
    <w:rsid w:val="00E83A6F"/>
    <w:rsid w:val="00E84957"/>
    <w:rsid w:val="00E84F3C"/>
    <w:rsid w:val="00E84F71"/>
    <w:rsid w:val="00E8606E"/>
    <w:rsid w:val="00E868E8"/>
    <w:rsid w:val="00E906E3"/>
    <w:rsid w:val="00E90C36"/>
    <w:rsid w:val="00E90C6B"/>
    <w:rsid w:val="00E90F32"/>
    <w:rsid w:val="00E916C1"/>
    <w:rsid w:val="00E927C5"/>
    <w:rsid w:val="00E93A52"/>
    <w:rsid w:val="00E93FAB"/>
    <w:rsid w:val="00E940AB"/>
    <w:rsid w:val="00E94C1A"/>
    <w:rsid w:val="00E9566A"/>
    <w:rsid w:val="00E95F37"/>
    <w:rsid w:val="00E95FDC"/>
    <w:rsid w:val="00E962A1"/>
    <w:rsid w:val="00EA0778"/>
    <w:rsid w:val="00EA0E0B"/>
    <w:rsid w:val="00EA145F"/>
    <w:rsid w:val="00EA1DEE"/>
    <w:rsid w:val="00EA2896"/>
    <w:rsid w:val="00EA37EA"/>
    <w:rsid w:val="00EA3C1B"/>
    <w:rsid w:val="00EA5FF7"/>
    <w:rsid w:val="00EA6089"/>
    <w:rsid w:val="00EA6714"/>
    <w:rsid w:val="00EB0F4B"/>
    <w:rsid w:val="00EB187B"/>
    <w:rsid w:val="00EB19C0"/>
    <w:rsid w:val="00EB2457"/>
    <w:rsid w:val="00EB28DF"/>
    <w:rsid w:val="00EB2B5C"/>
    <w:rsid w:val="00EB5B0E"/>
    <w:rsid w:val="00EB6530"/>
    <w:rsid w:val="00EB6C87"/>
    <w:rsid w:val="00EB7B14"/>
    <w:rsid w:val="00EB7FC8"/>
    <w:rsid w:val="00EC02D9"/>
    <w:rsid w:val="00EC1389"/>
    <w:rsid w:val="00EC24E9"/>
    <w:rsid w:val="00EC288D"/>
    <w:rsid w:val="00EC2CEF"/>
    <w:rsid w:val="00EC3025"/>
    <w:rsid w:val="00EC3AB9"/>
    <w:rsid w:val="00EC426E"/>
    <w:rsid w:val="00EC42AC"/>
    <w:rsid w:val="00EC482E"/>
    <w:rsid w:val="00EC4C6A"/>
    <w:rsid w:val="00EC5151"/>
    <w:rsid w:val="00EC709A"/>
    <w:rsid w:val="00EC738D"/>
    <w:rsid w:val="00EC7613"/>
    <w:rsid w:val="00ED0951"/>
    <w:rsid w:val="00ED5244"/>
    <w:rsid w:val="00ED53C8"/>
    <w:rsid w:val="00ED5406"/>
    <w:rsid w:val="00ED7649"/>
    <w:rsid w:val="00EE0B72"/>
    <w:rsid w:val="00EE1EBD"/>
    <w:rsid w:val="00EE1F4A"/>
    <w:rsid w:val="00EE215A"/>
    <w:rsid w:val="00EE21C6"/>
    <w:rsid w:val="00EE28EC"/>
    <w:rsid w:val="00EE3DEB"/>
    <w:rsid w:val="00EE5AA6"/>
    <w:rsid w:val="00EE6E91"/>
    <w:rsid w:val="00EF1C5B"/>
    <w:rsid w:val="00EF453E"/>
    <w:rsid w:val="00EF49BE"/>
    <w:rsid w:val="00EF4BA2"/>
    <w:rsid w:val="00EF513E"/>
    <w:rsid w:val="00EF5520"/>
    <w:rsid w:val="00EF7AAA"/>
    <w:rsid w:val="00EF7CE4"/>
    <w:rsid w:val="00F0099B"/>
    <w:rsid w:val="00F01C68"/>
    <w:rsid w:val="00F022AA"/>
    <w:rsid w:val="00F02743"/>
    <w:rsid w:val="00F04682"/>
    <w:rsid w:val="00F047EE"/>
    <w:rsid w:val="00F05B98"/>
    <w:rsid w:val="00F05F43"/>
    <w:rsid w:val="00F063DA"/>
    <w:rsid w:val="00F063F6"/>
    <w:rsid w:val="00F065F3"/>
    <w:rsid w:val="00F07244"/>
    <w:rsid w:val="00F0728D"/>
    <w:rsid w:val="00F076F8"/>
    <w:rsid w:val="00F10085"/>
    <w:rsid w:val="00F107BD"/>
    <w:rsid w:val="00F11BAA"/>
    <w:rsid w:val="00F12F72"/>
    <w:rsid w:val="00F133BE"/>
    <w:rsid w:val="00F161CD"/>
    <w:rsid w:val="00F16CD0"/>
    <w:rsid w:val="00F17085"/>
    <w:rsid w:val="00F17634"/>
    <w:rsid w:val="00F2021E"/>
    <w:rsid w:val="00F202EB"/>
    <w:rsid w:val="00F20EA9"/>
    <w:rsid w:val="00F213DC"/>
    <w:rsid w:val="00F2199C"/>
    <w:rsid w:val="00F21A4A"/>
    <w:rsid w:val="00F21C0D"/>
    <w:rsid w:val="00F23A5B"/>
    <w:rsid w:val="00F23D64"/>
    <w:rsid w:val="00F23EE6"/>
    <w:rsid w:val="00F250F2"/>
    <w:rsid w:val="00F25638"/>
    <w:rsid w:val="00F25FDC"/>
    <w:rsid w:val="00F267C0"/>
    <w:rsid w:val="00F26A71"/>
    <w:rsid w:val="00F27157"/>
    <w:rsid w:val="00F2756A"/>
    <w:rsid w:val="00F27F7A"/>
    <w:rsid w:val="00F300FD"/>
    <w:rsid w:val="00F3129D"/>
    <w:rsid w:val="00F31704"/>
    <w:rsid w:val="00F31F3B"/>
    <w:rsid w:val="00F322D4"/>
    <w:rsid w:val="00F3302F"/>
    <w:rsid w:val="00F345BB"/>
    <w:rsid w:val="00F3556C"/>
    <w:rsid w:val="00F37DCD"/>
    <w:rsid w:val="00F40153"/>
    <w:rsid w:val="00F40A47"/>
    <w:rsid w:val="00F40FA3"/>
    <w:rsid w:val="00F417CD"/>
    <w:rsid w:val="00F41C89"/>
    <w:rsid w:val="00F42990"/>
    <w:rsid w:val="00F42F14"/>
    <w:rsid w:val="00F43146"/>
    <w:rsid w:val="00F44BA1"/>
    <w:rsid w:val="00F458B2"/>
    <w:rsid w:val="00F46693"/>
    <w:rsid w:val="00F466F9"/>
    <w:rsid w:val="00F46D2E"/>
    <w:rsid w:val="00F478CA"/>
    <w:rsid w:val="00F505D5"/>
    <w:rsid w:val="00F50FCE"/>
    <w:rsid w:val="00F51EB4"/>
    <w:rsid w:val="00F521D9"/>
    <w:rsid w:val="00F52F08"/>
    <w:rsid w:val="00F53879"/>
    <w:rsid w:val="00F54235"/>
    <w:rsid w:val="00F543A5"/>
    <w:rsid w:val="00F56126"/>
    <w:rsid w:val="00F564F7"/>
    <w:rsid w:val="00F57089"/>
    <w:rsid w:val="00F574FA"/>
    <w:rsid w:val="00F602E2"/>
    <w:rsid w:val="00F608B8"/>
    <w:rsid w:val="00F610A1"/>
    <w:rsid w:val="00F62183"/>
    <w:rsid w:val="00F62ACA"/>
    <w:rsid w:val="00F631F5"/>
    <w:rsid w:val="00F63595"/>
    <w:rsid w:val="00F65BF1"/>
    <w:rsid w:val="00F66058"/>
    <w:rsid w:val="00F665E2"/>
    <w:rsid w:val="00F667E5"/>
    <w:rsid w:val="00F66DB6"/>
    <w:rsid w:val="00F67A7A"/>
    <w:rsid w:val="00F70757"/>
    <w:rsid w:val="00F70D44"/>
    <w:rsid w:val="00F70E25"/>
    <w:rsid w:val="00F71756"/>
    <w:rsid w:val="00F7445E"/>
    <w:rsid w:val="00F748B5"/>
    <w:rsid w:val="00F74C2B"/>
    <w:rsid w:val="00F7502A"/>
    <w:rsid w:val="00F757AF"/>
    <w:rsid w:val="00F76299"/>
    <w:rsid w:val="00F771FB"/>
    <w:rsid w:val="00F81FFA"/>
    <w:rsid w:val="00F821E0"/>
    <w:rsid w:val="00F8269E"/>
    <w:rsid w:val="00F828C8"/>
    <w:rsid w:val="00F82B29"/>
    <w:rsid w:val="00F83F22"/>
    <w:rsid w:val="00F843FE"/>
    <w:rsid w:val="00F849C3"/>
    <w:rsid w:val="00F85194"/>
    <w:rsid w:val="00F85CD5"/>
    <w:rsid w:val="00F85E4E"/>
    <w:rsid w:val="00F869B7"/>
    <w:rsid w:val="00F86A35"/>
    <w:rsid w:val="00F87558"/>
    <w:rsid w:val="00F879B1"/>
    <w:rsid w:val="00F916CD"/>
    <w:rsid w:val="00F91CAD"/>
    <w:rsid w:val="00F92004"/>
    <w:rsid w:val="00F92AF8"/>
    <w:rsid w:val="00F94AFE"/>
    <w:rsid w:val="00F965B3"/>
    <w:rsid w:val="00F96E77"/>
    <w:rsid w:val="00FA0255"/>
    <w:rsid w:val="00FA1DE3"/>
    <w:rsid w:val="00FA2475"/>
    <w:rsid w:val="00FA3786"/>
    <w:rsid w:val="00FA4BD1"/>
    <w:rsid w:val="00FA4F65"/>
    <w:rsid w:val="00FA5524"/>
    <w:rsid w:val="00FA7BED"/>
    <w:rsid w:val="00FB0D0A"/>
    <w:rsid w:val="00FB18EB"/>
    <w:rsid w:val="00FB211B"/>
    <w:rsid w:val="00FB2678"/>
    <w:rsid w:val="00FB2B42"/>
    <w:rsid w:val="00FB2EC0"/>
    <w:rsid w:val="00FB336C"/>
    <w:rsid w:val="00FB389A"/>
    <w:rsid w:val="00FB444A"/>
    <w:rsid w:val="00FB5BE5"/>
    <w:rsid w:val="00FB5F3F"/>
    <w:rsid w:val="00FB61FE"/>
    <w:rsid w:val="00FB7055"/>
    <w:rsid w:val="00FB757A"/>
    <w:rsid w:val="00FC1896"/>
    <w:rsid w:val="00FC2CF1"/>
    <w:rsid w:val="00FC2E95"/>
    <w:rsid w:val="00FC4148"/>
    <w:rsid w:val="00FC4221"/>
    <w:rsid w:val="00FC663A"/>
    <w:rsid w:val="00FC74BD"/>
    <w:rsid w:val="00FC7F69"/>
    <w:rsid w:val="00FD02B0"/>
    <w:rsid w:val="00FD0437"/>
    <w:rsid w:val="00FD0C04"/>
    <w:rsid w:val="00FD1844"/>
    <w:rsid w:val="00FD1996"/>
    <w:rsid w:val="00FD1A42"/>
    <w:rsid w:val="00FD25D5"/>
    <w:rsid w:val="00FD4AFE"/>
    <w:rsid w:val="00FD4E97"/>
    <w:rsid w:val="00FD5432"/>
    <w:rsid w:val="00FD626C"/>
    <w:rsid w:val="00FD655B"/>
    <w:rsid w:val="00FE021E"/>
    <w:rsid w:val="00FE0A63"/>
    <w:rsid w:val="00FE0DEC"/>
    <w:rsid w:val="00FE37A4"/>
    <w:rsid w:val="00FE44B9"/>
    <w:rsid w:val="00FE62F5"/>
    <w:rsid w:val="00FE7350"/>
    <w:rsid w:val="00FF0733"/>
    <w:rsid w:val="00FF08BF"/>
    <w:rsid w:val="00FF2DCC"/>
    <w:rsid w:val="00FF3987"/>
    <w:rsid w:val="00FF41AE"/>
    <w:rsid w:val="00FF4B59"/>
    <w:rsid w:val="00FF4D0A"/>
    <w:rsid w:val="00FF574B"/>
    <w:rsid w:val="00FF619F"/>
    <w:rsid w:val="00FF645E"/>
    <w:rsid w:val="00FF74AC"/>
    <w:rsid w:val="00FF7B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7F540"/>
  <w15:docId w15:val="{0AD12E05-B883-8D42-A1B6-EDC05E75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2"/>
        <w:szCs w:val="22"/>
        <w:lang w:val="nb-NO" w:eastAsia="en-US" w:bidi="ar-SA"/>
      </w:rPr>
    </w:rPrDefault>
    <w:pPrDefault/>
  </w:docDefaults>
  <w:latentStyles w:defLockedState="0" w:defUIPriority="0" w:defSemiHidden="0" w:defUnhideWhenUsed="0" w:defQFormat="0" w:count="376">
    <w:lsdException w:name="Normal" w:uiPriority="21" w:qFormat="1"/>
    <w:lsdException w:name="heading 1" w:uiPriority="9" w:qFormat="1"/>
    <w:lsdException w:name="heading 2" w:semiHidden="1" w:uiPriority="11" w:unhideWhenUsed="1" w:qFormat="1"/>
    <w:lsdException w:name="heading 3" w:semiHidden="1" w:uiPriority="13" w:unhideWhenUsed="1" w:qFormat="1"/>
    <w:lsdException w:name="heading 4" w:semiHidden="1" w:uiPriority="13" w:unhideWhenUsed="1" w:qFormat="1"/>
    <w:lsdException w:name="heading 5" w:semiHidden="1" w:uiPriority="13" w:unhideWhenUsed="1" w:qFormat="1"/>
    <w:lsdException w:name="heading 6" w:semiHidden="1" w:uiPriority="13" w:unhideWhenUsed="1"/>
    <w:lsdException w:name="heading 7" w:semiHidden="1" w:uiPriority="13" w:unhideWhenUsed="1"/>
    <w:lsdException w:name="heading 8" w:semiHidden="1" w:uiPriority="13" w:unhideWhenUsed="1"/>
    <w:lsdException w:name="heading 9" w:semiHidden="1" w:uiPriority="13" w:unhideWhenUsed="1"/>
    <w:lsdException w:name="index 1" w:semiHidden="1" w:uiPriority="75" w:unhideWhenUsed="1"/>
    <w:lsdException w:name="index 2" w:semiHidden="1" w:uiPriority="75" w:unhideWhenUsed="1"/>
    <w:lsdException w:name="index 3" w:semiHidden="1" w:uiPriority="75" w:unhideWhenUsed="1"/>
    <w:lsdException w:name="index 4" w:semiHidden="1" w:uiPriority="75" w:unhideWhenUsed="1"/>
    <w:lsdException w:name="index 5" w:semiHidden="1" w:uiPriority="75" w:unhideWhenUsed="1"/>
    <w:lsdException w:name="index 6" w:semiHidden="1" w:uiPriority="75" w:unhideWhenUsed="1"/>
    <w:lsdException w:name="index 7" w:semiHidden="1" w:uiPriority="75" w:unhideWhenUsed="1"/>
    <w:lsdException w:name="index 8" w:semiHidden="1" w:uiPriority="75" w:unhideWhenUsed="1"/>
    <w:lsdException w:name="index 9" w:semiHidden="1" w:uiPriority="75"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70" w:unhideWhenUsed="1"/>
    <w:lsdException w:name="toc 7" w:semiHidden="1" w:uiPriority="70" w:unhideWhenUsed="1"/>
    <w:lsdException w:name="toc 8" w:semiHidden="1" w:uiPriority="70" w:unhideWhenUsed="1"/>
    <w:lsdException w:name="toc 9" w:semiHidden="1" w:uiPriority="70" w:unhideWhenUsed="1"/>
    <w:lsdException w:name="Normal Indent" w:semiHidden="1" w:uiPriority="26" w:unhideWhenUsed="1"/>
    <w:lsdException w:name="footnote text" w:semiHidden="1" w:uiPriority="34" w:unhideWhenUsed="1"/>
    <w:lsdException w:name="annotation text" w:semiHidden="1" w:uiPriority="99" w:unhideWhenUsed="1"/>
    <w:lsdException w:name="header" w:semiHidden="1" w:uiPriority="94" w:unhideWhenUsed="1"/>
    <w:lsdException w:name="footer" w:semiHidden="1" w:unhideWhenUsed="1"/>
    <w:lsdException w:name="index heading" w:semiHidden="1" w:uiPriority="99" w:unhideWhenUsed="1"/>
    <w:lsdException w:name="caption" w:semiHidden="1" w:uiPriority="29" w:unhideWhenUsed="1" w:qFormat="1"/>
    <w:lsdException w:name="table of figures" w:semiHidden="1" w:uiPriority="31" w:unhideWhenUsed="1"/>
    <w:lsdException w:name="envelope address" w:semiHidden="1" w:uiPriority="38" w:unhideWhenUsed="1"/>
    <w:lsdException w:name="envelope return" w:semiHidden="1" w:uiPriority="99" w:unhideWhenUsed="1"/>
    <w:lsdException w:name="footnote reference" w:semiHidden="1" w:uiPriority="35"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37" w:unhideWhenUsed="1"/>
    <w:lsdException w:name="endnote text" w:semiHidden="1" w:uiPriority="36" w:unhideWhenUsed="1"/>
    <w:lsdException w:name="table of authorities" w:semiHidden="1" w:uiPriority="57" w:unhideWhenUsed="1"/>
    <w:lsdException w:name="macro" w:semiHidden="1" w:uiPriority="99" w:unhideWhenUsed="1"/>
    <w:lsdException w:name="toa heading" w:semiHidden="1" w:uiPriority="56" w:unhideWhenUsed="1"/>
    <w:lsdException w:name="List" w:semiHidden="1" w:uiPriority="45" w:unhideWhenUsed="1"/>
    <w:lsdException w:name="List Bullet" w:semiHidden="1" w:uiPriority="42" w:unhideWhenUsed="1"/>
    <w:lsdException w:name="List Number" w:semiHidden="1" w:uiPriority="41" w:unhideWhenUsed="1"/>
    <w:lsdException w:name="List 2" w:semiHidden="1" w:uiPriority="45" w:unhideWhenUsed="1"/>
    <w:lsdException w:name="List 3" w:semiHidden="1" w:uiPriority="45" w:unhideWhenUsed="1"/>
    <w:lsdException w:name="List 4" w:semiHidden="1" w:uiPriority="45" w:unhideWhenUsed="1"/>
    <w:lsdException w:name="List 5" w:semiHidden="1" w:uiPriority="45" w:unhideWhenUsed="1"/>
    <w:lsdException w:name="List Bullet 2" w:semiHidden="1" w:uiPriority="42" w:unhideWhenUsed="1"/>
    <w:lsdException w:name="List Bullet 3" w:semiHidden="1" w:uiPriority="42" w:unhideWhenUsed="1"/>
    <w:lsdException w:name="List Bullet 4" w:semiHidden="1" w:uiPriority="42" w:unhideWhenUsed="1"/>
    <w:lsdException w:name="List Bullet 5" w:semiHidden="1" w:uiPriority="42" w:unhideWhenUsed="1"/>
    <w:lsdException w:name="List Number 2" w:semiHidden="1" w:uiPriority="41" w:unhideWhenUsed="1"/>
    <w:lsdException w:name="List Number 3" w:semiHidden="1" w:uiPriority="41" w:unhideWhenUsed="1"/>
    <w:lsdException w:name="List Number 4" w:semiHidden="1" w:uiPriority="41" w:unhideWhenUsed="1"/>
    <w:lsdException w:name="List Number 5" w:semiHidden="1" w:uiPriority="41" w:unhideWhenUsed="1"/>
    <w:lsdException w:name="Closing" w:semiHidden="1" w:uiPriority="38" w:unhideWhenUsed="1"/>
    <w:lsdException w:name="Signature" w:semiHidden="1" w:uiPriority="38" w:unhideWhenUsed="1"/>
    <w:lsdException w:name="Default Paragraph Font" w:semiHidden="1" w:uiPriority="1" w:unhideWhenUsed="1"/>
    <w:lsdException w:name="Body Text" w:semiHidden="1" w:uiPriority="20" w:unhideWhenUsed="1" w:qFormat="1"/>
    <w:lsdException w:name="Body Text Indent" w:semiHidden="1" w:uiPriority="20" w:unhideWhenUsed="1"/>
    <w:lsdException w:name="List Continue" w:semiHidden="1" w:uiPriority="45" w:unhideWhenUsed="1"/>
    <w:lsdException w:name="List Continue 2" w:semiHidden="1" w:uiPriority="45" w:unhideWhenUsed="1"/>
    <w:lsdException w:name="List Continue 3" w:semiHidden="1" w:uiPriority="45" w:unhideWhenUsed="1"/>
    <w:lsdException w:name="List Continue 4" w:semiHidden="1" w:uiPriority="45" w:unhideWhenUsed="1"/>
    <w:lsdException w:name="List Continue 5" w:semiHidden="1" w:uiPriority="45" w:unhideWhenUsed="1"/>
    <w:lsdException w:name="Message Header" w:semiHidden="1" w:uiPriority="99" w:unhideWhenUsed="1"/>
    <w:lsdException w:name="Subtitle" w:uiPriority="11" w:qFormat="1"/>
    <w:lsdException w:name="Salutation" w:semiHidden="1" w:uiPriority="38" w:unhideWhenUsed="1"/>
    <w:lsdException w:name="Date" w:semiHidden="1" w:uiPriority="94" w:unhideWhenUsed="1"/>
    <w:lsdException w:name="Body Text First Indent" w:semiHidden="1" w:uiPriority="20" w:unhideWhenUsed="1"/>
    <w:lsdException w:name="Body Text First Indent 2" w:semiHidden="1" w:uiPriority="20" w:unhideWhenUsed="1"/>
    <w:lsdException w:name="Note Heading" w:semiHidden="1" w:uiPriority="38" w:unhideWhenUsed="1"/>
    <w:lsdException w:name="Body Text 2" w:semiHidden="1" w:uiPriority="20" w:unhideWhenUsed="1"/>
    <w:lsdException w:name="Body Text 3" w:semiHidden="1" w:uiPriority="20" w:unhideWhenUsed="1"/>
    <w:lsdException w:name="Body Text Indent 2" w:semiHidden="1" w:uiPriority="20" w:unhideWhenUsed="1"/>
    <w:lsdException w:name="Body Text Indent 3" w:semiHidden="1" w:uiPriority="20" w:unhideWhenUsed="1"/>
    <w:lsdException w:name="Block Text" w:semiHidden="1" w:uiPriority="22" w:unhideWhenUsed="1"/>
    <w:lsdException w:name="Hyperlink" w:semiHidden="1" w:unhideWhenUsed="1"/>
    <w:lsdException w:name="FollowedHyperlink" w:semiHidden="1" w:uiPriority="90" w:unhideWhenUsed="1"/>
    <w:lsdException w:name="Strong" w:uiPriority="99"/>
    <w:lsdException w:name="Emphasis" w:uiPriority="20" w:qFormat="1"/>
    <w:lsdException w:name="Document Map" w:semiHidden="1" w:uiPriority="99" w:unhideWhenUsed="1"/>
    <w:lsdException w:name="Plain Text" w:semiHidden="1" w:uiPriority="38" w:unhideWhenUsed="1"/>
    <w:lsdException w:name="E-mail Signature" w:semiHidden="1" w:uiPriority="38" w:unhideWhenUsed="1"/>
    <w:lsdException w:name="HTML Top of Form" w:semiHidden="1" w:uiPriority="99" w:unhideWhenUsed="1"/>
    <w:lsdException w:name="HTML Bottom of Form" w:semiHidden="1" w:uiPriority="99" w:unhideWhenUsed="1"/>
    <w:lsdException w:name="Normal (Web)" w:semiHidden="1" w:uiPriority="21" w:unhideWhenUsed="1"/>
    <w:lsdException w:name="HTML Acronym" w:semiHidden="1" w:uiPriority="38" w:unhideWhenUsed="1"/>
    <w:lsdException w:name="HTML Address" w:semiHidden="1" w:uiPriority="38" w:unhideWhenUsed="1"/>
    <w:lsdException w:name="HTML Cite" w:semiHidden="1" w:uiPriority="38" w:unhideWhenUsed="1"/>
    <w:lsdException w:name="HTML Code" w:semiHidden="1" w:uiPriority="38" w:unhideWhenUsed="1"/>
    <w:lsdException w:name="HTML Definition" w:semiHidden="1" w:uiPriority="38" w:unhideWhenUsed="1"/>
    <w:lsdException w:name="HTML Keyboard" w:semiHidden="1" w:uiPriority="99" w:unhideWhenUsed="1"/>
    <w:lsdException w:name="HTML Preformatted" w:semiHidden="1" w:uiPriority="38" w:unhideWhenUsed="1"/>
    <w:lsdException w:name="HTML Sample" w:semiHidden="1" w:uiPriority="38" w:unhideWhenUsed="1"/>
    <w:lsdException w:name="HTML Typewriter" w:semiHidden="1" w:uiPriority="38" w:unhideWhenUsed="1"/>
    <w:lsdException w:name="HTML Variable" w:semiHidden="1" w:uiPriority="38" w:unhideWhenUsed="1"/>
    <w:lsdException w:name="Normal Table" w:semiHidden="1" w:unhideWhenUsed="1"/>
    <w:lsdException w:name="annotation subject" w:semiHidden="1" w:uiPriority="38"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24"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31" w:qFormat="1"/>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50" w:unhideWhenUsed="1"/>
    <w:lsdException w:name="TOC Heading" w:semiHidden="1" w:uiPriority="39" w:unhideWhenUsed="1" w:qFormat="1"/>
    <w:lsdException w:name="Plain Table 3" w:uiPriority="43"/>
    <w:lsdException w:name="Mention" w:semiHidden="1" w:uiPriority="99" w:unhideWhenUsed="1"/>
    <w:lsdException w:name="Smart Hyperlink" w:semiHidden="1" w:uiPriority="99" w:unhideWhenUsed="1"/>
    <w:lsdException w:name="Hashtag" w:semiHidden="1" w:uiPriority="38" w:unhideWhenUsed="1"/>
    <w:lsdException w:name="Unresolved Mention" w:semiHidden="1" w:uiPriority="99" w:unhideWhenUsed="1"/>
    <w:lsdException w:name="Smart Link" w:semiHidden="1" w:uiPriority="99" w:unhideWhenUsed="1"/>
  </w:latentStyles>
  <w:style w:type="paragraph" w:default="1" w:styleId="Normal">
    <w:name w:val="Normal"/>
    <w:uiPriority w:val="21"/>
    <w:qFormat/>
    <w:rsid w:val="00BA63A2"/>
    <w:pPr>
      <w:spacing w:before="120" w:line="480" w:lineRule="auto"/>
      <w:jc w:val="both"/>
    </w:pPr>
    <w:rPr>
      <w:rFonts w:ascii="Times New Roman" w:hAnsi="Times New Roman"/>
      <w:sz w:val="20"/>
      <w:lang w:val="en-US"/>
    </w:rPr>
  </w:style>
  <w:style w:type="paragraph" w:styleId="Heading1">
    <w:name w:val="heading 1"/>
    <w:aliases w:val="H1"/>
    <w:next w:val="Normal"/>
    <w:link w:val="Heading1Char"/>
    <w:uiPriority w:val="9"/>
    <w:qFormat/>
    <w:rsid w:val="006B6496"/>
    <w:pPr>
      <w:keepNext/>
      <w:keepLines/>
      <w:pageBreakBefore/>
      <w:numPr>
        <w:numId w:val="20"/>
      </w:numPr>
      <w:suppressAutoHyphens/>
      <w:spacing w:before="240" w:after="240" w:line="252" w:lineRule="auto"/>
      <w:outlineLvl w:val="0"/>
    </w:pPr>
    <w:rPr>
      <w:rFonts w:ascii="Times New Roman" w:eastAsiaTheme="majorEastAsia" w:hAnsi="Times New Roman" w:cstheme="minorHAnsi"/>
      <w:b/>
      <w:bCs/>
      <w:kern w:val="16"/>
      <w:sz w:val="36"/>
      <w:szCs w:val="28"/>
    </w:rPr>
  </w:style>
  <w:style w:type="paragraph" w:styleId="Heading2">
    <w:name w:val="heading 2"/>
    <w:aliases w:val="H2"/>
    <w:basedOn w:val="Heading1"/>
    <w:next w:val="Normal"/>
    <w:link w:val="Heading2Char"/>
    <w:uiPriority w:val="11"/>
    <w:qFormat/>
    <w:rsid w:val="00A46B00"/>
    <w:pPr>
      <w:pageBreakBefore w:val="0"/>
      <w:numPr>
        <w:numId w:val="0"/>
      </w:numPr>
      <w:spacing w:before="120" w:after="120"/>
      <w:outlineLvl w:val="1"/>
    </w:pPr>
    <w:rPr>
      <w:bCs w:val="0"/>
      <w:sz w:val="20"/>
      <w:szCs w:val="26"/>
      <w:lang w:val="en-US"/>
    </w:rPr>
  </w:style>
  <w:style w:type="paragraph" w:styleId="Heading3">
    <w:name w:val="heading 3"/>
    <w:aliases w:val="H3"/>
    <w:basedOn w:val="Heading2"/>
    <w:next w:val="Normal"/>
    <w:link w:val="Heading3Char"/>
    <w:uiPriority w:val="13"/>
    <w:qFormat/>
    <w:rsid w:val="005C56CF"/>
    <w:pPr>
      <w:outlineLvl w:val="2"/>
    </w:pPr>
    <w:rPr>
      <w:bCs/>
      <w:i/>
    </w:rPr>
  </w:style>
  <w:style w:type="paragraph" w:styleId="Heading4">
    <w:name w:val="heading 4"/>
    <w:aliases w:val="H4"/>
    <w:basedOn w:val="Heading3"/>
    <w:next w:val="Normal"/>
    <w:link w:val="Heading4Char"/>
    <w:uiPriority w:val="13"/>
    <w:qFormat/>
    <w:rsid w:val="004F5405"/>
    <w:pPr>
      <w:numPr>
        <w:ilvl w:val="3"/>
      </w:numPr>
      <w:spacing w:after="40"/>
      <w:ind w:firstLine="454"/>
      <w:outlineLvl w:val="3"/>
    </w:pPr>
    <w:rPr>
      <w:bCs w:val="0"/>
      <w:iCs/>
      <w:sz w:val="21"/>
    </w:rPr>
  </w:style>
  <w:style w:type="paragraph" w:styleId="Heading5">
    <w:name w:val="heading 5"/>
    <w:aliases w:val="H5"/>
    <w:basedOn w:val="Heading4"/>
    <w:next w:val="Normal"/>
    <w:link w:val="Heading5Char"/>
    <w:uiPriority w:val="13"/>
    <w:unhideWhenUsed/>
    <w:qFormat/>
    <w:rsid w:val="00057495"/>
    <w:pPr>
      <w:numPr>
        <w:ilvl w:val="0"/>
      </w:numPr>
      <w:ind w:firstLine="851"/>
      <w:outlineLvl w:val="4"/>
    </w:pPr>
    <w:rPr>
      <w:i w:val="0"/>
      <w:sz w:val="20"/>
    </w:rPr>
  </w:style>
  <w:style w:type="paragraph" w:styleId="Heading6">
    <w:name w:val="heading 6"/>
    <w:aliases w:val="H6"/>
    <w:basedOn w:val="Heading5"/>
    <w:next w:val="Normal"/>
    <w:link w:val="Heading6Char"/>
    <w:uiPriority w:val="13"/>
    <w:semiHidden/>
    <w:unhideWhenUsed/>
    <w:rsid w:val="004F5405"/>
    <w:pPr>
      <w:numPr>
        <w:ilvl w:val="5"/>
      </w:numPr>
      <w:ind w:firstLine="851"/>
      <w:outlineLvl w:val="5"/>
    </w:pPr>
    <w:rPr>
      <w:iCs w:val="0"/>
    </w:rPr>
  </w:style>
  <w:style w:type="paragraph" w:styleId="Heading7">
    <w:name w:val="heading 7"/>
    <w:basedOn w:val="Heading6"/>
    <w:next w:val="Normal"/>
    <w:link w:val="Heading7Char"/>
    <w:uiPriority w:val="13"/>
    <w:semiHidden/>
    <w:unhideWhenUsed/>
    <w:rsid w:val="00DF0DE9"/>
    <w:pPr>
      <w:numPr>
        <w:ilvl w:val="6"/>
      </w:numPr>
      <w:ind w:firstLine="851"/>
      <w:outlineLvl w:val="6"/>
    </w:pPr>
    <w:rPr>
      <w:iCs/>
    </w:rPr>
  </w:style>
  <w:style w:type="paragraph" w:styleId="Heading8">
    <w:name w:val="heading 8"/>
    <w:basedOn w:val="Heading7"/>
    <w:next w:val="Normal"/>
    <w:link w:val="Heading8Char"/>
    <w:uiPriority w:val="13"/>
    <w:semiHidden/>
    <w:unhideWhenUsed/>
    <w:pPr>
      <w:numPr>
        <w:ilvl w:val="7"/>
      </w:numPr>
      <w:ind w:firstLine="851"/>
      <w:outlineLvl w:val="7"/>
    </w:pPr>
    <w:rPr>
      <w:szCs w:val="20"/>
    </w:rPr>
  </w:style>
  <w:style w:type="paragraph" w:styleId="Heading9">
    <w:name w:val="heading 9"/>
    <w:basedOn w:val="Heading8"/>
    <w:next w:val="Normal"/>
    <w:link w:val="Heading9Char"/>
    <w:uiPriority w:val="13"/>
    <w:semiHidden/>
    <w:unhideWhenUsed/>
    <w:pPr>
      <w:numPr>
        <w:ilvl w:val="8"/>
      </w:numPr>
      <w:ind w:firstLine="851"/>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100" w:beforeAutospacing="1" w:after="100" w:afterAutospacing="1" w:line="252" w:lineRule="auto"/>
    </w:pPr>
    <w:rPr>
      <w:rFonts w:eastAsia="Times New Roman"/>
      <w:sz w:val="20"/>
      <w:lang w:eastAsia="nb-NO"/>
    </w:rPr>
    <w:tblPr>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Pr>
  </w:style>
  <w:style w:type="table" w:customStyle="1" w:styleId="Kappeliggendestreker">
    <w:name w:val="Kappe liggende streker"/>
    <w:basedOn w:val="TableGrid"/>
    <w:pPr>
      <w:spacing w:before="0" w:beforeAutospacing="0" w:after="0" w:afterAutospacing="0"/>
    </w:pPr>
    <w:rPr>
      <w:sz w:val="22"/>
    </w:rPr>
    <w:tblPr>
      <w:tblBorders>
        <w:top w:val="single" w:sz="2" w:space="0" w:color="404040" w:themeColor="text1" w:themeTint="BF"/>
        <w:left w:val="none" w:sz="0" w:space="0" w:color="auto"/>
        <w:bottom w:val="single" w:sz="2" w:space="0" w:color="404040" w:themeColor="text1" w:themeTint="BF"/>
        <w:right w:val="none" w:sz="0" w:space="0" w:color="auto"/>
        <w:insideH w:val="single" w:sz="2" w:space="0" w:color="404040" w:themeColor="text1" w:themeTint="BF"/>
        <w:insideV w:val="none" w:sz="0" w:space="0" w:color="auto"/>
      </w:tblBorders>
      <w:tblCellMar>
        <w:top w:w="40" w:type="dxa"/>
        <w:bottom w:w="28" w:type="dxa"/>
      </w:tblCellMar>
    </w:tblPr>
    <w:tblStylePr w:type="firstRow">
      <w:rPr>
        <w:b/>
      </w:rPr>
    </w:tblStylePr>
    <w:tblStylePr w:type="lastRow">
      <w:rPr>
        <w:b/>
      </w:rPr>
      <w:tblPr/>
      <w:tcPr>
        <w:tcBorders>
          <w:top w:val="single" w:sz="2" w:space="0" w:color="404040" w:themeColor="text1" w:themeTint="BF"/>
          <w:left w:val="nil"/>
          <w:bottom w:val="single" w:sz="2" w:space="0" w:color="404040" w:themeColor="text1" w:themeTint="BF"/>
          <w:right w:val="nil"/>
          <w:insideH w:val="nil"/>
          <w:insideV w:val="nil"/>
          <w:tl2br w:val="nil"/>
          <w:tr2bl w:val="nil"/>
        </w:tcBorders>
      </w:tcPr>
    </w:tblStylePr>
    <w:tblStylePr w:type="firstCol">
      <w:rPr>
        <w:b/>
      </w:rPr>
    </w:tblStylePr>
    <w:tblStylePr w:type="lastCol">
      <w:rPr>
        <w:b/>
      </w:rPr>
    </w:tblStylePr>
  </w:style>
  <w:style w:type="table" w:customStyle="1" w:styleId="Kapperutenett">
    <w:name w:val="Kappe rutenett"/>
    <w:basedOn w:val="TableGrid"/>
    <w:rsid w:val="007B038C"/>
    <w:pPr>
      <w:spacing w:before="0" w:beforeAutospacing="0" w:after="0" w:afterAutospacing="0"/>
    </w:pPr>
    <w:rPr>
      <w:sz w:val="22"/>
    </w:rPr>
    <w:tblPr>
      <w:tblStyleRowBandSize w:val="1"/>
      <w:tblCellMar>
        <w:top w:w="34" w:type="dxa"/>
        <w:bottom w:w="17" w:type="dxa"/>
      </w:tblCellMar>
    </w:tblPr>
    <w:tcPr>
      <w:shd w:val="clear" w:color="auto" w:fill="auto"/>
    </w:tcPr>
    <w:tblStylePr w:type="firstRow">
      <w:rPr>
        <w:b w:val="0"/>
      </w:rPr>
    </w:tblStylePr>
    <w:tblStylePr w:type="lastRow">
      <w:rPr>
        <w:b w:val="0"/>
      </w:rPr>
    </w:tblStylePr>
    <w:tblStylePr w:type="firstCol">
      <w:rPr>
        <w:b w:val="0"/>
      </w:rPr>
    </w:tblStylePr>
    <w:tblStylePr w:type="lastCol">
      <w:rPr>
        <w:b w:val="0"/>
      </w:rPr>
    </w:tblStylePr>
    <w:tblStylePr w:type="band2Horz">
      <w:tblPr/>
      <w:tcPr>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6" w:space="0" w:color="7F7F7F" w:themeColor="text1" w:themeTint="80"/>
          <w:insideV w:val="single" w:sz="6" w:space="0" w:color="7F7F7F" w:themeColor="text1" w:themeTint="80"/>
          <w:tl2br w:val="nil"/>
          <w:tr2bl w:val="nil"/>
        </w:tcBorders>
        <w:shd w:val="clear" w:color="auto" w:fill="F7F7F7"/>
      </w:tcPr>
    </w:tblStylePr>
  </w:style>
  <w:style w:type="table" w:customStyle="1" w:styleId="Kappeutenrutenett">
    <w:name w:val="Kappe uten rutenett"/>
    <w:basedOn w:val="TableNormal"/>
    <w:pPr>
      <w:spacing w:line="252" w:lineRule="auto"/>
    </w:pPr>
    <w:rPr>
      <w:rFonts w:eastAsia="Times New Roman"/>
      <w:bCs/>
      <w:lang w:eastAsia="nb-NO"/>
    </w:rPr>
    <w:tblPr>
      <w:tblStyleRowBandSize w:val="1"/>
      <w:tblStyleColBandSize w:val="1"/>
      <w:tblCellMar>
        <w:top w:w="34" w:type="dxa"/>
        <w:left w:w="85" w:type="dxa"/>
        <w:bottom w:w="17" w:type="dxa"/>
        <w:right w:w="85" w:type="dxa"/>
      </w:tblCellMar>
    </w:tblPr>
    <w:tblStylePr w:type="firstRow">
      <w:rPr>
        <w:b/>
      </w:rPr>
      <w:tblPr/>
      <w:tcPr>
        <w:tcBorders>
          <w:top w:val="nil"/>
          <w:left w:val="nil"/>
          <w:bottom w:val="nil"/>
          <w:right w:val="nil"/>
          <w:insideH w:val="nil"/>
          <w:insideV w:val="nil"/>
          <w:tl2br w:val="nil"/>
          <w:tr2bl w:val="nil"/>
        </w:tcBorders>
        <w:shd w:val="clear" w:color="auto" w:fill="ECECEC"/>
      </w:tcPr>
    </w:tblStylePr>
    <w:tblStylePr w:type="lastRow">
      <w:rPr>
        <w:b/>
      </w:rPr>
    </w:tblStylePr>
    <w:tblStylePr w:type="firstCol">
      <w:rPr>
        <w:b/>
      </w:rPr>
    </w:tblStylePr>
    <w:tblStylePr w:type="lastCol">
      <w:rPr>
        <w:b/>
      </w:rPr>
    </w:tblStylePr>
    <w:tblStylePr w:type="band2Vert">
      <w:tblPr/>
      <w:tcPr>
        <w:tcBorders>
          <w:top w:val="nil"/>
          <w:left w:val="nil"/>
          <w:bottom w:val="nil"/>
          <w:right w:val="nil"/>
          <w:insideH w:val="nil"/>
          <w:insideV w:val="nil"/>
          <w:tl2br w:val="nil"/>
          <w:tr2bl w:val="nil"/>
        </w:tcBorders>
        <w:shd w:val="clear" w:color="auto" w:fill="F7F7F7"/>
      </w:tcPr>
    </w:tblStylePr>
    <w:tblStylePr w:type="band2Horz">
      <w:tblPr/>
      <w:tcPr>
        <w:tcBorders>
          <w:top w:val="nil"/>
          <w:left w:val="nil"/>
          <w:bottom w:val="nil"/>
          <w:right w:val="nil"/>
          <w:insideH w:val="nil"/>
          <w:insideV w:val="nil"/>
          <w:tl2br w:val="nil"/>
          <w:tr2bl w:val="nil"/>
        </w:tcBorders>
        <w:shd w:val="clear" w:color="auto" w:fill="F7F7F7"/>
      </w:tcPr>
    </w:tblStylePr>
  </w:style>
  <w:style w:type="paragraph" w:styleId="BodyText">
    <w:name w:val="Body Text"/>
    <w:basedOn w:val="Normal"/>
    <w:link w:val="BodyTextChar"/>
    <w:uiPriority w:val="20"/>
    <w:unhideWhenUsed/>
    <w:qFormat/>
    <w:rsid w:val="004A583D"/>
  </w:style>
  <w:style w:type="character" w:customStyle="1" w:styleId="BodyTextChar">
    <w:name w:val="Body Text Char"/>
    <w:basedOn w:val="DefaultParagraphFont"/>
    <w:link w:val="BodyText"/>
    <w:uiPriority w:val="6"/>
    <w:rsid w:val="003856DE"/>
    <w:rPr>
      <w:rFonts w:cstheme="minorHAnsi"/>
    </w:rPr>
  </w:style>
  <w:style w:type="paragraph" w:styleId="Caption">
    <w:name w:val="caption"/>
    <w:basedOn w:val="Normal"/>
    <w:next w:val="Normal"/>
    <w:uiPriority w:val="29"/>
    <w:unhideWhenUsed/>
    <w:qFormat/>
    <w:rsid w:val="002D0427"/>
    <w:pPr>
      <w:spacing w:after="120"/>
    </w:pPr>
    <w:rPr>
      <w:bCs/>
      <w:i/>
      <w:szCs w:val="18"/>
    </w:rPr>
  </w:style>
  <w:style w:type="paragraph" w:styleId="BodyText2">
    <w:name w:val="Body Text 2"/>
    <w:basedOn w:val="Normal"/>
    <w:link w:val="BodyText2Char"/>
    <w:uiPriority w:val="20"/>
    <w:semiHidden/>
    <w:rsid w:val="00F83F22"/>
    <w:pPr>
      <w:ind w:left="397"/>
    </w:pPr>
    <w:rPr>
      <w:kern w:val="16"/>
    </w:rPr>
  </w:style>
  <w:style w:type="character" w:customStyle="1" w:styleId="BodyText2Char">
    <w:name w:val="Body Text 2 Char"/>
    <w:basedOn w:val="DefaultParagraphFont"/>
    <w:link w:val="BodyText2"/>
    <w:uiPriority w:val="8"/>
    <w:semiHidden/>
    <w:rsid w:val="003856DE"/>
    <w:rPr>
      <w:rFonts w:cstheme="minorHAnsi"/>
      <w:kern w:val="16"/>
      <w:lang w:val="en-GB"/>
    </w:rPr>
  </w:style>
  <w:style w:type="paragraph" w:styleId="BodyText3">
    <w:name w:val="Body Text 3"/>
    <w:basedOn w:val="BodyText2"/>
    <w:link w:val="BodyText3Char"/>
    <w:uiPriority w:val="20"/>
    <w:semiHidden/>
    <w:rsid w:val="00F83F22"/>
    <w:pPr>
      <w:ind w:left="794"/>
    </w:pPr>
    <w:rPr>
      <w:szCs w:val="16"/>
    </w:rPr>
  </w:style>
  <w:style w:type="character" w:customStyle="1" w:styleId="BodyText3Char">
    <w:name w:val="Body Text 3 Char"/>
    <w:basedOn w:val="DefaultParagraphFont"/>
    <w:link w:val="BodyText3"/>
    <w:uiPriority w:val="8"/>
    <w:semiHidden/>
    <w:rsid w:val="003856DE"/>
    <w:rPr>
      <w:rFonts w:cstheme="minorHAnsi"/>
      <w:kern w:val="16"/>
      <w:szCs w:val="16"/>
      <w:lang w:val="en-GB"/>
    </w:rPr>
  </w:style>
  <w:style w:type="paragraph" w:customStyle="1" w:styleId="Brdtekst4">
    <w:name w:val="Brødtekst 4"/>
    <w:basedOn w:val="BodyText3"/>
    <w:uiPriority w:val="20"/>
    <w:semiHidden/>
    <w:rsid w:val="00F83F22"/>
    <w:pPr>
      <w:ind w:left="1191"/>
    </w:pPr>
  </w:style>
  <w:style w:type="paragraph" w:styleId="Footer">
    <w:name w:val="footer"/>
    <w:link w:val="FooterChar"/>
    <w:rsid w:val="00266C82"/>
    <w:pPr>
      <w:tabs>
        <w:tab w:val="center" w:pos="4536"/>
        <w:tab w:val="right" w:pos="9072"/>
      </w:tabs>
      <w:suppressAutoHyphens/>
      <w:jc w:val="center"/>
    </w:pPr>
    <w:rPr>
      <w:rFonts w:asciiTheme="minorHAnsi" w:hAnsiTheme="minorHAnsi" w:cstheme="minorHAnsi"/>
      <w:sz w:val="18"/>
    </w:rPr>
  </w:style>
  <w:style w:type="character" w:customStyle="1" w:styleId="FooterChar">
    <w:name w:val="Footer Char"/>
    <w:basedOn w:val="DefaultParagraphFont"/>
    <w:link w:val="Footer"/>
    <w:rsid w:val="00266C82"/>
    <w:rPr>
      <w:rFonts w:asciiTheme="minorHAnsi" w:hAnsiTheme="minorHAnsi" w:cstheme="minorHAnsi"/>
      <w:sz w:val="18"/>
    </w:rPr>
  </w:style>
  <w:style w:type="paragraph" w:styleId="EnvelopeReturn">
    <w:name w:val="envelope return"/>
    <w:basedOn w:val="Normal"/>
    <w:uiPriority w:val="99"/>
    <w:semiHidden/>
    <w:unhideWhenUsed/>
    <w:rsid w:val="0057145E"/>
    <w:pPr>
      <w:spacing w:line="240" w:lineRule="auto"/>
    </w:pPr>
    <w:rPr>
      <w:rFonts w:asciiTheme="minorHAnsi" w:eastAsiaTheme="majorEastAsia" w:hAnsiTheme="minorHAnsi" w:cstheme="majorBidi"/>
      <w:szCs w:val="20"/>
    </w:rPr>
  </w:style>
  <w:style w:type="paragraph" w:customStyle="1" w:styleId="Tittelsidetekst">
    <w:name w:val="Tittelside tekst"/>
    <w:basedOn w:val="Title"/>
    <w:uiPriority w:val="2"/>
    <w:semiHidden/>
    <w:pPr>
      <w:keepLines/>
      <w:spacing w:before="60" w:after="60" w:line="252" w:lineRule="auto"/>
    </w:pPr>
    <w:rPr>
      <w:rFonts w:eastAsia="Times New Roman"/>
      <w:bCs/>
      <w:caps/>
      <w:sz w:val="21"/>
      <w:lang w:eastAsia="nb-NO"/>
    </w:rPr>
  </w:style>
  <w:style w:type="character" w:styleId="FootnoteReference">
    <w:name w:val="footnote reference"/>
    <w:basedOn w:val="DefaultParagraphFont"/>
    <w:uiPriority w:val="50"/>
    <w:unhideWhenUsed/>
    <w:rPr>
      <w:rFonts w:asciiTheme="minorHAnsi" w:hAnsiTheme="minorHAnsi" w:cstheme="minorHAnsi"/>
      <w:vertAlign w:val="superscript"/>
    </w:rPr>
  </w:style>
  <w:style w:type="paragraph" w:styleId="FootnoteText">
    <w:name w:val="footnote text"/>
    <w:basedOn w:val="Normal"/>
    <w:link w:val="FootnoteTextChar"/>
    <w:uiPriority w:val="49"/>
    <w:unhideWhenUsed/>
    <w:rsid w:val="00F02743"/>
    <w:pPr>
      <w:keepLines/>
      <w:suppressAutoHyphens/>
    </w:pPr>
    <w:rPr>
      <w:kern w:val="16"/>
      <w:sz w:val="19"/>
    </w:rPr>
  </w:style>
  <w:style w:type="character" w:customStyle="1" w:styleId="FootnoteTextChar">
    <w:name w:val="Footnote Text Char"/>
    <w:basedOn w:val="DefaultParagraphFont"/>
    <w:link w:val="FootnoteText"/>
    <w:uiPriority w:val="49"/>
    <w:rsid w:val="004F0CCD"/>
    <w:rPr>
      <w:kern w:val="16"/>
      <w:sz w:val="19"/>
      <w:lang w:val="en-GB"/>
    </w:rPr>
  </w:style>
  <w:style w:type="character" w:styleId="FollowedHyperlink">
    <w:name w:val="FollowedHyperlink"/>
    <w:basedOn w:val="DefaultParagraphFont"/>
    <w:uiPriority w:val="90"/>
    <w:semiHidden/>
    <w:unhideWhenUsed/>
    <w:rPr>
      <w:rFonts w:asciiTheme="minorHAnsi" w:hAnsiTheme="minorHAnsi" w:cstheme="minorHAnsi"/>
      <w:color w:val="504A7B" w:themeColor="followedHyperlink"/>
      <w:u w:val="single"/>
    </w:rPr>
  </w:style>
  <w:style w:type="paragraph" w:customStyle="1" w:styleId="Hovedoverskrift">
    <w:name w:val="Hovedoverskrift"/>
    <w:next w:val="Normal"/>
    <w:uiPriority w:val="7"/>
    <w:semiHidden/>
    <w:qFormat/>
    <w:rsid w:val="0082756B"/>
    <w:pPr>
      <w:keepNext/>
      <w:keepLines/>
      <w:suppressAutoHyphens/>
      <w:spacing w:before="120" w:after="120" w:line="264" w:lineRule="auto"/>
      <w:contextualSpacing/>
      <w:jc w:val="center"/>
      <w:outlineLvl w:val="0"/>
    </w:pPr>
    <w:rPr>
      <w:rFonts w:asciiTheme="majorHAnsi" w:eastAsia="Calibri" w:hAnsiTheme="majorHAnsi" w:cstheme="minorHAnsi"/>
      <w:b/>
      <w:caps/>
      <w:spacing w:val="8"/>
      <w:kern w:val="16"/>
      <w:sz w:val="32"/>
      <w:szCs w:val="28"/>
      <w:lang w:eastAsia="nb-NO"/>
    </w:rPr>
  </w:style>
  <w:style w:type="paragraph" w:customStyle="1" w:styleId="Ingress">
    <w:name w:val="Ingress"/>
    <w:basedOn w:val="Normal"/>
    <w:next w:val="Normal"/>
    <w:uiPriority w:val="19"/>
    <w:unhideWhenUsed/>
    <w:qFormat/>
    <w:rsid w:val="005D62C9"/>
    <w:rPr>
      <w:rFonts w:asciiTheme="majorHAnsi" w:hAnsiTheme="majorHAnsi"/>
      <w:b/>
      <w:lang w:eastAsia="nb-NO"/>
    </w:rPr>
  </w:style>
  <w:style w:type="character" w:customStyle="1" w:styleId="Kursiv">
    <w:name w:val="Kursiv"/>
    <w:uiPriority w:val="27"/>
    <w:semiHidden/>
    <w:rPr>
      <w:rFonts w:asciiTheme="minorHAnsi" w:hAnsiTheme="minorHAnsi" w:cstheme="minorHAnsi"/>
      <w:i/>
    </w:rPr>
  </w:style>
  <w:style w:type="paragraph" w:customStyle="1" w:styleId="Listealfa1">
    <w:name w:val="Liste alfa 1"/>
    <w:basedOn w:val="Normal"/>
    <w:uiPriority w:val="39"/>
    <w:qFormat/>
    <w:pPr>
      <w:numPr>
        <w:numId w:val="16"/>
      </w:numPr>
    </w:pPr>
    <w:rPr>
      <w:rFonts w:eastAsia="Times New Roman"/>
      <w:kern w:val="20"/>
    </w:rPr>
  </w:style>
  <w:style w:type="paragraph" w:customStyle="1" w:styleId="Listealfa2">
    <w:name w:val="Liste alfa 2"/>
    <w:basedOn w:val="Listealfa1"/>
    <w:uiPriority w:val="39"/>
    <w:unhideWhenUsed/>
    <w:pPr>
      <w:numPr>
        <w:ilvl w:val="1"/>
      </w:numPr>
    </w:pPr>
  </w:style>
  <w:style w:type="paragraph" w:customStyle="1" w:styleId="Listealfa3">
    <w:name w:val="Liste alfa 3"/>
    <w:basedOn w:val="Listealfa2"/>
    <w:uiPriority w:val="39"/>
    <w:unhideWhenUsed/>
    <w:pPr>
      <w:numPr>
        <w:ilvl w:val="2"/>
      </w:numPr>
    </w:pPr>
  </w:style>
  <w:style w:type="paragraph" w:customStyle="1" w:styleId="Listealfa4">
    <w:name w:val="Liste alfa 4"/>
    <w:basedOn w:val="Listealfa3"/>
    <w:uiPriority w:val="39"/>
    <w:unhideWhenUsed/>
    <w:pPr>
      <w:numPr>
        <w:ilvl w:val="3"/>
      </w:numPr>
    </w:pPr>
  </w:style>
  <w:style w:type="paragraph" w:customStyle="1" w:styleId="Listealfa5">
    <w:name w:val="Liste alfa 5"/>
    <w:basedOn w:val="Listealfa4"/>
    <w:uiPriority w:val="39"/>
    <w:semiHidden/>
    <w:unhideWhenUsed/>
    <w:pPr>
      <w:numPr>
        <w:ilvl w:val="4"/>
      </w:numPr>
    </w:pPr>
  </w:style>
  <w:style w:type="paragraph" w:customStyle="1" w:styleId="Listealfa6">
    <w:name w:val="Liste alfa 6"/>
    <w:basedOn w:val="Listealfa5"/>
    <w:uiPriority w:val="39"/>
    <w:semiHidden/>
    <w:unhideWhenUsed/>
    <w:pPr>
      <w:numPr>
        <w:ilvl w:val="5"/>
      </w:numPr>
    </w:pPr>
  </w:style>
  <w:style w:type="paragraph" w:customStyle="1" w:styleId="Listealfa7">
    <w:name w:val="Liste alfa 7"/>
    <w:basedOn w:val="Listealfa6"/>
    <w:uiPriority w:val="39"/>
    <w:semiHidden/>
    <w:unhideWhenUsed/>
    <w:pPr>
      <w:numPr>
        <w:ilvl w:val="6"/>
      </w:numPr>
    </w:pPr>
  </w:style>
  <w:style w:type="paragraph" w:customStyle="1" w:styleId="Listealfa8">
    <w:name w:val="Liste alfa 8"/>
    <w:basedOn w:val="Listealfa7"/>
    <w:uiPriority w:val="39"/>
    <w:semiHidden/>
    <w:unhideWhenUsed/>
    <w:pPr>
      <w:numPr>
        <w:ilvl w:val="7"/>
      </w:numPr>
    </w:pPr>
  </w:style>
  <w:style w:type="paragraph" w:customStyle="1" w:styleId="Listealfa9">
    <w:name w:val="Liste alfa 9"/>
    <w:basedOn w:val="Listealfa8"/>
    <w:uiPriority w:val="39"/>
    <w:semiHidden/>
    <w:unhideWhenUsed/>
    <w:pPr>
      <w:numPr>
        <w:ilvl w:val="8"/>
      </w:numPr>
    </w:pPr>
  </w:style>
  <w:style w:type="paragraph" w:customStyle="1" w:styleId="Listealfastor1">
    <w:name w:val="Liste alfa stor 1"/>
    <w:basedOn w:val="Normal"/>
    <w:uiPriority w:val="39"/>
    <w:qFormat/>
    <w:pPr>
      <w:numPr>
        <w:numId w:val="19"/>
      </w:numPr>
    </w:pPr>
    <w:rPr>
      <w:rFonts w:eastAsia="Times New Roman"/>
      <w:kern w:val="20"/>
    </w:rPr>
  </w:style>
  <w:style w:type="paragraph" w:customStyle="1" w:styleId="Listealfastor2">
    <w:name w:val="Liste alfa stor 2"/>
    <w:basedOn w:val="Listealfastor1"/>
    <w:uiPriority w:val="39"/>
    <w:unhideWhenUsed/>
    <w:pPr>
      <w:numPr>
        <w:ilvl w:val="1"/>
      </w:numPr>
    </w:pPr>
  </w:style>
  <w:style w:type="paragraph" w:customStyle="1" w:styleId="Listealfastor3">
    <w:name w:val="Liste alfa stor 3"/>
    <w:basedOn w:val="Listealfastor2"/>
    <w:uiPriority w:val="39"/>
    <w:unhideWhenUsed/>
    <w:pPr>
      <w:numPr>
        <w:ilvl w:val="2"/>
      </w:numPr>
    </w:pPr>
  </w:style>
  <w:style w:type="paragraph" w:customStyle="1" w:styleId="Listealfastor4">
    <w:name w:val="Liste alfa stor 4"/>
    <w:basedOn w:val="Listealfastor3"/>
    <w:uiPriority w:val="39"/>
    <w:unhideWhenUsed/>
    <w:pPr>
      <w:numPr>
        <w:ilvl w:val="3"/>
      </w:numPr>
    </w:pPr>
  </w:style>
  <w:style w:type="paragraph" w:customStyle="1" w:styleId="Listealfastor5">
    <w:name w:val="Liste alfa stor 5"/>
    <w:basedOn w:val="Listealfastor4"/>
    <w:uiPriority w:val="39"/>
    <w:semiHidden/>
    <w:unhideWhenUsed/>
    <w:pPr>
      <w:numPr>
        <w:ilvl w:val="4"/>
      </w:numPr>
    </w:pPr>
  </w:style>
  <w:style w:type="paragraph" w:customStyle="1" w:styleId="Listealfastor6">
    <w:name w:val="Liste alfa stor 6"/>
    <w:basedOn w:val="Listealfastor5"/>
    <w:uiPriority w:val="39"/>
    <w:semiHidden/>
    <w:unhideWhenUsed/>
    <w:pPr>
      <w:numPr>
        <w:ilvl w:val="5"/>
      </w:numPr>
    </w:pPr>
  </w:style>
  <w:style w:type="paragraph" w:customStyle="1" w:styleId="Listealfastor7">
    <w:name w:val="Liste alfa stor 7"/>
    <w:basedOn w:val="Listealfastor6"/>
    <w:uiPriority w:val="39"/>
    <w:semiHidden/>
    <w:unhideWhenUsed/>
    <w:pPr>
      <w:numPr>
        <w:ilvl w:val="6"/>
      </w:numPr>
    </w:pPr>
  </w:style>
  <w:style w:type="paragraph" w:customStyle="1" w:styleId="Listealfastor8">
    <w:name w:val="Liste alfa stor 8"/>
    <w:basedOn w:val="Listealfastor7"/>
    <w:uiPriority w:val="39"/>
    <w:semiHidden/>
    <w:unhideWhenUsed/>
    <w:pPr>
      <w:numPr>
        <w:ilvl w:val="7"/>
      </w:numPr>
    </w:pPr>
  </w:style>
  <w:style w:type="paragraph" w:customStyle="1" w:styleId="Listealfastor9">
    <w:name w:val="Liste alfa stor 9"/>
    <w:basedOn w:val="Listealfastor8"/>
    <w:uiPriority w:val="39"/>
    <w:semiHidden/>
    <w:unhideWhenUsed/>
    <w:pPr>
      <w:numPr>
        <w:ilvl w:val="8"/>
      </w:numPr>
    </w:pPr>
  </w:style>
  <w:style w:type="paragraph" w:customStyle="1" w:styleId="Listenum1">
    <w:name w:val="Liste num 1"/>
    <w:basedOn w:val="Normal"/>
    <w:uiPriority w:val="39"/>
    <w:qFormat/>
    <w:pPr>
      <w:numPr>
        <w:numId w:val="18"/>
      </w:numPr>
    </w:pPr>
    <w:rPr>
      <w:rFonts w:eastAsia="Times New Roman"/>
      <w:kern w:val="20"/>
    </w:rPr>
  </w:style>
  <w:style w:type="paragraph" w:customStyle="1" w:styleId="Listenum2">
    <w:name w:val="Liste num 2"/>
    <w:basedOn w:val="Listenum1"/>
    <w:uiPriority w:val="39"/>
    <w:unhideWhenUsed/>
    <w:pPr>
      <w:numPr>
        <w:ilvl w:val="1"/>
      </w:numPr>
    </w:pPr>
  </w:style>
  <w:style w:type="paragraph" w:customStyle="1" w:styleId="Listenum3">
    <w:name w:val="Liste num 3"/>
    <w:basedOn w:val="Listenum2"/>
    <w:uiPriority w:val="39"/>
    <w:unhideWhenUsed/>
    <w:pPr>
      <w:numPr>
        <w:ilvl w:val="2"/>
      </w:numPr>
    </w:pPr>
  </w:style>
  <w:style w:type="paragraph" w:customStyle="1" w:styleId="Listenum4">
    <w:name w:val="Liste num 4"/>
    <w:basedOn w:val="Listenum3"/>
    <w:uiPriority w:val="39"/>
    <w:unhideWhenUsed/>
    <w:pPr>
      <w:numPr>
        <w:ilvl w:val="3"/>
      </w:numPr>
    </w:pPr>
  </w:style>
  <w:style w:type="paragraph" w:customStyle="1" w:styleId="Listenum5">
    <w:name w:val="Liste num 5"/>
    <w:basedOn w:val="Listenum4"/>
    <w:uiPriority w:val="39"/>
    <w:semiHidden/>
    <w:unhideWhenUsed/>
    <w:pPr>
      <w:numPr>
        <w:ilvl w:val="4"/>
      </w:numPr>
    </w:pPr>
  </w:style>
  <w:style w:type="paragraph" w:customStyle="1" w:styleId="Listenum6">
    <w:name w:val="Liste num 6"/>
    <w:basedOn w:val="Listenum5"/>
    <w:uiPriority w:val="39"/>
    <w:semiHidden/>
    <w:unhideWhenUsed/>
    <w:pPr>
      <w:numPr>
        <w:ilvl w:val="5"/>
      </w:numPr>
    </w:pPr>
  </w:style>
  <w:style w:type="paragraph" w:customStyle="1" w:styleId="Listenum7">
    <w:name w:val="Liste num 7"/>
    <w:basedOn w:val="Listenum6"/>
    <w:uiPriority w:val="39"/>
    <w:semiHidden/>
    <w:unhideWhenUsed/>
    <w:pPr>
      <w:numPr>
        <w:ilvl w:val="6"/>
      </w:numPr>
    </w:pPr>
  </w:style>
  <w:style w:type="paragraph" w:customStyle="1" w:styleId="Listenum8">
    <w:name w:val="Liste num 8"/>
    <w:basedOn w:val="Listenum7"/>
    <w:uiPriority w:val="39"/>
    <w:semiHidden/>
    <w:unhideWhenUsed/>
    <w:pPr>
      <w:numPr>
        <w:ilvl w:val="7"/>
      </w:numPr>
    </w:pPr>
  </w:style>
  <w:style w:type="paragraph" w:customStyle="1" w:styleId="Listenum9">
    <w:name w:val="Liste num 9"/>
    <w:basedOn w:val="Listenum8"/>
    <w:uiPriority w:val="39"/>
    <w:semiHidden/>
    <w:unhideWhenUsed/>
    <w:pPr>
      <w:numPr>
        <w:ilvl w:val="8"/>
      </w:numPr>
    </w:pPr>
  </w:style>
  <w:style w:type="paragraph" w:customStyle="1" w:styleId="Listepunkt1">
    <w:name w:val="Liste punkt 1"/>
    <w:basedOn w:val="Normal"/>
    <w:uiPriority w:val="39"/>
    <w:qFormat/>
    <w:rsid w:val="009770AE"/>
    <w:pPr>
      <w:numPr>
        <w:numId w:val="1"/>
      </w:numPr>
    </w:pPr>
    <w:rPr>
      <w:kern w:val="20"/>
    </w:rPr>
  </w:style>
  <w:style w:type="paragraph" w:customStyle="1" w:styleId="Listepunkt2">
    <w:name w:val="Liste punkt 2"/>
    <w:basedOn w:val="Listepunkt1"/>
    <w:uiPriority w:val="39"/>
    <w:unhideWhenUsed/>
    <w:pPr>
      <w:numPr>
        <w:ilvl w:val="1"/>
      </w:numPr>
    </w:pPr>
  </w:style>
  <w:style w:type="paragraph" w:customStyle="1" w:styleId="Listepunkt3">
    <w:name w:val="Liste punkt 3"/>
    <w:basedOn w:val="Listepunkt2"/>
    <w:uiPriority w:val="39"/>
    <w:unhideWhenUsed/>
    <w:pPr>
      <w:numPr>
        <w:ilvl w:val="2"/>
      </w:numPr>
    </w:pPr>
  </w:style>
  <w:style w:type="paragraph" w:customStyle="1" w:styleId="Listepunkt4">
    <w:name w:val="Liste punkt 4"/>
    <w:basedOn w:val="Listepunkt3"/>
    <w:uiPriority w:val="39"/>
    <w:unhideWhenUsed/>
    <w:pPr>
      <w:numPr>
        <w:ilvl w:val="3"/>
      </w:numPr>
    </w:pPr>
  </w:style>
  <w:style w:type="paragraph" w:customStyle="1" w:styleId="Listepunkt5">
    <w:name w:val="Liste punkt 5"/>
    <w:basedOn w:val="Listepunkt4"/>
    <w:uiPriority w:val="39"/>
    <w:semiHidden/>
    <w:unhideWhenUsed/>
    <w:pPr>
      <w:numPr>
        <w:ilvl w:val="4"/>
      </w:numPr>
    </w:pPr>
  </w:style>
  <w:style w:type="paragraph" w:customStyle="1" w:styleId="Listepunkt6">
    <w:name w:val="Liste punkt 6"/>
    <w:basedOn w:val="Listepunkt5"/>
    <w:uiPriority w:val="39"/>
    <w:semiHidden/>
    <w:unhideWhenUsed/>
    <w:pPr>
      <w:numPr>
        <w:ilvl w:val="5"/>
      </w:numPr>
    </w:pPr>
  </w:style>
  <w:style w:type="paragraph" w:customStyle="1" w:styleId="Listepunkt7">
    <w:name w:val="Liste punkt 7"/>
    <w:basedOn w:val="Listepunkt6"/>
    <w:uiPriority w:val="39"/>
    <w:semiHidden/>
    <w:unhideWhenUsed/>
    <w:pPr>
      <w:numPr>
        <w:ilvl w:val="6"/>
      </w:numPr>
    </w:pPr>
  </w:style>
  <w:style w:type="paragraph" w:customStyle="1" w:styleId="Listepunkt8">
    <w:name w:val="Liste punkt 8"/>
    <w:basedOn w:val="Listepunkt7"/>
    <w:uiPriority w:val="39"/>
    <w:semiHidden/>
    <w:unhideWhenUsed/>
    <w:pPr>
      <w:numPr>
        <w:ilvl w:val="7"/>
      </w:numPr>
    </w:pPr>
  </w:style>
  <w:style w:type="paragraph" w:customStyle="1" w:styleId="Listepunkt9">
    <w:name w:val="Liste punkt 9"/>
    <w:basedOn w:val="Listepunkt8"/>
    <w:uiPriority w:val="39"/>
    <w:semiHidden/>
    <w:unhideWhenUsed/>
    <w:pPr>
      <w:numPr>
        <w:ilvl w:val="8"/>
      </w:numPr>
    </w:pPr>
  </w:style>
  <w:style w:type="paragraph" w:customStyle="1" w:styleId="Listeromer1">
    <w:name w:val="Liste romer 1"/>
    <w:basedOn w:val="Normal"/>
    <w:uiPriority w:val="39"/>
    <w:qFormat/>
    <w:pPr>
      <w:numPr>
        <w:numId w:val="17"/>
      </w:numPr>
    </w:pPr>
    <w:rPr>
      <w:rFonts w:eastAsia="Times New Roman"/>
      <w:kern w:val="20"/>
    </w:rPr>
  </w:style>
  <w:style w:type="paragraph" w:customStyle="1" w:styleId="Listeromer2">
    <w:name w:val="Liste romer 2"/>
    <w:basedOn w:val="Listeromer1"/>
    <w:uiPriority w:val="39"/>
    <w:unhideWhenUsed/>
    <w:pPr>
      <w:numPr>
        <w:ilvl w:val="1"/>
      </w:numPr>
    </w:pPr>
  </w:style>
  <w:style w:type="paragraph" w:customStyle="1" w:styleId="Listeromer3">
    <w:name w:val="Liste romer 3"/>
    <w:basedOn w:val="Listeromer2"/>
    <w:uiPriority w:val="39"/>
    <w:unhideWhenUsed/>
    <w:pPr>
      <w:numPr>
        <w:ilvl w:val="0"/>
        <w:numId w:val="0"/>
      </w:numPr>
      <w:tabs>
        <w:tab w:val="num" w:pos="1588"/>
      </w:tabs>
      <w:ind w:left="2382" w:hanging="794"/>
    </w:pPr>
  </w:style>
  <w:style w:type="paragraph" w:customStyle="1" w:styleId="Listeromer4">
    <w:name w:val="Liste romer 4"/>
    <w:basedOn w:val="Listeromer3"/>
    <w:uiPriority w:val="39"/>
    <w:unhideWhenUsed/>
    <w:pPr>
      <w:tabs>
        <w:tab w:val="clear" w:pos="1588"/>
        <w:tab w:val="num" w:pos="2382"/>
      </w:tabs>
      <w:ind w:left="3176"/>
    </w:pPr>
  </w:style>
  <w:style w:type="paragraph" w:customStyle="1" w:styleId="Listeromer5">
    <w:name w:val="Liste romer 5"/>
    <w:basedOn w:val="Listeromer4"/>
    <w:uiPriority w:val="39"/>
    <w:semiHidden/>
    <w:unhideWhenUsed/>
    <w:pPr>
      <w:tabs>
        <w:tab w:val="clear" w:pos="2382"/>
        <w:tab w:val="num" w:pos="3176"/>
      </w:tabs>
      <w:ind w:left="3970"/>
    </w:pPr>
  </w:style>
  <w:style w:type="paragraph" w:customStyle="1" w:styleId="Listeromer6">
    <w:name w:val="Liste romer 6"/>
    <w:basedOn w:val="Listeromer5"/>
    <w:uiPriority w:val="39"/>
    <w:semiHidden/>
    <w:unhideWhenUsed/>
    <w:pPr>
      <w:tabs>
        <w:tab w:val="clear" w:pos="3176"/>
        <w:tab w:val="num" w:pos="3970"/>
      </w:tabs>
      <w:ind w:left="4764"/>
    </w:pPr>
  </w:style>
  <w:style w:type="paragraph" w:customStyle="1" w:styleId="Listeromer7">
    <w:name w:val="Liste romer 7"/>
    <w:basedOn w:val="Listeromer6"/>
    <w:uiPriority w:val="39"/>
    <w:semiHidden/>
    <w:unhideWhenUsed/>
    <w:pPr>
      <w:tabs>
        <w:tab w:val="clear" w:pos="3970"/>
        <w:tab w:val="num" w:pos="4764"/>
      </w:tabs>
      <w:ind w:left="5558"/>
    </w:pPr>
  </w:style>
  <w:style w:type="paragraph" w:customStyle="1" w:styleId="Listeromer8">
    <w:name w:val="Liste romer 8"/>
    <w:basedOn w:val="Listeromer7"/>
    <w:uiPriority w:val="39"/>
    <w:semiHidden/>
    <w:unhideWhenUsed/>
    <w:pPr>
      <w:tabs>
        <w:tab w:val="clear" w:pos="4764"/>
        <w:tab w:val="num" w:pos="5558"/>
      </w:tabs>
      <w:ind w:left="6352"/>
    </w:pPr>
  </w:style>
  <w:style w:type="paragraph" w:customStyle="1" w:styleId="Listeromer9">
    <w:name w:val="Liste romer 9"/>
    <w:basedOn w:val="Listeromer8"/>
    <w:uiPriority w:val="39"/>
    <w:semiHidden/>
    <w:unhideWhenUsed/>
    <w:pPr>
      <w:tabs>
        <w:tab w:val="clear" w:pos="5558"/>
        <w:tab w:val="num" w:pos="6352"/>
      </w:tabs>
      <w:ind w:left="7146"/>
    </w:pPr>
  </w:style>
  <w:style w:type="paragraph" w:customStyle="1" w:styleId="Listeromerstor1">
    <w:name w:val="Liste romer stor 1"/>
    <w:basedOn w:val="Normal"/>
    <w:uiPriority w:val="39"/>
    <w:qFormat/>
    <w:pPr>
      <w:numPr>
        <w:numId w:val="2"/>
      </w:numPr>
    </w:pPr>
    <w:rPr>
      <w:kern w:val="20"/>
    </w:rPr>
  </w:style>
  <w:style w:type="paragraph" w:customStyle="1" w:styleId="Listeromerstor2">
    <w:name w:val="Liste romer stor 2"/>
    <w:basedOn w:val="Listeromerstor1"/>
    <w:uiPriority w:val="39"/>
    <w:unhideWhenUsed/>
    <w:pPr>
      <w:numPr>
        <w:ilvl w:val="1"/>
      </w:numPr>
    </w:pPr>
  </w:style>
  <w:style w:type="paragraph" w:customStyle="1" w:styleId="Listeromerstor3">
    <w:name w:val="Liste romer stor 3"/>
    <w:basedOn w:val="Listeromerstor2"/>
    <w:uiPriority w:val="39"/>
    <w:unhideWhenUsed/>
    <w:pPr>
      <w:numPr>
        <w:ilvl w:val="2"/>
      </w:numPr>
    </w:pPr>
  </w:style>
  <w:style w:type="paragraph" w:customStyle="1" w:styleId="Listeromerstor4">
    <w:name w:val="Liste romer stor 4"/>
    <w:basedOn w:val="Listeromerstor3"/>
    <w:uiPriority w:val="39"/>
    <w:unhideWhenUsed/>
    <w:pPr>
      <w:numPr>
        <w:ilvl w:val="3"/>
      </w:numPr>
    </w:pPr>
  </w:style>
  <w:style w:type="paragraph" w:customStyle="1" w:styleId="Listeromerstor5">
    <w:name w:val="Liste romer stor 5"/>
    <w:basedOn w:val="Listeromerstor4"/>
    <w:uiPriority w:val="39"/>
    <w:semiHidden/>
    <w:unhideWhenUsed/>
    <w:pPr>
      <w:numPr>
        <w:ilvl w:val="4"/>
      </w:numPr>
    </w:pPr>
  </w:style>
  <w:style w:type="paragraph" w:customStyle="1" w:styleId="Listeromerstor6">
    <w:name w:val="Liste romer stor 6"/>
    <w:basedOn w:val="Listeromerstor5"/>
    <w:uiPriority w:val="39"/>
    <w:semiHidden/>
    <w:unhideWhenUsed/>
    <w:pPr>
      <w:numPr>
        <w:ilvl w:val="5"/>
      </w:numPr>
    </w:pPr>
  </w:style>
  <w:style w:type="paragraph" w:customStyle="1" w:styleId="Listeromerstor7">
    <w:name w:val="Liste romer stor 7"/>
    <w:basedOn w:val="Listeromerstor6"/>
    <w:uiPriority w:val="39"/>
    <w:semiHidden/>
    <w:unhideWhenUsed/>
    <w:pPr>
      <w:numPr>
        <w:ilvl w:val="6"/>
      </w:numPr>
    </w:pPr>
  </w:style>
  <w:style w:type="paragraph" w:customStyle="1" w:styleId="Listeromerstor8">
    <w:name w:val="Liste romer stor 8"/>
    <w:basedOn w:val="Listeromerstor7"/>
    <w:uiPriority w:val="39"/>
    <w:semiHidden/>
    <w:unhideWhenUsed/>
    <w:pPr>
      <w:numPr>
        <w:ilvl w:val="7"/>
      </w:numPr>
    </w:pPr>
  </w:style>
  <w:style w:type="paragraph" w:customStyle="1" w:styleId="Listeromerstor9">
    <w:name w:val="Liste romer stor 9"/>
    <w:basedOn w:val="Listeromerstor8"/>
    <w:uiPriority w:val="39"/>
    <w:semiHidden/>
    <w:unhideWhenUsed/>
    <w:pPr>
      <w:numPr>
        <w:ilvl w:val="8"/>
      </w:numPr>
    </w:pPr>
  </w:style>
  <w:style w:type="paragraph" w:customStyle="1" w:styleId="Note">
    <w:name w:val="Note"/>
    <w:basedOn w:val="Normal"/>
    <w:next w:val="Normal"/>
    <w:uiPriority w:val="23"/>
    <w:unhideWhenUsed/>
    <w:rsid w:val="0057145E"/>
    <w:pPr>
      <w:suppressAutoHyphens/>
    </w:pPr>
    <w:rPr>
      <w:rFonts w:eastAsia="Calibri"/>
      <w:kern w:val="16"/>
      <w:sz w:val="19"/>
      <w:lang w:eastAsia="nb-NO"/>
    </w:rPr>
  </w:style>
  <w:style w:type="character" w:customStyle="1" w:styleId="Heading1Char">
    <w:name w:val="Heading 1 Char"/>
    <w:aliases w:val="H1 Char"/>
    <w:basedOn w:val="DefaultParagraphFont"/>
    <w:link w:val="Heading1"/>
    <w:uiPriority w:val="9"/>
    <w:rsid w:val="006B6496"/>
    <w:rPr>
      <w:rFonts w:ascii="Times New Roman" w:eastAsiaTheme="majorEastAsia" w:hAnsi="Times New Roman" w:cstheme="minorHAnsi"/>
      <w:b/>
      <w:bCs/>
      <w:kern w:val="16"/>
      <w:sz w:val="36"/>
      <w:szCs w:val="28"/>
    </w:rPr>
  </w:style>
  <w:style w:type="character" w:customStyle="1" w:styleId="Heading2Char">
    <w:name w:val="Heading 2 Char"/>
    <w:aliases w:val="H2 Char"/>
    <w:basedOn w:val="DefaultParagraphFont"/>
    <w:link w:val="Heading2"/>
    <w:uiPriority w:val="11"/>
    <w:rsid w:val="00A46B00"/>
    <w:rPr>
      <w:rFonts w:eastAsiaTheme="majorEastAsia" w:cstheme="minorHAnsi"/>
      <w:b/>
      <w:kern w:val="16"/>
      <w:sz w:val="20"/>
      <w:szCs w:val="26"/>
      <w:lang w:val="en-US"/>
    </w:rPr>
  </w:style>
  <w:style w:type="character" w:customStyle="1" w:styleId="Heading3Char">
    <w:name w:val="Heading 3 Char"/>
    <w:aliases w:val="H3 Char"/>
    <w:basedOn w:val="DefaultParagraphFont"/>
    <w:link w:val="Heading3"/>
    <w:uiPriority w:val="13"/>
    <w:rsid w:val="005C56CF"/>
    <w:rPr>
      <w:rFonts w:eastAsiaTheme="majorEastAsia" w:cstheme="minorHAnsi"/>
      <w:b/>
      <w:bCs/>
      <w:i/>
      <w:kern w:val="16"/>
      <w:sz w:val="20"/>
      <w:szCs w:val="26"/>
      <w:lang w:val="en-US"/>
    </w:rPr>
  </w:style>
  <w:style w:type="character" w:customStyle="1" w:styleId="Heading4Char">
    <w:name w:val="Heading 4 Char"/>
    <w:aliases w:val="H4 Char"/>
    <w:basedOn w:val="DefaultParagraphFont"/>
    <w:link w:val="Heading4"/>
    <w:uiPriority w:val="2"/>
    <w:rsid w:val="004F5405"/>
    <w:rPr>
      <w:rFonts w:asciiTheme="majorHAnsi" w:eastAsiaTheme="majorEastAsia" w:hAnsiTheme="majorHAnsi" w:cstheme="minorHAnsi"/>
      <w:b/>
      <w:iCs/>
      <w:kern w:val="16"/>
      <w:sz w:val="21"/>
      <w:szCs w:val="26"/>
    </w:rPr>
  </w:style>
  <w:style w:type="character" w:customStyle="1" w:styleId="Heading5Char">
    <w:name w:val="Heading 5 Char"/>
    <w:aliases w:val="H5 Char"/>
    <w:basedOn w:val="DefaultParagraphFont"/>
    <w:link w:val="Heading5"/>
    <w:uiPriority w:val="13"/>
    <w:rsid w:val="00057495"/>
    <w:rPr>
      <w:rFonts w:eastAsiaTheme="majorEastAsia" w:cstheme="minorHAnsi"/>
      <w:b/>
      <w:i/>
      <w:iCs/>
      <w:kern w:val="16"/>
      <w:sz w:val="20"/>
      <w:szCs w:val="26"/>
      <w:lang w:val="en-US"/>
    </w:rPr>
  </w:style>
  <w:style w:type="character" w:customStyle="1" w:styleId="Heading6Char">
    <w:name w:val="Heading 6 Char"/>
    <w:aliases w:val="H6 Char"/>
    <w:basedOn w:val="DefaultParagraphFont"/>
    <w:link w:val="Heading6"/>
    <w:uiPriority w:val="2"/>
    <w:rsid w:val="004F5405"/>
    <w:rPr>
      <w:rFonts w:asciiTheme="majorHAnsi" w:eastAsiaTheme="majorEastAsia" w:hAnsiTheme="majorHAnsi" w:cstheme="minorHAnsi"/>
      <w:b/>
      <w:kern w:val="16"/>
      <w:sz w:val="21"/>
      <w:szCs w:val="26"/>
    </w:rPr>
  </w:style>
  <w:style w:type="character" w:customStyle="1" w:styleId="Heading7Char">
    <w:name w:val="Heading 7 Char"/>
    <w:basedOn w:val="DefaultParagraphFont"/>
    <w:link w:val="Heading7"/>
    <w:uiPriority w:val="2"/>
    <w:rsid w:val="00DF0DE9"/>
    <w:rPr>
      <w:rFonts w:asciiTheme="majorHAnsi" w:eastAsiaTheme="majorEastAsia" w:hAnsiTheme="majorHAnsi" w:cstheme="minorHAnsi"/>
      <w:b/>
      <w:iCs/>
      <w:kern w:val="16"/>
      <w:szCs w:val="26"/>
    </w:rPr>
  </w:style>
  <w:style w:type="character" w:customStyle="1" w:styleId="Heading8Char">
    <w:name w:val="Heading 8 Char"/>
    <w:basedOn w:val="DefaultParagraphFont"/>
    <w:link w:val="Heading8"/>
    <w:uiPriority w:val="2"/>
    <w:rsid w:val="00563060"/>
    <w:rPr>
      <w:rFonts w:asciiTheme="majorHAnsi" w:eastAsiaTheme="majorEastAsia" w:hAnsiTheme="majorHAnsi" w:cstheme="minorHAnsi"/>
      <w:b/>
      <w:iCs/>
      <w:kern w:val="16"/>
      <w:szCs w:val="20"/>
    </w:rPr>
  </w:style>
  <w:style w:type="character" w:customStyle="1" w:styleId="Heading9Char">
    <w:name w:val="Heading 9 Char"/>
    <w:basedOn w:val="DefaultParagraphFont"/>
    <w:link w:val="Heading9"/>
    <w:uiPriority w:val="2"/>
    <w:rsid w:val="00563060"/>
    <w:rPr>
      <w:rFonts w:asciiTheme="majorHAnsi" w:eastAsiaTheme="majorEastAsia" w:hAnsiTheme="majorHAnsi" w:cstheme="minorHAnsi"/>
      <w:b/>
      <w:kern w:val="16"/>
      <w:szCs w:val="20"/>
    </w:rPr>
  </w:style>
  <w:style w:type="paragraph" w:customStyle="1" w:styleId="Overskriftutennummer">
    <w:name w:val="Overskrift uten nummer"/>
    <w:basedOn w:val="Normal"/>
    <w:next w:val="Normal"/>
    <w:uiPriority w:val="14"/>
    <w:qFormat/>
    <w:rsid w:val="00DD6548"/>
    <w:pPr>
      <w:keepNext/>
      <w:keepLines/>
      <w:suppressAutoHyphens/>
      <w:spacing w:before="200"/>
    </w:pPr>
    <w:rPr>
      <w:rFonts w:asciiTheme="majorHAnsi" w:eastAsia="Calibri" w:hAnsiTheme="majorHAnsi"/>
      <w:b/>
      <w:color w:val="080808"/>
      <w:kern w:val="16"/>
      <w:lang w:eastAsia="nb-NO"/>
    </w:rPr>
  </w:style>
  <w:style w:type="paragraph" w:styleId="TOCHeading">
    <w:name w:val="TOC Heading"/>
    <w:next w:val="Normal"/>
    <w:uiPriority w:val="39"/>
    <w:unhideWhenUsed/>
    <w:qFormat/>
    <w:rsid w:val="00DB6468"/>
    <w:pPr>
      <w:keepNext/>
      <w:keepLines/>
      <w:pageBreakBefore/>
      <w:spacing w:before="600" w:after="720" w:line="252" w:lineRule="auto"/>
    </w:pPr>
    <w:rPr>
      <w:rFonts w:asciiTheme="majorHAnsi" w:eastAsia="Times New Roman" w:hAnsiTheme="majorHAnsi" w:cstheme="minorHAnsi"/>
      <w:b/>
      <w:bCs/>
      <w:kern w:val="20"/>
      <w:sz w:val="36"/>
      <w:szCs w:val="32"/>
      <w:lang w:eastAsia="nb-NO"/>
    </w:rPr>
  </w:style>
  <w:style w:type="character" w:styleId="PageNumber">
    <w:name w:val="page number"/>
    <w:basedOn w:val="DefaultParagraphFont"/>
    <w:uiPriority w:val="99"/>
    <w:semiHidden/>
    <w:unhideWhenUsed/>
    <w:rPr>
      <w:rFonts w:asciiTheme="minorHAnsi" w:hAnsiTheme="minorHAnsi" w:cstheme="minorHAnsi"/>
    </w:rPr>
  </w:style>
  <w:style w:type="paragraph" w:styleId="Quote">
    <w:name w:val="Quote"/>
    <w:basedOn w:val="Normal"/>
    <w:next w:val="Normal"/>
    <w:link w:val="QuoteChar"/>
    <w:uiPriority w:val="31"/>
    <w:qFormat/>
    <w:rsid w:val="00B43895"/>
    <w:pPr>
      <w:suppressAutoHyphens/>
      <w:ind w:left="454" w:right="397"/>
    </w:pPr>
    <w:rPr>
      <w:i/>
      <w:iCs/>
      <w:noProof/>
    </w:rPr>
  </w:style>
  <w:style w:type="character" w:customStyle="1" w:styleId="QuoteChar">
    <w:name w:val="Quote Char"/>
    <w:basedOn w:val="DefaultParagraphFont"/>
    <w:link w:val="Quote"/>
    <w:rsid w:val="00B43895"/>
    <w:rPr>
      <w:i/>
      <w:iCs/>
      <w:noProof/>
    </w:rPr>
  </w:style>
  <w:style w:type="paragraph" w:styleId="EndnoteText">
    <w:name w:val="endnote text"/>
    <w:basedOn w:val="Normal"/>
    <w:link w:val="EndnoteTextChar"/>
    <w:uiPriority w:val="51"/>
    <w:unhideWhenUsed/>
    <w:rsid w:val="00F02743"/>
    <w:pPr>
      <w:keepLines/>
      <w:suppressAutoHyphens/>
    </w:pPr>
    <w:rPr>
      <w:kern w:val="16"/>
    </w:rPr>
  </w:style>
  <w:style w:type="character" w:customStyle="1" w:styleId="EndnoteTextChar">
    <w:name w:val="Endnote Text Char"/>
    <w:basedOn w:val="DefaultParagraphFont"/>
    <w:link w:val="EndnoteText"/>
    <w:uiPriority w:val="51"/>
    <w:rsid w:val="004F0CCD"/>
    <w:rPr>
      <w:kern w:val="16"/>
      <w:sz w:val="20"/>
      <w:lang w:val="en-GB"/>
    </w:rPr>
  </w:style>
  <w:style w:type="character" w:styleId="EndnoteReference">
    <w:name w:val="endnote reference"/>
    <w:basedOn w:val="DefaultParagraphFont"/>
    <w:uiPriority w:val="52"/>
    <w:unhideWhenUsed/>
    <w:rPr>
      <w:rFonts w:asciiTheme="minorHAnsi" w:hAnsiTheme="minorHAnsi" w:cstheme="minorHAnsi"/>
      <w:vertAlign w:val="superscript"/>
    </w:rPr>
  </w:style>
  <w:style w:type="paragraph" w:customStyle="1" w:styleId="Tabelltekst">
    <w:name w:val="Tabelltekst"/>
    <w:basedOn w:val="Normal"/>
    <w:uiPriority w:val="64"/>
  </w:style>
  <w:style w:type="paragraph" w:styleId="Title">
    <w:name w:val="Title"/>
    <w:next w:val="Normal"/>
    <w:link w:val="TitleChar"/>
    <w:rsid w:val="004C6D5D"/>
    <w:pPr>
      <w:suppressAutoHyphens/>
      <w:contextualSpacing/>
      <w:jc w:val="center"/>
    </w:pPr>
    <w:rPr>
      <w:rFonts w:asciiTheme="majorHAnsi" w:hAnsiTheme="majorHAnsi" w:cstheme="minorHAnsi"/>
      <w:sz w:val="42"/>
      <w:lang w:val="en-GB"/>
    </w:rPr>
  </w:style>
  <w:style w:type="character" w:customStyle="1" w:styleId="TitleChar">
    <w:name w:val="Title Char"/>
    <w:basedOn w:val="DefaultParagraphFont"/>
    <w:link w:val="Title"/>
    <w:rsid w:val="004C6D5D"/>
    <w:rPr>
      <w:rFonts w:asciiTheme="majorHAnsi" w:hAnsiTheme="majorHAnsi" w:cstheme="minorHAnsi"/>
      <w:sz w:val="42"/>
      <w:lang w:val="en-GB"/>
    </w:rPr>
  </w:style>
  <w:style w:type="paragraph" w:styleId="Header">
    <w:name w:val="header"/>
    <w:link w:val="HeaderChar"/>
    <w:uiPriority w:val="94"/>
    <w:semiHidden/>
    <w:rsid w:val="00F23EE6"/>
    <w:pPr>
      <w:tabs>
        <w:tab w:val="center" w:pos="4536"/>
        <w:tab w:val="right" w:pos="9072"/>
      </w:tabs>
      <w:suppressAutoHyphens/>
      <w:jc w:val="center"/>
    </w:pPr>
    <w:rPr>
      <w:rFonts w:cstheme="minorHAnsi"/>
      <w:sz w:val="18"/>
      <w:lang w:val="en-US"/>
    </w:rPr>
  </w:style>
  <w:style w:type="character" w:customStyle="1" w:styleId="HeaderChar">
    <w:name w:val="Header Char"/>
    <w:basedOn w:val="DefaultParagraphFont"/>
    <w:link w:val="Header"/>
    <w:uiPriority w:val="94"/>
    <w:semiHidden/>
    <w:rsid w:val="00F23EE6"/>
    <w:rPr>
      <w:rFonts w:cstheme="minorHAnsi"/>
      <w:sz w:val="18"/>
      <w:lang w:val="en-US"/>
    </w:rPr>
  </w:style>
  <w:style w:type="paragraph" w:customStyle="1" w:styleId="Toppteksthyre">
    <w:name w:val="Topptekst høyre"/>
    <w:basedOn w:val="Header"/>
    <w:uiPriority w:val="94"/>
    <w:semiHidden/>
    <w:unhideWhenUsed/>
    <w:pPr>
      <w:jc w:val="right"/>
    </w:pPr>
  </w:style>
  <w:style w:type="character" w:customStyle="1" w:styleId="Understrek">
    <w:name w:val="Understrek"/>
    <w:uiPriority w:val="27"/>
    <w:semiHidden/>
    <w:rPr>
      <w:rFonts w:asciiTheme="minorHAnsi" w:hAnsiTheme="minorHAnsi" w:cstheme="minorHAnsi"/>
      <w:u w:val="single" w:color="595959" w:themeColor="text1" w:themeTint="A6"/>
    </w:rPr>
  </w:style>
  <w:style w:type="paragraph" w:styleId="Subtitle">
    <w:name w:val="Subtitle"/>
    <w:basedOn w:val="Title"/>
    <w:next w:val="Normal"/>
    <w:link w:val="SubtitleChar"/>
    <w:uiPriority w:val="11"/>
    <w:qFormat/>
    <w:rsid w:val="004C6D5D"/>
    <w:rPr>
      <w:sz w:val="28"/>
    </w:rPr>
  </w:style>
  <w:style w:type="character" w:customStyle="1" w:styleId="SubtitleChar">
    <w:name w:val="Subtitle Char"/>
    <w:basedOn w:val="DefaultParagraphFont"/>
    <w:link w:val="Subtitle"/>
    <w:uiPriority w:val="11"/>
    <w:rsid w:val="004C6D5D"/>
    <w:rPr>
      <w:rFonts w:asciiTheme="majorHAnsi" w:hAnsiTheme="majorHAnsi" w:cstheme="minorHAnsi"/>
      <w:sz w:val="28"/>
      <w:lang w:val="en-GB"/>
    </w:rPr>
  </w:style>
  <w:style w:type="paragraph" w:styleId="TOC1">
    <w:name w:val="toc 1"/>
    <w:next w:val="Normal"/>
    <w:uiPriority w:val="39"/>
    <w:unhideWhenUsed/>
    <w:rsid w:val="009D6CDC"/>
    <w:pPr>
      <w:spacing w:before="120" w:line="312" w:lineRule="auto"/>
    </w:pPr>
    <w:rPr>
      <w:rFonts w:asciiTheme="minorHAnsi" w:hAnsiTheme="minorHAnsi"/>
      <w:b/>
      <w:bCs/>
      <w:i/>
      <w:iCs/>
      <w:sz w:val="24"/>
      <w:szCs w:val="24"/>
      <w:lang w:val="en-US"/>
    </w:rPr>
  </w:style>
  <w:style w:type="paragraph" w:styleId="TOC2">
    <w:name w:val="toc 2"/>
    <w:next w:val="Normal"/>
    <w:uiPriority w:val="39"/>
    <w:unhideWhenUsed/>
    <w:rsid w:val="00603A2A"/>
    <w:pPr>
      <w:spacing w:before="120" w:line="312" w:lineRule="auto"/>
      <w:ind w:left="200"/>
    </w:pPr>
    <w:rPr>
      <w:rFonts w:asciiTheme="minorHAnsi" w:hAnsiTheme="minorHAnsi"/>
      <w:b/>
      <w:bCs/>
      <w:lang w:val="en-US"/>
    </w:rPr>
  </w:style>
  <w:style w:type="paragraph" w:styleId="TOC3">
    <w:name w:val="toc 3"/>
    <w:next w:val="Normal"/>
    <w:uiPriority w:val="39"/>
    <w:unhideWhenUsed/>
    <w:rsid w:val="00603A2A"/>
    <w:pPr>
      <w:spacing w:line="312" w:lineRule="auto"/>
      <w:ind w:left="400"/>
    </w:pPr>
    <w:rPr>
      <w:rFonts w:asciiTheme="minorHAnsi" w:hAnsiTheme="minorHAnsi"/>
      <w:sz w:val="20"/>
      <w:szCs w:val="20"/>
      <w:lang w:val="en-US"/>
    </w:rPr>
  </w:style>
  <w:style w:type="paragraph" w:styleId="TOC7">
    <w:name w:val="toc 7"/>
    <w:next w:val="Normal"/>
    <w:uiPriority w:val="70"/>
    <w:unhideWhenUsed/>
    <w:rsid w:val="00F161CD"/>
    <w:pPr>
      <w:spacing w:line="312" w:lineRule="auto"/>
      <w:ind w:left="1200"/>
    </w:pPr>
    <w:rPr>
      <w:rFonts w:asciiTheme="minorHAnsi" w:hAnsiTheme="minorHAnsi"/>
      <w:sz w:val="20"/>
      <w:szCs w:val="20"/>
      <w:lang w:val="en-US"/>
    </w:rPr>
  </w:style>
  <w:style w:type="character" w:styleId="Hyperlink">
    <w:name w:val="Hyperlink"/>
    <w:basedOn w:val="DefaultParagraphFont"/>
    <w:unhideWhenUsed/>
    <w:rsid w:val="00296412"/>
    <w:rPr>
      <w:rFonts w:asciiTheme="minorHAnsi" w:hAnsiTheme="minorHAnsi" w:cstheme="minorHAnsi"/>
      <w:color w:val="3333FF"/>
      <w:u w:val="none"/>
    </w:rPr>
  </w:style>
  <w:style w:type="numbering" w:styleId="111111">
    <w:name w:val="Outline List 2"/>
    <w:basedOn w:val="NoList"/>
    <w:uiPriority w:val="99"/>
    <w:semiHidden/>
    <w:unhideWhenUsed/>
    <w:pPr>
      <w:numPr>
        <w:numId w:val="3"/>
      </w:numPr>
    </w:pPr>
  </w:style>
  <w:style w:type="numbering" w:styleId="1ai">
    <w:name w:val="Outline List 1"/>
    <w:basedOn w:val="NoList"/>
    <w:uiPriority w:val="99"/>
    <w:semiHidden/>
    <w:unhideWhenUsed/>
    <w:pPr>
      <w:numPr>
        <w:numId w:val="4"/>
      </w:numPr>
    </w:pPr>
  </w:style>
  <w:style w:type="numbering" w:styleId="ArticleSection">
    <w:name w:val="Outline List 3"/>
    <w:basedOn w:val="NoList"/>
    <w:uiPriority w:val="99"/>
    <w:semiHidden/>
    <w:unhideWhenUsed/>
    <w:pPr>
      <w:numPr>
        <w:numId w:val="5"/>
      </w:numPr>
    </w:pPr>
  </w:style>
  <w:style w:type="character" w:styleId="PlaceholderText">
    <w:name w:val="Placeholder Text"/>
    <w:uiPriority w:val="99"/>
    <w:rsid w:val="005F02AA"/>
    <w:rPr>
      <w:rFonts w:cstheme="minorHAnsi"/>
      <w:vanish w:val="0"/>
      <w:color w:val="808080"/>
    </w:rPr>
  </w:style>
  <w:style w:type="table" w:styleId="TableTheme">
    <w:name w:val="Table Theme"/>
    <w:basedOn w:val="TableNormal"/>
    <w:semiHidden/>
    <w:unhideWhenUsed/>
    <w:pPr>
      <w:spacing w:after="200" w:line="252" w:lineRule="auto"/>
      <w:contextualSpacing/>
    </w:pPr>
    <w:tblPr>
      <w:tblCellMar>
        <w:bottom w:w="28" w:type="dxa"/>
      </w:tblCellMar>
    </w:tblPr>
    <w:tblStylePr w:type="firstRow">
      <w:rPr>
        <w:b/>
      </w:rPr>
    </w:tblStylePr>
    <w:tblStylePr w:type="lastRow">
      <w:rPr>
        <w:b/>
        <w:sz w:val="20"/>
      </w:rPr>
    </w:tblStylePr>
    <w:tblStylePr w:type="firstCol">
      <w:rPr>
        <w:b/>
        <w:sz w:val="20"/>
      </w:rPr>
    </w:tblStylePr>
    <w:tblStylePr w:type="lastCol">
      <w:rPr>
        <w:b/>
        <w:sz w:val="20"/>
      </w:rPr>
    </w:tblStylePr>
  </w:style>
  <w:style w:type="paragraph" w:styleId="BlockText">
    <w:name w:val="Block Text"/>
    <w:basedOn w:val="Normal"/>
    <w:uiPriority w:val="22"/>
    <w:semiHidden/>
    <w:unhideWhenUsed/>
    <w:rsid w:val="00BA64EC"/>
    <w:pPr>
      <w:pBdr>
        <w:top w:val="single" w:sz="2" w:space="10" w:color="auto"/>
        <w:left w:val="single" w:sz="2" w:space="10" w:color="auto"/>
        <w:bottom w:val="single" w:sz="2" w:space="10" w:color="auto"/>
        <w:right w:val="single" w:sz="2" w:space="10" w:color="auto"/>
      </w:pBdr>
      <w:ind w:left="1152" w:right="1152"/>
    </w:pPr>
    <w:rPr>
      <w:rFonts w:eastAsiaTheme="minorEastAsia"/>
      <w:i/>
      <w:iCs/>
    </w:rPr>
  </w:style>
  <w:style w:type="paragraph" w:styleId="ListParagraph">
    <w:name w:val="List Paragraph"/>
    <w:basedOn w:val="Normal"/>
    <w:uiPriority w:val="34"/>
    <w:unhideWhenUsed/>
    <w:qFormat/>
    <w:rsid w:val="00A77C06"/>
    <w:pPr>
      <w:ind w:left="397"/>
      <w:contextualSpacing/>
    </w:pPr>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rPr>
      <w:rFonts w:asciiTheme="minorHAnsi" w:hAnsiTheme="minorHAnsi" w:cstheme="minorHAnsi"/>
      <w:sz w:val="18"/>
      <w:szCs w:val="18"/>
    </w:rPr>
  </w:style>
  <w:style w:type="paragraph" w:styleId="Date">
    <w:name w:val="Date"/>
    <w:basedOn w:val="Normal"/>
    <w:next w:val="Normal"/>
    <w:link w:val="DateChar"/>
    <w:uiPriority w:val="94"/>
    <w:semiHidden/>
    <w:unhideWhenUsed/>
  </w:style>
  <w:style w:type="character" w:customStyle="1" w:styleId="DateChar">
    <w:name w:val="Date Char"/>
    <w:basedOn w:val="DefaultParagraphFont"/>
    <w:link w:val="Date"/>
    <w:uiPriority w:val="99"/>
    <w:rPr>
      <w:rFonts w:asciiTheme="minorHAnsi" w:hAnsiTheme="minorHAnsi" w:cstheme="minorHAnsi"/>
    </w:rPr>
  </w:style>
  <w:style w:type="paragraph" w:styleId="DocumentMap">
    <w:name w:val="Document Map"/>
    <w:basedOn w:val="Normal"/>
    <w:link w:val="DocumentMapChar"/>
    <w:uiPriority w:val="99"/>
    <w:semiHidden/>
    <w:unhideWhenUsed/>
    <w:rPr>
      <w:sz w:val="16"/>
      <w:szCs w:val="16"/>
    </w:rPr>
  </w:style>
  <w:style w:type="character" w:customStyle="1" w:styleId="DocumentMapChar">
    <w:name w:val="Document Map Char"/>
    <w:basedOn w:val="DefaultParagraphFont"/>
    <w:link w:val="DocumentMap"/>
    <w:uiPriority w:val="99"/>
    <w:rPr>
      <w:rFonts w:asciiTheme="minorHAnsi" w:hAnsiTheme="minorHAnsi" w:cstheme="minorHAnsi"/>
      <w:sz w:val="16"/>
      <w:szCs w:val="16"/>
    </w:rPr>
  </w:style>
  <w:style w:type="table" w:styleId="TableSimple1">
    <w:name w:val="Table Simple 1"/>
    <w:basedOn w:val="TableNormal"/>
    <w:unhideWhenUsed/>
    <w:pPr>
      <w:spacing w:line="264" w:lineRule="auto"/>
    </w:pPr>
    <w:tblPr>
      <w:tblBorders>
        <w:top w:val="single" w:sz="12" w:space="0" w:color="008000"/>
        <w:bottom w:val="single" w:sz="12" w:space="0" w:color="008000"/>
      </w:tblBorders>
    </w:tblPr>
    <w:tcPr>
      <w:shd w:val="clear" w:color="auto" w:fill="auto"/>
    </w:tcPr>
    <w:tblStylePr w:type="firstRow">
      <w:rPr>
        <w:b/>
      </w:rPr>
      <w:tblPr/>
      <w:tcPr>
        <w:tcBorders>
          <w:bottom w:val="single" w:sz="6" w:space="0" w:color="008000"/>
          <w:tl2br w:val="none" w:sz="0" w:space="0" w:color="auto"/>
          <w:tr2bl w:val="none" w:sz="0" w:space="0" w:color="auto"/>
        </w:tcBorders>
      </w:tcPr>
    </w:tblStylePr>
    <w:tblStylePr w:type="lastRow">
      <w:rPr>
        <w:b/>
        <w:sz w:val="20"/>
      </w:rPr>
      <w:tblPr/>
      <w:tcPr>
        <w:tcBorders>
          <w:top w:val="single" w:sz="6" w:space="0" w:color="008000"/>
          <w:tl2br w:val="none" w:sz="0" w:space="0" w:color="auto"/>
          <w:tr2bl w:val="none" w:sz="0" w:space="0" w:color="auto"/>
        </w:tcBorders>
      </w:tcPr>
    </w:tblStylePr>
    <w:tblStylePr w:type="firstCol">
      <w:rPr>
        <w:b/>
        <w:sz w:val="20"/>
      </w:rPr>
    </w:tblStylePr>
    <w:tblStylePr w:type="lastCol">
      <w:rPr>
        <w:b/>
        <w:sz w:val="20"/>
      </w:rPr>
    </w:tblStylePr>
  </w:style>
  <w:style w:type="table" w:styleId="TableSimple2">
    <w:name w:val="Table Simple 2"/>
    <w:basedOn w:val="TableNormal"/>
    <w:unhideWhenUsed/>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sz w:val="20"/>
      </w:rPr>
      <w:tblPr/>
      <w:tcPr>
        <w:tcBorders>
          <w:top w:val="single" w:sz="6" w:space="0" w:color="000000"/>
          <w:tl2br w:val="none" w:sz="0" w:space="0" w:color="auto"/>
          <w:tr2bl w:val="none" w:sz="0" w:space="0" w:color="auto"/>
        </w:tcBorders>
      </w:tcPr>
    </w:tblStylePr>
    <w:tblStylePr w:type="firstCol">
      <w:rPr>
        <w:b/>
        <w:bCs/>
        <w:sz w:val="20"/>
      </w:rPr>
      <w:tblPr/>
      <w:tcPr>
        <w:tcBorders>
          <w:right w:val="single" w:sz="12" w:space="0" w:color="000000"/>
          <w:tl2br w:val="none" w:sz="0" w:space="0" w:color="auto"/>
          <w:tr2bl w:val="none" w:sz="0" w:space="0" w:color="auto"/>
        </w:tcBorders>
      </w:tcPr>
    </w:tblStylePr>
    <w:tblStylePr w:type="lastCol">
      <w:rPr>
        <w:b/>
        <w:bCs/>
        <w:sz w:val="20"/>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tblStylePr w:type="lastRow">
      <w:rPr>
        <w:b/>
        <w:sz w:val="20"/>
      </w:rPr>
    </w:tblStylePr>
    <w:tblStylePr w:type="firstCol">
      <w:rPr>
        <w:b/>
        <w:sz w:val="20"/>
      </w:rPr>
    </w:tblStylePr>
    <w:tblStylePr w:type="lastCol">
      <w:rPr>
        <w:b/>
        <w:sz w:val="20"/>
      </w:rPr>
    </w:tblStylePr>
  </w:style>
  <w:style w:type="paragraph" w:styleId="EmailSignature">
    <w:name w:val="E-mail Signature"/>
    <w:basedOn w:val="Normal"/>
    <w:link w:val="EmailSignatureChar"/>
    <w:uiPriority w:val="38"/>
    <w:semiHidden/>
    <w:unhideWhenUsed/>
  </w:style>
  <w:style w:type="character" w:customStyle="1" w:styleId="EmailSignatureChar">
    <w:name w:val="Email Signature Char"/>
    <w:basedOn w:val="DefaultParagraphFont"/>
    <w:link w:val="EmailSignature"/>
    <w:uiPriority w:val="99"/>
    <w:rPr>
      <w:rFonts w:asciiTheme="minorHAnsi" w:hAnsiTheme="minorHAnsi" w:cstheme="minorHAnsi"/>
    </w:rPr>
  </w:style>
  <w:style w:type="table" w:styleId="ColourfulList">
    <w:name w:val="Colorful List"/>
    <w:basedOn w:val="TableNormal"/>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48869" w:themeFill="accent2" w:themeFillShade="CC"/>
      </w:tcPr>
    </w:tblStylePr>
    <w:tblStylePr w:type="lastRow">
      <w:rPr>
        <w:b/>
        <w:bCs/>
        <w:color w:val="648869" w:themeColor="accent2" w:themeShade="CC"/>
        <w:sz w:val="20"/>
      </w:rPr>
      <w:tblPr/>
      <w:tcPr>
        <w:tcBorders>
          <w:top w:val="single" w:sz="12" w:space="0" w:color="000000" w:themeColor="text1"/>
        </w:tcBorders>
        <w:shd w:val="clear" w:color="auto" w:fill="FFFFFF" w:themeFill="background1"/>
      </w:tcPr>
    </w:tblStylePr>
    <w:tblStylePr w:type="firstCol">
      <w:rPr>
        <w:b/>
        <w:bCs/>
        <w:sz w:val="20"/>
      </w:rPr>
    </w:tblStylePr>
    <w:tblStylePr w:type="lastCol">
      <w:rPr>
        <w:b/>
        <w:bCs/>
        <w:sz w:val="20"/>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Shading">
    <w:name w:val="Colorful Shading"/>
    <w:basedOn w:val="TableNormal"/>
    <w:unhideWhenUsed/>
    <w:rPr>
      <w:color w:val="000000" w:themeColor="text1"/>
    </w:rPr>
    <w:tblPr>
      <w:tblStyleRowBandSize w:val="1"/>
      <w:tblStyleColBandSize w:val="1"/>
      <w:tblBorders>
        <w:top w:val="single" w:sz="24" w:space="0" w:color="83A48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3A488" w:themeColor="accent2"/>
          <w:right w:val="nil"/>
          <w:insideH w:val="nil"/>
          <w:insideV w:val="nil"/>
        </w:tcBorders>
        <w:shd w:val="clear" w:color="auto" w:fill="FFFFFF" w:themeFill="background1"/>
      </w:tcPr>
    </w:tblStylePr>
    <w:tblStylePr w:type="lastRow">
      <w:rPr>
        <w:b/>
        <w:bCs/>
        <w:color w:val="FFFFFF" w:themeColor="background1"/>
        <w:sz w:val="20"/>
      </w:rPr>
      <w:tblPr/>
      <w:tcPr>
        <w:tcBorders>
          <w:top w:val="single" w:sz="6" w:space="0" w:color="FFFFFF" w:themeColor="background1"/>
        </w:tcBorders>
        <w:shd w:val="clear" w:color="auto" w:fill="000000" w:themeFill="text1" w:themeFillShade="99"/>
      </w:tcPr>
    </w:tblStylePr>
    <w:tblStylePr w:type="firstCol">
      <w:rPr>
        <w:b/>
        <w:color w:val="FFFFFF" w:themeColor="background1"/>
        <w:sz w:val="20"/>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b/>
        <w:color w:val="FFFFFF" w:themeColor="background1"/>
        <w:sz w:val="20"/>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Grid">
    <w:name w:val="Colorful Grid"/>
    <w:basedOn w:val="TableNormal"/>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sz w:val="20"/>
      </w:rPr>
      <w:tblPr/>
      <w:tcPr>
        <w:shd w:val="clear" w:color="auto" w:fill="999999" w:themeFill="text1" w:themeFillTint="66"/>
      </w:tcPr>
    </w:tblStylePr>
    <w:tblStylePr w:type="firstCol">
      <w:rPr>
        <w:b/>
        <w:color w:val="FFFFFF" w:themeColor="background1"/>
        <w:sz w:val="20"/>
      </w:rPr>
      <w:tblPr/>
      <w:tcPr>
        <w:shd w:val="clear" w:color="auto" w:fill="000000" w:themeFill="text1" w:themeFillShade="BF"/>
      </w:tcPr>
    </w:tblStylePr>
    <w:tblStylePr w:type="lastCol">
      <w:rPr>
        <w:b/>
        <w:color w:val="FFFFFF" w:themeColor="background1"/>
        <w:sz w:val="20"/>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TableofFigures">
    <w:name w:val="table of figures"/>
    <w:basedOn w:val="Normal"/>
    <w:next w:val="Normal"/>
    <w:uiPriority w:val="31"/>
    <w:semiHidden/>
    <w:unhideWhenUsed/>
  </w:style>
  <w:style w:type="paragraph" w:styleId="HTMLAddress">
    <w:name w:val="HTML Address"/>
    <w:basedOn w:val="Normal"/>
    <w:link w:val="HTMLAddressChar"/>
    <w:uiPriority w:val="38"/>
    <w:semiHidden/>
    <w:unhideWhenUsed/>
    <w:rPr>
      <w:i/>
      <w:iCs/>
    </w:rPr>
  </w:style>
  <w:style w:type="character" w:customStyle="1" w:styleId="HTMLAddressChar">
    <w:name w:val="HTML Address Char"/>
    <w:basedOn w:val="DefaultParagraphFont"/>
    <w:link w:val="HTMLAddress"/>
    <w:uiPriority w:val="99"/>
    <w:rPr>
      <w:rFonts w:asciiTheme="minorHAnsi" w:hAnsiTheme="minorHAnsi" w:cstheme="minorHAnsi"/>
      <w:i/>
      <w:iCs/>
    </w:rPr>
  </w:style>
  <w:style w:type="character" w:styleId="HTMLAcronym">
    <w:name w:val="HTML Acronym"/>
    <w:basedOn w:val="DefaultParagraphFont"/>
    <w:uiPriority w:val="38"/>
    <w:semiHidden/>
    <w:unhideWhenUsed/>
    <w:rPr>
      <w:rFonts w:asciiTheme="minorHAnsi" w:hAnsiTheme="minorHAnsi" w:cstheme="minorHAnsi"/>
    </w:rPr>
  </w:style>
  <w:style w:type="character" w:styleId="HTMLDefinition">
    <w:name w:val="HTML Definition"/>
    <w:basedOn w:val="DefaultParagraphFont"/>
    <w:uiPriority w:val="38"/>
    <w:semiHidden/>
    <w:unhideWhenUsed/>
    <w:rPr>
      <w:rFonts w:asciiTheme="minorHAnsi" w:hAnsiTheme="minorHAnsi" w:cstheme="minorHAnsi"/>
      <w:i/>
      <w:iCs/>
    </w:rPr>
  </w:style>
  <w:style w:type="character" w:styleId="HTMLSample">
    <w:name w:val="HTML Sample"/>
    <w:basedOn w:val="DefaultParagraphFont"/>
    <w:uiPriority w:val="38"/>
    <w:semiHidden/>
    <w:unhideWhenUsed/>
    <w:rPr>
      <w:rFonts w:asciiTheme="minorHAnsi" w:hAnsiTheme="minorHAnsi" w:cstheme="minorHAnsi"/>
      <w:sz w:val="24"/>
      <w:szCs w:val="24"/>
    </w:rPr>
  </w:style>
  <w:style w:type="paragraph" w:styleId="HTMLPreformatted">
    <w:name w:val="HTML Preformatted"/>
    <w:basedOn w:val="Normal"/>
    <w:link w:val="HTMLPreformattedChar"/>
    <w:uiPriority w:val="38"/>
    <w:semiHidden/>
    <w:unhideWhenUsed/>
    <w:rPr>
      <w:szCs w:val="20"/>
    </w:rPr>
  </w:style>
  <w:style w:type="character" w:customStyle="1" w:styleId="HTMLPreformattedChar">
    <w:name w:val="HTML Preformatted Char"/>
    <w:basedOn w:val="DefaultParagraphFont"/>
    <w:link w:val="HTMLPreformatted"/>
    <w:uiPriority w:val="99"/>
    <w:semiHidden/>
    <w:rPr>
      <w:rFonts w:asciiTheme="minorHAnsi" w:hAnsiTheme="minorHAnsi" w:cstheme="minorHAnsi"/>
      <w:sz w:val="20"/>
      <w:szCs w:val="20"/>
    </w:rPr>
  </w:style>
  <w:style w:type="character" w:styleId="HTMLCode">
    <w:name w:val="HTML Code"/>
    <w:basedOn w:val="DefaultParagraphFont"/>
    <w:uiPriority w:val="38"/>
    <w:semiHidden/>
    <w:unhideWhenUsed/>
    <w:rsid w:val="0057145E"/>
    <w:rPr>
      <w:rFonts w:ascii="Consolas" w:hAnsi="Consolas" w:cstheme="minorHAnsi"/>
      <w:sz w:val="20"/>
      <w:szCs w:val="20"/>
    </w:rPr>
  </w:style>
  <w:style w:type="character" w:styleId="HTMLCite">
    <w:name w:val="HTML Cite"/>
    <w:basedOn w:val="DefaultParagraphFont"/>
    <w:uiPriority w:val="38"/>
    <w:semiHidden/>
    <w:unhideWhenUsed/>
    <w:rPr>
      <w:rFonts w:asciiTheme="minorHAnsi" w:hAnsiTheme="minorHAnsi" w:cstheme="minorHAnsi"/>
      <w:i/>
      <w:iCs/>
    </w:rPr>
  </w:style>
  <w:style w:type="character" w:styleId="HTMLTypewriter">
    <w:name w:val="HTML Typewriter"/>
    <w:basedOn w:val="DefaultParagraphFont"/>
    <w:uiPriority w:val="38"/>
    <w:semiHidden/>
    <w:unhideWhenUsed/>
    <w:rPr>
      <w:rFonts w:asciiTheme="minorHAnsi" w:hAnsiTheme="minorHAnsi" w:cstheme="minorHAnsi"/>
      <w:sz w:val="20"/>
      <w:szCs w:val="20"/>
    </w:rPr>
  </w:style>
  <w:style w:type="character" w:styleId="HTMLKeyboard">
    <w:name w:val="HTML Keyboard"/>
    <w:basedOn w:val="DefaultParagraphFont"/>
    <w:uiPriority w:val="99"/>
    <w:semiHidden/>
    <w:unhideWhenUsed/>
    <w:rPr>
      <w:rFonts w:asciiTheme="minorHAnsi" w:hAnsiTheme="minorHAnsi" w:cstheme="minorHAnsi"/>
      <w:sz w:val="20"/>
      <w:szCs w:val="20"/>
    </w:rPr>
  </w:style>
  <w:style w:type="character" w:styleId="HTMLVariable">
    <w:name w:val="HTML Variable"/>
    <w:basedOn w:val="DefaultParagraphFont"/>
    <w:uiPriority w:val="38"/>
    <w:semiHidden/>
    <w:unhideWhenUsed/>
    <w:rPr>
      <w:rFonts w:asciiTheme="minorHAnsi" w:hAnsiTheme="minorHAnsi" w:cstheme="minorHAnsi"/>
      <w:i/>
      <w:iCs/>
    </w:rPr>
  </w:style>
  <w:style w:type="paragraph" w:styleId="Index1">
    <w:name w:val="index 1"/>
    <w:basedOn w:val="Normal"/>
    <w:next w:val="Normal"/>
    <w:autoRedefine/>
    <w:uiPriority w:val="75"/>
    <w:semiHidden/>
    <w:unhideWhenUsed/>
    <w:pPr>
      <w:ind w:left="220" w:hanging="220"/>
    </w:pPr>
  </w:style>
  <w:style w:type="paragraph" w:styleId="Index2">
    <w:name w:val="index 2"/>
    <w:basedOn w:val="Normal"/>
    <w:next w:val="Normal"/>
    <w:autoRedefine/>
    <w:uiPriority w:val="75"/>
    <w:semiHidden/>
    <w:unhideWhenUsed/>
    <w:pPr>
      <w:ind w:left="440" w:hanging="220"/>
    </w:pPr>
  </w:style>
  <w:style w:type="paragraph" w:styleId="Index3">
    <w:name w:val="index 3"/>
    <w:basedOn w:val="Normal"/>
    <w:next w:val="Normal"/>
    <w:autoRedefine/>
    <w:uiPriority w:val="75"/>
    <w:semiHidden/>
    <w:unhideWhenUsed/>
    <w:pPr>
      <w:ind w:left="660" w:hanging="220"/>
    </w:pPr>
  </w:style>
  <w:style w:type="paragraph" w:styleId="TableofAuthorities">
    <w:name w:val="table of authorities"/>
    <w:basedOn w:val="Normal"/>
    <w:next w:val="Normal"/>
    <w:uiPriority w:val="58"/>
    <w:semiHidden/>
    <w:unhideWhenUsed/>
    <w:rsid w:val="00F869B7"/>
    <w:pPr>
      <w:ind w:left="397" w:hanging="397"/>
    </w:pPr>
  </w:style>
  <w:style w:type="paragraph" w:styleId="TOAHeading">
    <w:name w:val="toa heading"/>
    <w:basedOn w:val="Normal"/>
    <w:next w:val="Normal"/>
    <w:uiPriority w:val="57"/>
    <w:semiHidden/>
    <w:unhideWhenUsed/>
    <w:rsid w:val="00DB6468"/>
    <w:pPr>
      <w:spacing w:before="600" w:after="720" w:line="252" w:lineRule="auto"/>
    </w:pPr>
    <w:rPr>
      <w:rFonts w:asciiTheme="majorHAnsi" w:eastAsiaTheme="majorEastAsia" w:hAnsiTheme="majorHAnsi"/>
      <w:b/>
      <w:bCs/>
      <w:sz w:val="36"/>
      <w:szCs w:val="24"/>
    </w:rPr>
  </w:style>
  <w:style w:type="paragraph" w:styleId="CommentText">
    <w:name w:val="annotation text"/>
    <w:basedOn w:val="Normal"/>
    <w:link w:val="CommentTextChar"/>
    <w:uiPriority w:val="99"/>
    <w:semiHidden/>
    <w:unhideWhenUsed/>
    <w:rsid w:val="008764E8"/>
    <w:pPr>
      <w:spacing w:line="360" w:lineRule="auto"/>
    </w:pPr>
    <w:rPr>
      <w:szCs w:val="20"/>
    </w:rPr>
  </w:style>
  <w:style w:type="character" w:customStyle="1" w:styleId="CommentTextChar">
    <w:name w:val="Comment Text Char"/>
    <w:basedOn w:val="DefaultParagraphFont"/>
    <w:link w:val="CommentText"/>
    <w:uiPriority w:val="99"/>
    <w:rsid w:val="008764E8"/>
    <w:rPr>
      <w:sz w:val="20"/>
      <w:szCs w:val="20"/>
    </w:rPr>
  </w:style>
  <w:style w:type="paragraph" w:styleId="CommentSubject">
    <w:name w:val="annotation subject"/>
    <w:basedOn w:val="CommentText"/>
    <w:next w:val="CommentText"/>
    <w:link w:val="CommentSubjectChar"/>
    <w:uiPriority w:val="38"/>
    <w:semiHidden/>
    <w:unhideWhenUsed/>
    <w:rPr>
      <w:b/>
      <w:bCs/>
    </w:rPr>
  </w:style>
  <w:style w:type="character" w:customStyle="1" w:styleId="CommentSubjectChar">
    <w:name w:val="Comment Subject Char"/>
    <w:basedOn w:val="CommentTextChar"/>
    <w:link w:val="CommentSubject"/>
    <w:uiPriority w:val="99"/>
    <w:rPr>
      <w:rFonts w:asciiTheme="minorHAnsi" w:hAnsiTheme="minorHAnsi" w:cstheme="minorHAnsi"/>
      <w:b/>
      <w:bCs/>
      <w:sz w:val="20"/>
      <w:szCs w:val="20"/>
    </w:rPr>
  </w:style>
  <w:style w:type="paragraph" w:styleId="EnvelopeAddress">
    <w:name w:val="envelope address"/>
    <w:basedOn w:val="Normal"/>
    <w:uiPriority w:val="38"/>
    <w:semiHidden/>
    <w:unhideWhenUsed/>
    <w:pPr>
      <w:framePr w:w="7920" w:h="1980" w:hRule="exact" w:hSpace="141" w:wrap="auto" w:hAnchor="page" w:xAlign="center" w:yAlign="bottom"/>
      <w:ind w:left="2880"/>
    </w:pPr>
    <w:rPr>
      <w:rFonts w:eastAsiaTheme="majorEastAsia"/>
      <w:sz w:val="24"/>
      <w:szCs w:val="24"/>
    </w:rPr>
  </w:style>
  <w:style w:type="table" w:styleId="LightList">
    <w:name w:val="Light List"/>
    <w:basedOn w:val="TableNormal"/>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sz w:val="20"/>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sz w:val="20"/>
      </w:rPr>
    </w:tblStylePr>
    <w:tblStylePr w:type="lastCol">
      <w:rPr>
        <w:b/>
        <w:bCs/>
        <w:sz w:val="20"/>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sz w:val="20"/>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sz w:val="20"/>
      </w:rPr>
    </w:tblStylePr>
    <w:tblStylePr w:type="lastCol">
      <w:rPr>
        <w:b/>
        <w:bCs/>
        <w:sz w:val="20"/>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sz w:val="20"/>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sz w:val="20"/>
      </w:rPr>
    </w:tblStylePr>
    <w:tblStylePr w:type="lastCol">
      <w:rPr>
        <w:rFonts w:asciiTheme="majorHAnsi" w:eastAsiaTheme="majorEastAsia" w:hAnsiTheme="majorHAnsi" w:cstheme="majorBidi"/>
        <w:b/>
        <w:bCs/>
        <w:sz w:val="20"/>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MacroText">
    <w:name w:val="macro"/>
    <w:link w:val="MacroTextChar"/>
    <w:uiPriority w:val="99"/>
    <w:semiHidden/>
    <w:unhideWhenUsed/>
    <w:rsid w:val="003F4F1D"/>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hAnsi="Courier New" w:cstheme="minorHAnsi"/>
      <w:sz w:val="20"/>
      <w:szCs w:val="20"/>
    </w:rPr>
  </w:style>
  <w:style w:type="character" w:customStyle="1" w:styleId="MacroTextChar">
    <w:name w:val="Macro Text Char"/>
    <w:basedOn w:val="DefaultParagraphFont"/>
    <w:link w:val="MacroText"/>
    <w:uiPriority w:val="99"/>
    <w:rsid w:val="003F4F1D"/>
    <w:rPr>
      <w:rFonts w:ascii="Courier New" w:hAnsi="Courier New" w:cstheme="minorHAnsi"/>
      <w:sz w:val="20"/>
      <w:szCs w:val="20"/>
    </w:rPr>
  </w:style>
  <w:style w:type="paragraph" w:styleId="MessageHeader">
    <w:name w:val="Message Header"/>
    <w:basedOn w:val="Normal"/>
    <w:link w:val="MessageHeaderChar"/>
    <w:uiPriority w:val="99"/>
    <w:semiHidden/>
    <w:unhideWhenUsed/>
    <w:rsid w:val="007A5A76"/>
    <w:pPr>
      <w:pBdr>
        <w:top w:val="single" w:sz="6" w:space="10" w:color="auto"/>
        <w:left w:val="single" w:sz="6" w:space="6" w:color="auto"/>
        <w:bottom w:val="single" w:sz="6" w:space="10" w:color="auto"/>
        <w:right w:val="single" w:sz="6" w:space="6" w:color="auto"/>
      </w:pBdr>
      <w:shd w:val="clear" w:color="auto" w:fill="F2F2F2" w:themeFill="background1" w:themeFillShade="F2"/>
      <w:spacing w:line="252" w:lineRule="auto"/>
    </w:pPr>
    <w:rPr>
      <w:rFonts w:eastAsiaTheme="majorEastAsia"/>
      <w:sz w:val="22"/>
      <w:szCs w:val="24"/>
    </w:rPr>
  </w:style>
  <w:style w:type="character" w:customStyle="1" w:styleId="MessageHeaderChar">
    <w:name w:val="Message Header Char"/>
    <w:basedOn w:val="DefaultParagraphFont"/>
    <w:link w:val="MessageHeader"/>
    <w:uiPriority w:val="99"/>
    <w:rsid w:val="007A5A76"/>
    <w:rPr>
      <w:rFonts w:eastAsiaTheme="majorEastAsia"/>
      <w:szCs w:val="24"/>
      <w:shd w:val="clear" w:color="auto" w:fill="F2F2F2" w:themeFill="background1" w:themeFillShade="F2"/>
      <w:lang w:val="en-GB"/>
    </w:rPr>
  </w:style>
  <w:style w:type="character" w:styleId="CommentReference">
    <w:name w:val="annotation reference"/>
    <w:basedOn w:val="DefaultParagraphFont"/>
    <w:uiPriority w:val="99"/>
    <w:semiHidden/>
    <w:unhideWhenUsed/>
    <w:rPr>
      <w:rFonts w:asciiTheme="minorHAnsi" w:hAnsiTheme="minorHAnsi" w:cstheme="minorHAnsi"/>
      <w:sz w:val="16"/>
      <w:szCs w:val="16"/>
    </w:rPr>
  </w:style>
  <w:style w:type="table" w:styleId="MediumList1">
    <w:name w:val="Medium List 1"/>
    <w:basedOn w:val="TableNormal"/>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b/>
      </w:rPr>
      <w:tblPr/>
      <w:tcPr>
        <w:tcBorders>
          <w:top w:val="nil"/>
          <w:bottom w:val="single" w:sz="8" w:space="0" w:color="000000" w:themeColor="text1"/>
        </w:tcBorders>
      </w:tcPr>
    </w:tblStylePr>
    <w:tblStylePr w:type="lastRow">
      <w:rPr>
        <w:b/>
        <w:bCs/>
        <w:color w:val="003C34" w:themeColor="text2"/>
        <w:sz w:val="20"/>
      </w:rPr>
      <w:tblPr/>
      <w:tcPr>
        <w:tcBorders>
          <w:top w:val="single" w:sz="8" w:space="0" w:color="000000" w:themeColor="text1"/>
          <w:bottom w:val="single" w:sz="8" w:space="0" w:color="000000" w:themeColor="text1"/>
        </w:tcBorders>
      </w:tcPr>
    </w:tblStylePr>
    <w:tblStylePr w:type="firstCol">
      <w:rPr>
        <w:b/>
        <w:bCs/>
        <w:sz w:val="20"/>
      </w:rPr>
    </w:tblStylePr>
    <w:tblStylePr w:type="lastCol">
      <w:rPr>
        <w:b/>
        <w:bCs/>
        <w:sz w:val="20"/>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Grid1">
    <w:name w:val="Medium Grid 1"/>
    <w:basedOn w:val="TableNormal"/>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sz w:val="20"/>
      </w:rPr>
      <w:tblPr/>
      <w:tcPr>
        <w:tcBorders>
          <w:top w:val="single" w:sz="18" w:space="0" w:color="404040" w:themeColor="text1" w:themeTint="BF"/>
        </w:tcBorders>
      </w:tcPr>
    </w:tblStylePr>
    <w:tblStylePr w:type="firstCol">
      <w:rPr>
        <w:b/>
        <w:bCs/>
        <w:sz w:val="20"/>
      </w:rPr>
    </w:tblStylePr>
    <w:tblStylePr w:type="lastCol">
      <w:rPr>
        <w:b/>
        <w:bCs/>
        <w:sz w:val="20"/>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nhideWhenUsed/>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sz w:val="2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2">
    <w:name w:val="Medium Shading 2"/>
    <w:basedOn w:val="TableNormal"/>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b/>
        <w:color w:val="auto"/>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sz w:val="20"/>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sz w:val="20"/>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
    <w:name w:val="Dark List"/>
    <w:basedOn w:val="TableNormal"/>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Pr>
      <w:color w:val="FFFFFF" w:themeColor="background1"/>
    </w:rPr>
    <w:tblPr>
      <w:tblStyleRowBandSize w:val="1"/>
      <w:tblStyleColBandSize w:val="1"/>
    </w:tblPr>
    <w:tcPr>
      <w:shd w:val="clear" w:color="auto" w:fill="66609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322F4E" w:themeFill="accent1"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4C4876" w:themeFill="accent1"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4C4876" w:themeFill="accent1" w:themeFillShade="BF"/>
      </w:tcPr>
    </w:tblStylePr>
    <w:tblStylePr w:type="band1Vert">
      <w:tblPr/>
      <w:tcPr>
        <w:tcBorders>
          <w:top w:val="nil"/>
          <w:left w:val="nil"/>
          <w:bottom w:val="nil"/>
          <w:right w:val="nil"/>
          <w:insideH w:val="nil"/>
          <w:insideV w:val="nil"/>
        </w:tcBorders>
        <w:shd w:val="clear" w:color="auto" w:fill="4C4876" w:themeFill="accent1" w:themeFillShade="BF"/>
      </w:tcPr>
    </w:tblStylePr>
    <w:tblStylePr w:type="band1Horz">
      <w:tblPr/>
      <w:tcPr>
        <w:tcBorders>
          <w:top w:val="nil"/>
          <w:left w:val="nil"/>
          <w:bottom w:val="nil"/>
          <w:right w:val="nil"/>
          <w:insideH w:val="nil"/>
          <w:insideV w:val="nil"/>
        </w:tcBorders>
        <w:shd w:val="clear" w:color="auto" w:fill="4C4876" w:themeFill="accent1" w:themeFillShade="BF"/>
      </w:tcPr>
    </w:tblStylePr>
  </w:style>
  <w:style w:type="table" w:styleId="DarkList-Accent2">
    <w:name w:val="Dark List Accent 2"/>
    <w:basedOn w:val="TableNormal"/>
    <w:unhideWhenUsed/>
    <w:rPr>
      <w:color w:val="FFFFFF" w:themeColor="background1"/>
    </w:rPr>
    <w:tblPr>
      <w:tblStyleRowBandSize w:val="1"/>
      <w:tblStyleColBandSize w:val="1"/>
    </w:tblPr>
    <w:tcPr>
      <w:shd w:val="clear" w:color="auto" w:fill="83A48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3E5441" w:themeFill="accent2"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5D7F62" w:themeFill="accent2"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5D7F62" w:themeFill="accent2" w:themeFillShade="BF"/>
      </w:tcPr>
    </w:tblStylePr>
    <w:tblStylePr w:type="band1Vert">
      <w:tblPr/>
      <w:tcPr>
        <w:tcBorders>
          <w:top w:val="nil"/>
          <w:left w:val="nil"/>
          <w:bottom w:val="nil"/>
          <w:right w:val="nil"/>
          <w:insideH w:val="nil"/>
          <w:insideV w:val="nil"/>
        </w:tcBorders>
        <w:shd w:val="clear" w:color="auto" w:fill="5D7F62" w:themeFill="accent2" w:themeFillShade="BF"/>
      </w:tcPr>
    </w:tblStylePr>
    <w:tblStylePr w:type="band1Horz">
      <w:tblPr/>
      <w:tcPr>
        <w:tcBorders>
          <w:top w:val="nil"/>
          <w:left w:val="nil"/>
          <w:bottom w:val="nil"/>
          <w:right w:val="nil"/>
          <w:insideH w:val="nil"/>
          <w:insideV w:val="nil"/>
        </w:tcBorders>
        <w:shd w:val="clear" w:color="auto" w:fill="5D7F62" w:themeFill="accent2" w:themeFillShade="BF"/>
      </w:tcPr>
    </w:tblStylePr>
  </w:style>
  <w:style w:type="table" w:styleId="DarkList-Accent3">
    <w:name w:val="Dark List Accent 3"/>
    <w:basedOn w:val="TableNormal"/>
    <w:unhideWhenUsed/>
    <w:rPr>
      <w:color w:val="FFFFFF" w:themeColor="background1"/>
    </w:rPr>
    <w:tblPr>
      <w:tblStyleRowBandSize w:val="1"/>
      <w:tblStyleColBandSize w:val="1"/>
    </w:tblPr>
    <w:tcPr>
      <w:shd w:val="clear" w:color="auto" w:fill="D1D16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787826" w:themeFill="accent3"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B5B53A" w:themeFill="accent3"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B5B53A" w:themeFill="accent3" w:themeFillShade="BF"/>
      </w:tcPr>
    </w:tblStylePr>
    <w:tblStylePr w:type="band1Vert">
      <w:tblPr/>
      <w:tcPr>
        <w:tcBorders>
          <w:top w:val="nil"/>
          <w:left w:val="nil"/>
          <w:bottom w:val="nil"/>
          <w:right w:val="nil"/>
          <w:insideH w:val="nil"/>
          <w:insideV w:val="nil"/>
        </w:tcBorders>
        <w:shd w:val="clear" w:color="auto" w:fill="B5B53A" w:themeFill="accent3" w:themeFillShade="BF"/>
      </w:tcPr>
    </w:tblStylePr>
    <w:tblStylePr w:type="band1Horz">
      <w:tblPr/>
      <w:tcPr>
        <w:tcBorders>
          <w:top w:val="nil"/>
          <w:left w:val="nil"/>
          <w:bottom w:val="nil"/>
          <w:right w:val="nil"/>
          <w:insideH w:val="nil"/>
          <w:insideV w:val="nil"/>
        </w:tcBorders>
        <w:shd w:val="clear" w:color="auto" w:fill="B5B53A" w:themeFill="accent3" w:themeFillShade="BF"/>
      </w:tcPr>
    </w:tblStylePr>
  </w:style>
  <w:style w:type="table" w:styleId="DarkList-Accent4">
    <w:name w:val="Dark List Accent 4"/>
    <w:basedOn w:val="TableNormal"/>
    <w:unhideWhenUsed/>
    <w:rPr>
      <w:color w:val="FFFFFF" w:themeColor="background1"/>
    </w:rPr>
    <w:tblPr>
      <w:tblStyleRowBandSize w:val="1"/>
      <w:tblStyleColBandSize w:val="1"/>
    </w:tblPr>
    <w:tcPr>
      <w:shd w:val="clear" w:color="auto" w:fill="3F3F3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nhideWhenUsed/>
    <w:rPr>
      <w:color w:val="FFFFFF" w:themeColor="background1"/>
    </w:rPr>
    <w:tblPr>
      <w:tblStyleRowBandSize w:val="1"/>
      <w:tblStyleColBandSize w:val="1"/>
    </w:tblPr>
    <w:tcPr>
      <w:shd w:val="clear" w:color="auto" w:fill="7F7F7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3F3F3F" w:themeFill="accent5"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5F5F5F" w:themeFill="accent5"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5F5F5F" w:themeFill="accent5" w:themeFillShade="BF"/>
      </w:tcPr>
    </w:tblStylePr>
    <w:tblStylePr w:type="band1Vert">
      <w:tblPr/>
      <w:tcPr>
        <w:tcBorders>
          <w:top w:val="nil"/>
          <w:left w:val="nil"/>
          <w:bottom w:val="nil"/>
          <w:right w:val="nil"/>
          <w:insideH w:val="nil"/>
          <w:insideV w:val="nil"/>
        </w:tcBorders>
        <w:shd w:val="clear" w:color="auto" w:fill="5F5F5F" w:themeFill="accent5" w:themeFillShade="BF"/>
      </w:tcPr>
    </w:tblStylePr>
    <w:tblStylePr w:type="band1Horz">
      <w:tblPr/>
      <w:tcPr>
        <w:tcBorders>
          <w:top w:val="nil"/>
          <w:left w:val="nil"/>
          <w:bottom w:val="nil"/>
          <w:right w:val="nil"/>
          <w:insideH w:val="nil"/>
          <w:insideV w:val="nil"/>
        </w:tcBorders>
        <w:shd w:val="clear" w:color="auto" w:fill="5F5F5F" w:themeFill="accent5" w:themeFillShade="BF"/>
      </w:tcPr>
    </w:tblStylePr>
  </w:style>
  <w:style w:type="table" w:styleId="DarkList-Accent6">
    <w:name w:val="Dark List Accent 6"/>
    <w:basedOn w:val="TableNormal"/>
    <w:unhideWhenUsed/>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NormalWeb">
    <w:name w:val="Normal (Web)"/>
    <w:basedOn w:val="Normal"/>
    <w:uiPriority w:val="21"/>
    <w:semiHidden/>
    <w:unhideWhenUsed/>
    <w:rsid w:val="0057145E"/>
    <w:rPr>
      <w:szCs w:val="24"/>
    </w:rPr>
  </w:style>
  <w:style w:type="paragraph" w:styleId="PlainText">
    <w:name w:val="Plain Text"/>
    <w:basedOn w:val="Normal"/>
    <w:link w:val="PlainTextChar"/>
    <w:uiPriority w:val="38"/>
    <w:semiHidden/>
    <w:unhideWhenUsed/>
    <w:rsid w:val="00B43895"/>
    <w:rPr>
      <w:rFonts w:ascii="Consolas" w:hAnsi="Consolas"/>
      <w:sz w:val="21"/>
      <w:szCs w:val="21"/>
    </w:rPr>
  </w:style>
  <w:style w:type="character" w:customStyle="1" w:styleId="PlainTextChar">
    <w:name w:val="Plain Text Char"/>
    <w:basedOn w:val="DefaultParagraphFont"/>
    <w:link w:val="PlainText"/>
    <w:uiPriority w:val="99"/>
    <w:rsid w:val="00B43895"/>
    <w:rPr>
      <w:rFonts w:ascii="Consolas" w:hAnsi="Consolas"/>
      <w:sz w:val="21"/>
      <w:szCs w:val="21"/>
    </w:rPr>
  </w:style>
  <w:style w:type="character" w:styleId="Strong">
    <w:name w:val="Strong"/>
    <w:basedOn w:val="DefaultParagraphFont"/>
    <w:uiPriority w:val="99"/>
    <w:semiHidden/>
    <w:rPr>
      <w:rFonts w:asciiTheme="minorHAnsi" w:hAnsiTheme="minorHAnsi" w:cstheme="minorHAnsi"/>
      <w:b/>
      <w:bCs/>
    </w:rPr>
  </w:style>
  <w:style w:type="character" w:styleId="IntenseReference">
    <w:name w:val="Intense Reference"/>
    <w:basedOn w:val="DefaultParagraphFont"/>
    <w:uiPriority w:val="99"/>
    <w:semiHidden/>
    <w:unhideWhenUsed/>
    <w:rPr>
      <w:rFonts w:asciiTheme="minorHAnsi" w:hAnsiTheme="minorHAnsi" w:cstheme="minorHAnsi"/>
      <w:b/>
      <w:bCs/>
      <w:smallCaps/>
      <w:color w:val="auto"/>
      <w:spacing w:val="5"/>
    </w:rPr>
  </w:style>
  <w:style w:type="character" w:styleId="IntenseEmphasis">
    <w:name w:val="Intense Emphasis"/>
    <w:basedOn w:val="DefaultParagraphFont"/>
    <w:uiPriority w:val="99"/>
    <w:semiHidden/>
    <w:unhideWhenUsed/>
    <w:rPr>
      <w:rFonts w:asciiTheme="minorHAnsi" w:hAnsiTheme="minorHAnsi" w:cstheme="minorHAnsi"/>
      <w:i/>
      <w:iCs/>
      <w:color w:val="auto"/>
    </w:rPr>
  </w:style>
  <w:style w:type="paragraph" w:styleId="IntenseQuote">
    <w:name w:val="Intense Quote"/>
    <w:basedOn w:val="Normal"/>
    <w:next w:val="Normal"/>
    <w:link w:val="IntenseQuoteChar"/>
    <w:uiPriority w:val="99"/>
    <w:semiHidden/>
    <w:unhideWhenUsed/>
    <w:rsid w:val="00F17085"/>
    <w:pPr>
      <w:pBdr>
        <w:top w:val="single" w:sz="4" w:space="11" w:color="003C34" w:themeColor="text2"/>
        <w:bottom w:val="single" w:sz="4" w:space="11" w:color="003C34" w:themeColor="text2"/>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17085"/>
    <w:rPr>
      <w:i/>
      <w:iCs/>
    </w:rPr>
  </w:style>
  <w:style w:type="paragraph" w:styleId="IndexHeading">
    <w:name w:val="index heading"/>
    <w:basedOn w:val="Normal"/>
    <w:next w:val="Index1"/>
    <w:uiPriority w:val="99"/>
    <w:unhideWhenUsed/>
    <w:rsid w:val="00E734FE"/>
    <w:pPr>
      <w:spacing w:before="200" w:line="252" w:lineRule="auto"/>
    </w:pPr>
    <w:rPr>
      <w:rFonts w:eastAsiaTheme="majorEastAsia"/>
      <w:b/>
      <w:bCs/>
    </w:rPr>
  </w:style>
  <w:style w:type="character" w:styleId="SubtleReference">
    <w:name w:val="Subtle Reference"/>
    <w:basedOn w:val="DefaultParagraphFont"/>
    <w:uiPriority w:val="99"/>
    <w:semiHidden/>
    <w:unhideWhenUsed/>
    <w:rPr>
      <w:rFonts w:asciiTheme="minorHAnsi" w:hAnsiTheme="minorHAnsi" w:cstheme="minorHAnsi"/>
      <w:smallCaps/>
      <w:color w:val="5A5A5A" w:themeColor="text1" w:themeTint="A5"/>
    </w:rPr>
  </w:style>
  <w:style w:type="character" w:styleId="SubtleEmphasis">
    <w:name w:val="Subtle Emphasis"/>
    <w:basedOn w:val="DefaultParagraphFont"/>
    <w:uiPriority w:val="99"/>
    <w:semiHidden/>
    <w:unhideWhenUsed/>
    <w:rPr>
      <w:rFonts w:asciiTheme="minorHAnsi" w:hAnsiTheme="minorHAnsi" w:cstheme="minorHAnsi"/>
      <w:i/>
      <w:iCs/>
      <w:color w:val="404040" w:themeColor="text1" w:themeTint="BF"/>
    </w:rPr>
  </w:style>
  <w:style w:type="table" w:styleId="Table3Deffects1">
    <w:name w:val="Table 3D effects 1"/>
    <w:basedOn w:val="TableNormal"/>
    <w:semiHidden/>
    <w:unhideWhenUsed/>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rPr>
        <w:b/>
        <w:sz w:val="20"/>
      </w:rPr>
      <w:tblPr/>
      <w:tcPr>
        <w:tcBorders>
          <w:top w:val="single" w:sz="6" w:space="0" w:color="FFFFFF"/>
          <w:tl2br w:val="none" w:sz="0" w:space="0" w:color="auto"/>
          <w:tr2bl w:val="none" w:sz="0" w:space="0" w:color="auto"/>
        </w:tcBorders>
      </w:tcPr>
    </w:tblStylePr>
    <w:tblStylePr w:type="firstCol">
      <w:rPr>
        <w:b/>
        <w:bCs/>
        <w:sz w:val="20"/>
      </w:rPr>
      <w:tblPr/>
      <w:tcPr>
        <w:tcBorders>
          <w:right w:val="single" w:sz="6" w:space="0" w:color="808080"/>
          <w:tl2br w:val="none" w:sz="0" w:space="0" w:color="auto"/>
          <w:tr2bl w:val="none" w:sz="0" w:space="0" w:color="auto"/>
        </w:tcBorders>
      </w:tcPr>
    </w:tblStylePr>
    <w:tblStylePr w:type="lastCol">
      <w:rPr>
        <w:b/>
        <w:sz w:val="20"/>
      </w:rPr>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lastRow">
      <w:rPr>
        <w:b/>
        <w:sz w:val="20"/>
      </w:rPr>
    </w:tblStylePr>
    <w:tblStylePr w:type="firstCol">
      <w:rPr>
        <w:b/>
        <w:sz w:val="20"/>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b/>
        <w:sz w:val="20"/>
      </w:rPr>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lastRow">
      <w:rPr>
        <w:b/>
        <w:sz w:val="20"/>
      </w:rPr>
    </w:tblStylePr>
    <w:tblStylePr w:type="firstCol">
      <w:rPr>
        <w:b/>
        <w:sz w:val="20"/>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b/>
        <w:sz w:val="20"/>
      </w:rPr>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unhideWhenUsed/>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b/>
        <w:caps/>
        <w:color w:val="auto"/>
      </w:rPr>
      <w:tblPr/>
      <w:tcPr>
        <w:tcBorders>
          <w:tl2br w:val="none" w:sz="0" w:space="0" w:color="auto"/>
          <w:tr2bl w:val="none" w:sz="0" w:space="0" w:color="auto"/>
        </w:tcBorders>
      </w:tcPr>
    </w:tblStylePr>
    <w:tblStylePr w:type="lastRow">
      <w:rPr>
        <w:b/>
        <w:sz w:val="20"/>
      </w:rPr>
    </w:tblStylePr>
    <w:tblStylePr w:type="firstCol">
      <w:rPr>
        <w:b/>
        <w:sz w:val="20"/>
      </w:rPr>
    </w:tblStylePr>
    <w:tblStylePr w:type="lastCol">
      <w:rPr>
        <w:b/>
        <w:sz w:val="20"/>
      </w:rPr>
    </w:tblStylePr>
  </w:style>
  <w:style w:type="table" w:styleId="TableColourful1">
    <w:name w:val="Table Colorful 1"/>
    <w:basedOn w:val="TableNormal"/>
    <w:semiHidden/>
    <w:unhideWhenUsed/>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lastRow">
      <w:rPr>
        <w:b/>
        <w:sz w:val="20"/>
      </w:rPr>
    </w:tblStylePr>
    <w:tblStylePr w:type="firstCol">
      <w:rPr>
        <w:b/>
        <w:bCs/>
        <w:i/>
        <w:iCs/>
        <w:sz w:val="20"/>
      </w:rPr>
      <w:tblPr/>
      <w:tcPr>
        <w:tcBorders>
          <w:tl2br w:val="none" w:sz="0" w:space="0" w:color="auto"/>
          <w:tr2bl w:val="none" w:sz="0" w:space="0" w:color="auto"/>
        </w:tcBorders>
        <w:shd w:val="solid" w:color="000080" w:fill="FFFFFF"/>
      </w:tcPr>
    </w:tblStylePr>
    <w:tblStylePr w:type="lastCol">
      <w:rPr>
        <w:b/>
        <w:sz w:val="20"/>
      </w:r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unhideWhenUsed/>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sz w:val="20"/>
      </w:rPr>
    </w:tblStylePr>
    <w:tblStylePr w:type="firstCol">
      <w:rPr>
        <w:b/>
        <w:bCs/>
        <w:i/>
        <w:iCs/>
        <w:sz w:val="20"/>
      </w:rPr>
      <w:tblPr/>
      <w:tcPr>
        <w:tcBorders>
          <w:tl2br w:val="none" w:sz="0" w:space="0" w:color="auto"/>
          <w:tr2bl w:val="none" w:sz="0" w:space="0" w:color="auto"/>
        </w:tcBorders>
      </w:tcPr>
    </w:tblStylePr>
    <w:tblStylePr w:type="lastCol">
      <w:rPr>
        <w:b/>
        <w:sz w:val="20"/>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unhideWhenUsed/>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b/>
      </w:rPr>
      <w:tblPr/>
      <w:tcPr>
        <w:tcBorders>
          <w:bottom w:val="single" w:sz="6" w:space="0" w:color="000000"/>
          <w:tl2br w:val="none" w:sz="0" w:space="0" w:color="auto"/>
          <w:tr2bl w:val="none" w:sz="0" w:space="0" w:color="auto"/>
        </w:tcBorders>
        <w:shd w:val="solid" w:color="008080" w:fill="FFFFFF"/>
      </w:tcPr>
    </w:tblStylePr>
    <w:tblStylePr w:type="lastRow">
      <w:rPr>
        <w:b/>
        <w:sz w:val="20"/>
      </w:rPr>
    </w:tblStylePr>
    <w:tblStylePr w:type="firstCol">
      <w:rPr>
        <w:b/>
        <w:sz w:val="20"/>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lastCol">
      <w:rPr>
        <w:b/>
        <w:sz w:val="20"/>
      </w:r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pPr>
      <w:spacing w:line="264" w:lineRule="auto"/>
    </w:pPr>
    <w:tblPr>
      <w:tblBorders>
        <w:top w:val="single" w:sz="12" w:space="0" w:color="000000"/>
        <w:bottom w:val="single" w:sz="12" w:space="0" w:color="000000"/>
      </w:tblBorders>
    </w:tblPr>
    <w:tcPr>
      <w:shd w:val="clear" w:color="auto" w:fill="auto"/>
    </w:tcPr>
    <w:tblStylePr w:type="firstRow">
      <w:rPr>
        <w:b/>
        <w:i/>
        <w:iCs/>
      </w:rPr>
      <w:tblPr/>
      <w:tcPr>
        <w:tcBorders>
          <w:bottom w:val="single" w:sz="6" w:space="0" w:color="000000"/>
          <w:tl2br w:val="none" w:sz="0" w:space="0" w:color="auto"/>
          <w:tr2bl w:val="none" w:sz="0" w:space="0" w:color="auto"/>
        </w:tcBorders>
      </w:tcPr>
    </w:tblStylePr>
    <w:tblStylePr w:type="lastRow">
      <w:rPr>
        <w:b/>
        <w:color w:val="auto"/>
        <w:sz w:val="20"/>
      </w:rPr>
      <w:tblPr/>
      <w:tcPr>
        <w:tcBorders>
          <w:top w:val="single" w:sz="6" w:space="0" w:color="000000"/>
          <w:tl2br w:val="none" w:sz="0" w:space="0" w:color="auto"/>
          <w:tr2bl w:val="none" w:sz="0" w:space="0" w:color="auto"/>
        </w:tcBorders>
      </w:tcPr>
    </w:tblStylePr>
    <w:tblStylePr w:type="firstCol">
      <w:rPr>
        <w:b/>
        <w:sz w:val="20"/>
      </w:rPr>
      <w:tblPr/>
      <w:tcPr>
        <w:tcBorders>
          <w:right w:val="single" w:sz="6" w:space="0" w:color="000000"/>
          <w:tl2br w:val="none" w:sz="0" w:space="0" w:color="auto"/>
          <w:tr2bl w:val="none" w:sz="0" w:space="0" w:color="auto"/>
        </w:tcBorders>
      </w:tcPr>
    </w:tblStylePr>
    <w:tblStylePr w:type="lastCol">
      <w:rPr>
        <w:b/>
        <w:sz w:val="20"/>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pPr>
      <w:spacing w:line="264" w:lineRule="auto"/>
    </w:pPr>
    <w:tblPr>
      <w:tblBorders>
        <w:top w:val="single" w:sz="12" w:space="0" w:color="000000"/>
        <w:bottom w:val="single" w:sz="12" w:space="0" w:color="000000"/>
      </w:tblBorders>
    </w:tblPr>
    <w:tcPr>
      <w:shd w:val="clear" w:color="auto" w:fill="auto"/>
    </w:tcPr>
    <w:tblStylePr w:type="firstRow">
      <w:rPr>
        <w:b/>
        <w:color w:val="FFFFFF"/>
      </w:rPr>
      <w:tblPr/>
      <w:tcPr>
        <w:tcBorders>
          <w:bottom w:val="single" w:sz="6" w:space="0" w:color="000000"/>
          <w:tl2br w:val="none" w:sz="0" w:space="0" w:color="auto"/>
          <w:tr2bl w:val="none" w:sz="0" w:space="0" w:color="auto"/>
        </w:tcBorders>
        <w:shd w:val="solid" w:color="800080" w:fill="FFFFFF"/>
      </w:tcPr>
    </w:tblStylePr>
    <w:tblStylePr w:type="lastRow">
      <w:rPr>
        <w:b/>
        <w:sz w:val="20"/>
      </w:rPr>
      <w:tblPr/>
      <w:tcPr>
        <w:tcBorders>
          <w:top w:val="single" w:sz="6" w:space="0" w:color="00000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shd w:val="solid" w:color="C0C0C0" w:fill="FFFFFF"/>
      </w:tcPr>
    </w:tblStylePr>
    <w:tblStylePr w:type="lastCol">
      <w:rPr>
        <w:b/>
        <w:sz w:val="20"/>
      </w:r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b/>
        <w:color w:val="000080"/>
        <w:sz w:val="2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sz w:val="20"/>
      </w:rPr>
      <w:tblPr/>
      <w:tcPr>
        <w:tcBorders>
          <w:tl2br w:val="none" w:sz="0" w:space="0" w:color="auto"/>
          <w:tr2bl w:val="none" w:sz="0" w:space="0" w:color="auto"/>
        </w:tcBorders>
      </w:tcPr>
    </w:tblStylePr>
    <w:tblStylePr w:type="lastCol">
      <w:rPr>
        <w:b/>
        <w:sz w:val="20"/>
      </w:rPr>
    </w:tblStylePr>
  </w:style>
  <w:style w:type="table" w:styleId="TableClassic4">
    <w:name w:val="Table Classic 4"/>
    <w:basedOn w:val="TableNormal"/>
    <w:semiHidden/>
    <w:unhideWhenUsed/>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b/>
        <w:color w:val="000080"/>
        <w:sz w:val="20"/>
      </w:rPr>
      <w:tblPr/>
      <w:tcPr>
        <w:tcBorders>
          <w:bottom w:val="single" w:sz="6" w:space="0" w:color="000000"/>
          <w:tl2br w:val="none" w:sz="0" w:space="0" w:color="auto"/>
          <w:tr2bl w:val="none" w:sz="0" w:space="0" w:color="auto"/>
        </w:tcBorders>
        <w:shd w:val="pct50" w:color="000000" w:fill="FFFFFF"/>
      </w:tcPr>
    </w:tblStylePr>
    <w:tblStylePr w:type="firstCol">
      <w:rPr>
        <w:b/>
        <w:bCs/>
        <w:sz w:val="20"/>
      </w:rPr>
      <w:tblPr/>
      <w:tcPr>
        <w:tcBorders>
          <w:tl2br w:val="none" w:sz="0" w:space="0" w:color="auto"/>
          <w:tr2bl w:val="none" w:sz="0" w:space="0" w:color="auto"/>
        </w:tcBorders>
      </w:tcPr>
    </w:tblStylePr>
    <w:tblStylePr w:type="lastCol">
      <w:rPr>
        <w:b/>
        <w:sz w:val="20"/>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semiHidden/>
    <w:unhideWhenUsed/>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lastRow">
      <w:rPr>
        <w:b/>
        <w:sz w:val="20"/>
      </w:rPr>
    </w:tblStylePr>
    <w:tblStylePr w:type="firstCol">
      <w:rPr>
        <w:b/>
        <w:sz w:val="20"/>
      </w:rPr>
    </w:tblStylePr>
    <w:tblStylePr w:type="lastCol">
      <w:rPr>
        <w:b/>
        <w:sz w:val="20"/>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semiHidden/>
    <w:unhideWhenUse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tblStylePr w:type="lastRow">
      <w:rPr>
        <w:b/>
        <w:sz w:val="20"/>
      </w:rPr>
    </w:tblStylePr>
    <w:tblStylePr w:type="firstCol">
      <w:rPr>
        <w:b/>
        <w:sz w:val="20"/>
      </w:rPr>
    </w:tblStylePr>
    <w:tblStylePr w:type="lastCol">
      <w:rPr>
        <w:b/>
        <w:sz w:val="20"/>
      </w:rPr>
    </w:tblStylePr>
  </w:style>
  <w:style w:type="table" w:styleId="TableSubtle1">
    <w:name w:val="Table Subtle 1"/>
    <w:basedOn w:val="TableNormal"/>
    <w:semiHidden/>
    <w:unhideWhenUsed/>
    <w:pPr>
      <w:spacing w:line="264" w:lineRule="auto"/>
    </w:pPr>
    <w:tblPr>
      <w:tblStyleRowBandSize w:val="1"/>
    </w:tblPr>
    <w:tblStylePr w:type="firstRow">
      <w:rPr>
        <w:b/>
      </w:rPr>
      <w:tblPr/>
      <w:tcPr>
        <w:tcBorders>
          <w:top w:val="single" w:sz="6" w:space="0" w:color="000000"/>
          <w:bottom w:val="single" w:sz="12" w:space="0" w:color="000000"/>
          <w:tl2br w:val="none" w:sz="0" w:space="0" w:color="auto"/>
          <w:tr2bl w:val="none" w:sz="0" w:space="0" w:color="auto"/>
        </w:tcBorders>
      </w:tcPr>
    </w:tblStylePr>
    <w:tblStylePr w:type="lastRow">
      <w:rPr>
        <w:b/>
        <w:sz w:val="20"/>
      </w:rPr>
      <w:tblPr/>
      <w:tcPr>
        <w:tcBorders>
          <w:top w:val="single" w:sz="12" w:space="0" w:color="000000"/>
          <w:tl2br w:val="none" w:sz="0" w:space="0" w:color="auto"/>
          <w:tr2bl w:val="none" w:sz="0" w:space="0" w:color="auto"/>
        </w:tcBorders>
        <w:shd w:val="pct25" w:color="800080" w:fill="FFFFFF"/>
      </w:tcPr>
    </w:tblStylePr>
    <w:tblStylePr w:type="firstCol">
      <w:rPr>
        <w:b/>
        <w:sz w:val="20"/>
      </w:rPr>
      <w:tblPr/>
      <w:tcPr>
        <w:tcBorders>
          <w:right w:val="single" w:sz="12" w:space="0" w:color="000000"/>
          <w:tl2br w:val="none" w:sz="0" w:space="0" w:color="auto"/>
          <w:tr2bl w:val="none" w:sz="0" w:space="0" w:color="auto"/>
        </w:tcBorders>
      </w:tcPr>
    </w:tblStylePr>
    <w:tblStylePr w:type="lastCol">
      <w:rPr>
        <w:b/>
        <w:sz w:val="20"/>
      </w:rPr>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pPr>
      <w:spacing w:line="264" w:lineRule="auto"/>
    </w:pPr>
    <w:tblPr>
      <w:tblBorders>
        <w:left w:val="single" w:sz="6" w:space="0" w:color="000000"/>
        <w:right w:val="single" w:sz="6" w:space="0" w:color="000000"/>
      </w:tblBorders>
    </w:tblPr>
    <w:tblStylePr w:type="firstRow">
      <w:rPr>
        <w:b/>
      </w:rPr>
      <w:tblPr/>
      <w:tcPr>
        <w:tcBorders>
          <w:bottom w:val="single" w:sz="12" w:space="0" w:color="000000"/>
          <w:tl2br w:val="none" w:sz="0" w:space="0" w:color="auto"/>
          <w:tr2bl w:val="none" w:sz="0" w:space="0" w:color="auto"/>
        </w:tcBorders>
      </w:tcPr>
    </w:tblStylePr>
    <w:tblStylePr w:type="lastRow">
      <w:rPr>
        <w:b/>
        <w:sz w:val="20"/>
      </w:rPr>
      <w:tblPr/>
      <w:tcPr>
        <w:tcBorders>
          <w:top w:val="single" w:sz="12" w:space="0" w:color="000000"/>
          <w:tl2br w:val="none" w:sz="0" w:space="0" w:color="auto"/>
          <w:tr2bl w:val="none" w:sz="0" w:space="0" w:color="auto"/>
        </w:tcBorders>
      </w:tcPr>
    </w:tblStylePr>
    <w:tblStylePr w:type="firstCol">
      <w:rPr>
        <w:b/>
        <w:sz w:val="20"/>
      </w:rPr>
      <w:tblPr/>
      <w:tcPr>
        <w:tcBorders>
          <w:right w:val="single" w:sz="12" w:space="0" w:color="000000"/>
          <w:tl2br w:val="none" w:sz="0" w:space="0" w:color="auto"/>
          <w:tr2bl w:val="none" w:sz="0" w:space="0" w:color="auto"/>
        </w:tcBorders>
        <w:shd w:val="pct25" w:color="008000" w:fill="FFFFFF"/>
      </w:tcPr>
    </w:tblStylePr>
    <w:tblStylePr w:type="lastCol">
      <w:rPr>
        <w:b/>
        <w:sz w:val="20"/>
      </w:rPr>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b/>
        <w:color w:val="auto"/>
      </w:rPr>
      <w:tblPr/>
      <w:tcPr>
        <w:tcBorders>
          <w:tl2br w:val="none" w:sz="0" w:space="0" w:color="auto"/>
          <w:tr2bl w:val="none" w:sz="0" w:space="0" w:color="auto"/>
        </w:tcBorders>
      </w:tcPr>
    </w:tblStylePr>
    <w:tblStylePr w:type="lastRow">
      <w:rPr>
        <w:b/>
        <w:sz w:val="20"/>
      </w:rPr>
    </w:tblStylePr>
    <w:tblStylePr w:type="firstCol">
      <w:rPr>
        <w:b/>
        <w:sz w:val="20"/>
      </w:rPr>
    </w:tblStylePr>
    <w:tblStylePr w:type="lastCol">
      <w:rPr>
        <w:b/>
        <w:sz w:val="20"/>
      </w:rPr>
    </w:tblStylePr>
  </w:style>
  <w:style w:type="table" w:styleId="TableWeb2">
    <w:name w:val="Table Web 2"/>
    <w:basedOn w:val="TableNormal"/>
    <w:semiHidden/>
    <w:unhideWhenUsed/>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b/>
        <w:color w:val="auto"/>
      </w:rPr>
      <w:tblPr/>
      <w:tcPr>
        <w:tcBorders>
          <w:tl2br w:val="none" w:sz="0" w:space="0" w:color="auto"/>
          <w:tr2bl w:val="none" w:sz="0" w:space="0" w:color="auto"/>
        </w:tcBorders>
      </w:tcPr>
    </w:tblStylePr>
    <w:tblStylePr w:type="lastRow">
      <w:rPr>
        <w:b/>
        <w:sz w:val="20"/>
      </w:rPr>
    </w:tblStylePr>
    <w:tblStylePr w:type="firstCol">
      <w:rPr>
        <w:b/>
        <w:sz w:val="20"/>
      </w:rPr>
    </w:tblStylePr>
    <w:tblStylePr w:type="lastCol">
      <w:rPr>
        <w:b/>
        <w:sz w:val="20"/>
      </w:rPr>
    </w:tblStylePr>
  </w:style>
  <w:style w:type="table" w:styleId="TableWeb3">
    <w:name w:val="Table Web 3"/>
    <w:basedOn w:val="TableNormal"/>
    <w:semiHidden/>
    <w:unhideWhenUsed/>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b/>
        <w:color w:val="auto"/>
      </w:rPr>
      <w:tblPr/>
      <w:tcPr>
        <w:tcBorders>
          <w:tl2br w:val="none" w:sz="0" w:space="0" w:color="auto"/>
          <w:tr2bl w:val="none" w:sz="0" w:space="0" w:color="auto"/>
        </w:tcBorders>
      </w:tcPr>
    </w:tblStylePr>
    <w:tblStylePr w:type="lastRow">
      <w:rPr>
        <w:b/>
        <w:sz w:val="20"/>
      </w:rPr>
    </w:tblStylePr>
    <w:tblStylePr w:type="firstCol">
      <w:rPr>
        <w:b/>
        <w:sz w:val="20"/>
      </w:rPr>
    </w:tblStylePr>
    <w:tblStylePr w:type="lastCol">
      <w:rPr>
        <w:b/>
        <w:sz w:val="20"/>
      </w:rPr>
    </w:tblStylePr>
  </w:style>
  <w:style w:type="table" w:styleId="TableList1">
    <w:name w:val="Table List 1"/>
    <w:basedOn w:val="TableNormal"/>
    <w:semiHidden/>
    <w:unhideWhenUsed/>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b/>
        <w:sz w:val="20"/>
      </w:rPr>
      <w:tblPr/>
      <w:tcPr>
        <w:tcBorders>
          <w:top w:val="single" w:sz="6" w:space="0" w:color="000000"/>
          <w:tl2br w:val="none" w:sz="0" w:space="0" w:color="auto"/>
          <w:tr2bl w:val="none" w:sz="0" w:space="0" w:color="auto"/>
        </w:tcBorders>
      </w:tcPr>
    </w:tblStylePr>
    <w:tblStylePr w:type="firstCol">
      <w:rPr>
        <w:b/>
        <w:sz w:val="20"/>
      </w:rPr>
    </w:tblStylePr>
    <w:tblStylePr w:type="lastCol">
      <w:rPr>
        <w:b/>
        <w:sz w:val="20"/>
      </w:r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b/>
        <w:sz w:val="20"/>
      </w:rPr>
      <w:tblPr/>
      <w:tcPr>
        <w:tcBorders>
          <w:top w:val="single" w:sz="6" w:space="0" w:color="000000"/>
          <w:tl2br w:val="none" w:sz="0" w:space="0" w:color="auto"/>
          <w:tr2bl w:val="none" w:sz="0" w:space="0" w:color="auto"/>
        </w:tcBorders>
      </w:tcPr>
    </w:tblStylePr>
    <w:tblStylePr w:type="firstCol">
      <w:rPr>
        <w:b/>
        <w:sz w:val="20"/>
      </w:rPr>
    </w:tblStylePr>
    <w:tblStylePr w:type="lastCol">
      <w:rPr>
        <w:b/>
        <w:sz w:val="20"/>
      </w:r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rPr>
        <w:b/>
        <w:sz w:val="20"/>
      </w:rPr>
      <w:tblPr/>
      <w:tcPr>
        <w:tcBorders>
          <w:top w:val="single" w:sz="12" w:space="0" w:color="000000"/>
          <w:tl2br w:val="none" w:sz="0" w:space="0" w:color="auto"/>
          <w:tr2bl w:val="none" w:sz="0" w:space="0" w:color="auto"/>
        </w:tcBorders>
      </w:tcPr>
    </w:tblStylePr>
    <w:tblStylePr w:type="firstCol">
      <w:rPr>
        <w:b/>
        <w:sz w:val="20"/>
      </w:rPr>
    </w:tblStylePr>
    <w:tblStylePr w:type="lastCol">
      <w:rPr>
        <w:b/>
        <w:sz w:val="20"/>
      </w:r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tblStylePr w:type="lastRow">
      <w:rPr>
        <w:b/>
        <w:sz w:val="20"/>
      </w:rPr>
    </w:tblStylePr>
    <w:tblStylePr w:type="firstCol">
      <w:rPr>
        <w:b/>
        <w:sz w:val="20"/>
      </w:rPr>
    </w:tblStylePr>
    <w:tblStylePr w:type="lastCol">
      <w:rPr>
        <w:b/>
        <w:sz w:val="20"/>
      </w:rPr>
    </w:tblStylePr>
  </w:style>
  <w:style w:type="table" w:styleId="TableList5">
    <w:name w:val="Table List 5"/>
    <w:basedOn w:val="TableNormal"/>
    <w:semiHidden/>
    <w:unhideWhenUse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lastRow">
      <w:rPr>
        <w:b/>
        <w:sz w:val="20"/>
      </w:rPr>
    </w:tblStylePr>
    <w:tblStylePr w:type="firstCol">
      <w:rPr>
        <w:b/>
        <w:bCs/>
        <w:sz w:val="20"/>
      </w:rPr>
      <w:tblPr/>
      <w:tcPr>
        <w:tcBorders>
          <w:tl2br w:val="none" w:sz="0" w:space="0" w:color="auto"/>
          <w:tr2bl w:val="none" w:sz="0" w:space="0" w:color="auto"/>
        </w:tcBorders>
      </w:tcPr>
    </w:tblStylePr>
    <w:tblStylePr w:type="lastCol">
      <w:rPr>
        <w:b/>
        <w:sz w:val="20"/>
      </w:rPr>
    </w:tblStylePr>
  </w:style>
  <w:style w:type="table" w:styleId="TableList6">
    <w:name w:val="Table List 6"/>
    <w:basedOn w:val="TableNormal"/>
    <w:semiHidden/>
    <w:unhideWhenUsed/>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lastRow">
      <w:rPr>
        <w:b/>
        <w:sz w:val="20"/>
      </w:rPr>
    </w:tblStylePr>
    <w:tblStylePr w:type="firstCol">
      <w:rPr>
        <w:b/>
        <w:bCs/>
        <w:sz w:val="20"/>
      </w:rPr>
      <w:tblPr/>
      <w:tcPr>
        <w:tcBorders>
          <w:right w:val="single" w:sz="12" w:space="0" w:color="000000"/>
          <w:tl2br w:val="none" w:sz="0" w:space="0" w:color="auto"/>
          <w:tr2bl w:val="none" w:sz="0" w:space="0" w:color="auto"/>
        </w:tcBorders>
      </w:tcPr>
    </w:tblStylePr>
    <w:tblStylePr w:type="lastCol">
      <w:rPr>
        <w:b/>
        <w:sz w:val="20"/>
      </w:r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sz w:val="20"/>
      </w:rPr>
      <w:tblPr/>
      <w:tcPr>
        <w:tcBorders>
          <w:top w:val="single" w:sz="12" w:space="0" w:color="00800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tcPr>
    </w:tblStylePr>
    <w:tblStylePr w:type="lastCol">
      <w:rPr>
        <w:b/>
        <w:bCs/>
        <w:sz w:val="20"/>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sz w:val="20"/>
      </w:rPr>
      <w:tblPr/>
      <w:tcPr>
        <w:tcBorders>
          <w:top w:val="single" w:sz="6" w:space="0" w:color="00000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tcPr>
    </w:tblStylePr>
    <w:tblStylePr w:type="lastCol">
      <w:rPr>
        <w:b/>
        <w:bCs/>
        <w:sz w:val="20"/>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umns1">
    <w:name w:val="Table Columns 1"/>
    <w:basedOn w:val="TableNormal"/>
    <w:semiHidden/>
    <w:unhideWhenUsed/>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sz w:val="20"/>
      </w:rPr>
      <w:tblPr/>
      <w:tcPr>
        <w:tcBorders>
          <w:tl2br w:val="none" w:sz="0" w:space="0" w:color="auto"/>
          <w:tr2bl w:val="none" w:sz="0" w:space="0" w:color="auto"/>
        </w:tcBorders>
      </w:tcPr>
    </w:tblStylePr>
    <w:tblStylePr w:type="firstCol">
      <w:rPr>
        <w:b w:val="0"/>
        <w:bCs w:val="0"/>
        <w:sz w:val="20"/>
      </w:rPr>
      <w:tblPr/>
      <w:tcPr>
        <w:tcBorders>
          <w:tl2br w:val="none" w:sz="0" w:space="0" w:color="auto"/>
          <w:tr2bl w:val="none" w:sz="0" w:space="0" w:color="auto"/>
        </w:tcBorders>
      </w:tcPr>
    </w:tblStylePr>
    <w:tblStylePr w:type="lastCol">
      <w:rPr>
        <w:b w:val="0"/>
        <w:bCs w:val="0"/>
        <w:sz w:val="2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pPr>
      <w:spacing w:line="264" w:lineRule="auto"/>
    </w:pPr>
    <w:rPr>
      <w:b/>
      <w:bCs/>
    </w:rPr>
    <w:tblPr>
      <w:tblStyleColBandSize w:val="1"/>
    </w:tblPr>
    <w:tblStylePr w:type="firstRow">
      <w:rPr>
        <w:b w:val="0"/>
        <w:color w:val="FFFFFF"/>
      </w:rPr>
      <w:tblPr/>
      <w:tcPr>
        <w:tcBorders>
          <w:tl2br w:val="none" w:sz="0" w:space="0" w:color="auto"/>
          <w:tr2bl w:val="none" w:sz="0" w:space="0" w:color="auto"/>
        </w:tcBorders>
        <w:shd w:val="solid" w:color="000080" w:fill="FFFFFF"/>
      </w:tcPr>
    </w:tblStylePr>
    <w:tblStylePr w:type="lastRow">
      <w:rPr>
        <w:b w:val="0"/>
        <w:bCs w:val="0"/>
        <w:sz w:val="20"/>
      </w:rPr>
      <w:tblPr/>
      <w:tcPr>
        <w:tcBorders>
          <w:tl2br w:val="none" w:sz="0" w:space="0" w:color="auto"/>
          <w:tr2bl w:val="none" w:sz="0" w:space="0" w:color="auto"/>
        </w:tcBorders>
      </w:tcPr>
    </w:tblStylePr>
    <w:tblStylePr w:type="firstCol">
      <w:rPr>
        <w:b w:val="0"/>
        <w:bCs w:val="0"/>
        <w:color w:val="000000"/>
        <w:sz w:val="20"/>
      </w:rPr>
      <w:tblPr/>
      <w:tcPr>
        <w:tcBorders>
          <w:tl2br w:val="none" w:sz="0" w:space="0" w:color="auto"/>
          <w:tr2bl w:val="none" w:sz="0" w:space="0" w:color="auto"/>
        </w:tcBorders>
      </w:tcPr>
    </w:tblStylePr>
    <w:tblStylePr w:type="lastCol">
      <w:rPr>
        <w:b w:val="0"/>
        <w:bCs w:val="0"/>
        <w:sz w:val="2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b w:val="0"/>
        <w:color w:val="FFFFFF"/>
      </w:rPr>
      <w:tblPr/>
      <w:tcPr>
        <w:tcBorders>
          <w:tl2br w:val="none" w:sz="0" w:space="0" w:color="auto"/>
          <w:tr2bl w:val="none" w:sz="0" w:space="0" w:color="auto"/>
        </w:tcBorders>
        <w:shd w:val="solid" w:color="000080" w:fill="FFFFFF"/>
      </w:tcPr>
    </w:tblStylePr>
    <w:tblStylePr w:type="lastRow">
      <w:rPr>
        <w:b w:val="0"/>
        <w:bCs w:val="0"/>
        <w:sz w:val="20"/>
      </w:rPr>
      <w:tblPr/>
      <w:tcPr>
        <w:tcBorders>
          <w:top w:val="single" w:sz="6" w:space="0" w:color="000080"/>
          <w:tl2br w:val="none" w:sz="0" w:space="0" w:color="auto"/>
          <w:tr2bl w:val="none" w:sz="0" w:space="0" w:color="auto"/>
        </w:tcBorders>
      </w:tcPr>
    </w:tblStylePr>
    <w:tblStylePr w:type="firstCol">
      <w:rPr>
        <w:b w:val="0"/>
        <w:bCs w:val="0"/>
        <w:sz w:val="20"/>
      </w:rPr>
      <w:tblPr/>
      <w:tcPr>
        <w:tcBorders>
          <w:tl2br w:val="none" w:sz="0" w:space="0" w:color="auto"/>
          <w:tr2bl w:val="none" w:sz="0" w:space="0" w:color="auto"/>
        </w:tcBorders>
      </w:tcPr>
    </w:tblStylePr>
    <w:tblStylePr w:type="lastCol">
      <w:rPr>
        <w:b w:val="0"/>
        <w:bCs w:val="0"/>
        <w:sz w:val="2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pPr>
      <w:spacing w:line="264" w:lineRule="auto"/>
    </w:pPr>
    <w:tblPr>
      <w:tblStyleColBandSize w:val="1"/>
    </w:tblPr>
    <w:tblStylePr w:type="firstRow">
      <w:rPr>
        <w:b/>
        <w:color w:val="FFFFFF"/>
      </w:rPr>
      <w:tblPr/>
      <w:tcPr>
        <w:tcBorders>
          <w:tl2br w:val="none" w:sz="0" w:space="0" w:color="auto"/>
          <w:tr2bl w:val="none" w:sz="0" w:space="0" w:color="auto"/>
        </w:tcBorders>
        <w:shd w:val="solid" w:color="000000" w:fill="FFFFFF"/>
      </w:tcPr>
    </w:tblStylePr>
    <w:tblStylePr w:type="lastRow">
      <w:rPr>
        <w:b/>
        <w:bCs/>
        <w:sz w:val="20"/>
      </w:rPr>
      <w:tblPr/>
      <w:tcPr>
        <w:tcBorders>
          <w:tl2br w:val="none" w:sz="0" w:space="0" w:color="auto"/>
          <w:tr2bl w:val="none" w:sz="0" w:space="0" w:color="auto"/>
        </w:tcBorders>
      </w:tcPr>
    </w:tblStylePr>
    <w:tblStylePr w:type="firstCol">
      <w:rPr>
        <w:b/>
        <w:sz w:val="20"/>
      </w:rPr>
    </w:tblStylePr>
    <w:tblStylePr w:type="lastCol">
      <w:rPr>
        <w:b/>
        <w:bCs/>
        <w:sz w:val="20"/>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sz w:val="20"/>
      </w:rPr>
      <w:tblPr/>
      <w:tcPr>
        <w:tcBorders>
          <w:top w:val="single" w:sz="6" w:space="0" w:color="80808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tcPr>
    </w:tblStylePr>
    <w:tblStylePr w:type="lastCol">
      <w:rPr>
        <w:b/>
        <w:bCs/>
        <w:sz w:val="2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rPr>
    </w:tblStylePr>
    <w:tblStylePr w:type="lastRow">
      <w:rPr>
        <w:b/>
        <w:i/>
        <w:iCs/>
        <w:sz w:val="20"/>
      </w:rPr>
      <w:tblPr/>
      <w:tcPr>
        <w:tcBorders>
          <w:tl2br w:val="none" w:sz="0" w:space="0" w:color="auto"/>
          <w:tr2bl w:val="none" w:sz="0" w:space="0" w:color="auto"/>
        </w:tcBorders>
      </w:tcPr>
    </w:tblStylePr>
    <w:tblStylePr w:type="firstCol">
      <w:rPr>
        <w:b/>
        <w:sz w:val="20"/>
      </w:rPr>
    </w:tblStylePr>
    <w:tblStylePr w:type="lastCol">
      <w:rPr>
        <w:b/>
        <w:i/>
        <w:iCs/>
        <w:sz w:val="20"/>
      </w:rPr>
      <w:tblPr/>
      <w:tcPr>
        <w:tcBorders>
          <w:tl2br w:val="none" w:sz="0" w:space="0" w:color="auto"/>
          <w:tr2bl w:val="none" w:sz="0" w:space="0" w:color="auto"/>
        </w:tcBorders>
      </w:tcPr>
    </w:tblStylePr>
  </w:style>
  <w:style w:type="table" w:styleId="TableGrid2">
    <w:name w:val="Table Grid 2"/>
    <w:basedOn w:val="TableNormal"/>
    <w:semiHidden/>
    <w:unhideWhenUsed/>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sz w:val="20"/>
      </w:rPr>
      <w:tblPr/>
      <w:tcPr>
        <w:tcBorders>
          <w:top w:val="single" w:sz="6" w:space="0" w:color="00000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tcPr>
    </w:tblStylePr>
    <w:tblStylePr w:type="lastCol">
      <w:rPr>
        <w:b/>
        <w:bCs/>
        <w:sz w:val="20"/>
      </w:rPr>
      <w:tblPr/>
      <w:tcPr>
        <w:tcBorders>
          <w:tl2br w:val="none" w:sz="0" w:space="0" w:color="auto"/>
          <w:tr2bl w:val="none" w:sz="0" w:space="0" w:color="auto"/>
        </w:tcBorders>
      </w:tcPr>
    </w:tblStylePr>
  </w:style>
  <w:style w:type="table" w:styleId="TableGrid3">
    <w:name w:val="Table Grid 3"/>
    <w:basedOn w:val="TableNormal"/>
    <w:semiHidden/>
    <w:unhideWhenUsed/>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rPr>
        <w:b/>
      </w:rPr>
      <w:tblPr/>
      <w:tcPr>
        <w:tcBorders>
          <w:bottom w:val="single" w:sz="6" w:space="0" w:color="000000"/>
          <w:tl2br w:val="none" w:sz="0" w:space="0" w:color="auto"/>
          <w:tr2bl w:val="none" w:sz="0" w:space="0" w:color="auto"/>
        </w:tcBorders>
        <w:shd w:val="pct30" w:color="FFFF00" w:fill="FFFFFF"/>
      </w:tcPr>
    </w:tblStylePr>
    <w:tblStylePr w:type="lastRow">
      <w:rPr>
        <w:b/>
        <w:bCs/>
        <w:sz w:val="20"/>
      </w:rPr>
      <w:tblPr/>
      <w:tcPr>
        <w:tcBorders>
          <w:tl2br w:val="none" w:sz="0" w:space="0" w:color="auto"/>
          <w:tr2bl w:val="none" w:sz="0" w:space="0" w:color="auto"/>
        </w:tcBorders>
      </w:tcPr>
    </w:tblStylePr>
    <w:tblStylePr w:type="firstCol">
      <w:rPr>
        <w:b/>
        <w:sz w:val="20"/>
      </w:rPr>
    </w:tblStylePr>
    <w:tblStylePr w:type="lastCol">
      <w:rPr>
        <w:b/>
        <w:bCs/>
        <w:sz w:val="20"/>
      </w:rPr>
      <w:tblPr/>
      <w:tcPr>
        <w:tcBorders>
          <w:tl2br w:val="none" w:sz="0" w:space="0" w:color="auto"/>
          <w:tr2bl w:val="none" w:sz="0" w:space="0" w:color="auto"/>
        </w:tcBorders>
      </w:tcPr>
    </w:tblStylePr>
  </w:style>
  <w:style w:type="table" w:styleId="TableGrid4">
    <w:name w:val="Table Grid 4"/>
    <w:basedOn w:val="TableNormal"/>
    <w:semiHidden/>
    <w:unhideWhenUsed/>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b/>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sz w:val="20"/>
      </w:rPr>
      <w:tblPr/>
      <w:tcPr>
        <w:tcBorders>
          <w:top w:val="single" w:sz="6" w:space="0" w:color="000000"/>
          <w:tl2br w:val="none" w:sz="0" w:space="0" w:color="auto"/>
          <w:tr2bl w:val="none" w:sz="0" w:space="0" w:color="auto"/>
        </w:tcBorders>
        <w:shd w:val="pct30" w:color="FFFF00" w:fill="FFFFFF"/>
      </w:tcPr>
    </w:tblStylePr>
    <w:tblStylePr w:type="firstCol">
      <w:rPr>
        <w:b/>
        <w:sz w:val="20"/>
      </w:rPr>
    </w:tblStylePr>
    <w:tblStylePr w:type="lastCol">
      <w:rPr>
        <w:b/>
        <w:bCs/>
        <w:color w:val="auto"/>
        <w:sz w:val="20"/>
      </w:rPr>
      <w:tblPr/>
      <w:tcPr>
        <w:tcBorders>
          <w:tl2br w:val="none" w:sz="0" w:space="0" w:color="auto"/>
          <w:tr2bl w:val="none" w:sz="0" w:space="0" w:color="auto"/>
        </w:tcBorders>
      </w:tcPr>
    </w:tblStylePr>
  </w:style>
  <w:style w:type="table" w:styleId="TableGrid5">
    <w:name w:val="Table Grid 5"/>
    <w:basedOn w:val="TableNormal"/>
    <w:semiHidden/>
    <w:unhideWhenUsed/>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rPr>
      <w:tblPr/>
      <w:tcPr>
        <w:tcBorders>
          <w:bottom w:val="single" w:sz="12" w:space="0" w:color="000000"/>
          <w:tl2br w:val="none" w:sz="0" w:space="0" w:color="auto"/>
          <w:tr2bl w:val="none" w:sz="0" w:space="0" w:color="auto"/>
        </w:tcBorders>
      </w:tcPr>
    </w:tblStylePr>
    <w:tblStylePr w:type="lastRow">
      <w:rPr>
        <w:b/>
        <w:bCs/>
        <w:sz w:val="20"/>
      </w:rPr>
      <w:tblPr/>
      <w:tcPr>
        <w:tcBorders>
          <w:tl2br w:val="none" w:sz="0" w:space="0" w:color="auto"/>
          <w:tr2bl w:val="none" w:sz="0" w:space="0" w:color="auto"/>
        </w:tcBorders>
      </w:tcPr>
    </w:tblStylePr>
    <w:tblStylePr w:type="firstCol">
      <w:rPr>
        <w:b/>
        <w:sz w:val="20"/>
      </w:rPr>
    </w:tblStylePr>
    <w:tblStylePr w:type="lastCol">
      <w:rPr>
        <w:b/>
        <w:bCs/>
        <w:sz w:val="2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b/>
        <w:color w:val="auto"/>
        <w:sz w:val="20"/>
      </w:rPr>
      <w:tblPr/>
      <w:tcPr>
        <w:tcBorders>
          <w:top w:val="single" w:sz="6" w:space="0" w:color="00000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tcPr>
    </w:tblStylePr>
    <w:tblStylePr w:type="lastCol">
      <w:rPr>
        <w:b/>
        <w:sz w:val="20"/>
      </w:r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sz w:val="20"/>
      </w:rPr>
      <w:tblPr/>
      <w:tcPr>
        <w:tcBorders>
          <w:top w:val="single" w:sz="6" w:space="0" w:color="000000"/>
          <w:tl2br w:val="none" w:sz="0" w:space="0" w:color="auto"/>
          <w:tr2bl w:val="none" w:sz="0" w:space="0" w:color="auto"/>
        </w:tcBorders>
      </w:tcPr>
    </w:tblStylePr>
    <w:tblStylePr w:type="firstCol">
      <w:rPr>
        <w:b w:val="0"/>
        <w:bCs w:val="0"/>
        <w:sz w:val="20"/>
      </w:rPr>
      <w:tblPr/>
      <w:tcPr>
        <w:tcBorders>
          <w:tl2br w:val="none" w:sz="0" w:space="0" w:color="auto"/>
          <w:tr2bl w:val="none" w:sz="0" w:space="0" w:color="auto"/>
        </w:tcBorders>
      </w:tcPr>
    </w:tblStylePr>
    <w:tblStylePr w:type="lastCol">
      <w:rPr>
        <w:b w:val="0"/>
        <w:bCs w:val="0"/>
        <w:sz w:val="2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sz w:val="20"/>
      </w:rPr>
      <w:tblPr/>
      <w:tcPr>
        <w:tcBorders>
          <w:tl2br w:val="none" w:sz="0" w:space="0" w:color="auto"/>
          <w:tr2bl w:val="none" w:sz="0" w:space="0" w:color="auto"/>
        </w:tcBorders>
      </w:tcPr>
    </w:tblStylePr>
    <w:tblStylePr w:type="firstCol">
      <w:rPr>
        <w:b/>
        <w:sz w:val="20"/>
      </w:rPr>
    </w:tblStylePr>
    <w:tblStylePr w:type="lastCol">
      <w:rPr>
        <w:b/>
        <w:bCs/>
        <w:color w:val="auto"/>
        <w:sz w:val="20"/>
      </w:rPr>
      <w:tblPr/>
      <w:tcPr>
        <w:tcBorders>
          <w:tl2br w:val="none" w:sz="0" w:space="0" w:color="auto"/>
          <w:tr2bl w:val="none" w:sz="0" w:space="0" w:color="auto"/>
        </w:tcBorders>
      </w:tcPr>
    </w:tblStylePr>
  </w:style>
  <w:style w:type="paragraph" w:styleId="Signature">
    <w:name w:val="Signature"/>
    <w:basedOn w:val="Normal"/>
    <w:link w:val="SignatureChar"/>
    <w:uiPriority w:val="38"/>
    <w:semiHidden/>
    <w:unhideWhenUsed/>
    <w:rsid w:val="00250886"/>
    <w:pPr>
      <w:spacing w:line="264" w:lineRule="auto"/>
      <w:ind w:left="4253"/>
    </w:pPr>
  </w:style>
  <w:style w:type="character" w:customStyle="1" w:styleId="SignatureChar">
    <w:name w:val="Signature Char"/>
    <w:basedOn w:val="DefaultParagraphFont"/>
    <w:link w:val="Signature"/>
    <w:uiPriority w:val="99"/>
    <w:rsid w:val="00250886"/>
  </w:style>
  <w:style w:type="character" w:styleId="Emphasis">
    <w:name w:val="Emphasis"/>
    <w:basedOn w:val="DefaultParagraphFont"/>
    <w:uiPriority w:val="20"/>
    <w:unhideWhenUsed/>
    <w:qFormat/>
    <w:rPr>
      <w:rFonts w:asciiTheme="minorHAnsi" w:hAnsiTheme="minorHAnsi" w:cstheme="minorHAnsi"/>
      <w:i/>
      <w:iCs/>
    </w:rPr>
  </w:style>
  <w:style w:type="paragraph" w:styleId="NormalIndent">
    <w:name w:val="Normal Indent"/>
    <w:basedOn w:val="Normal"/>
    <w:uiPriority w:val="26"/>
    <w:unhideWhenUsed/>
    <w:rsid w:val="00250886"/>
    <w:pPr>
      <w:ind w:left="397"/>
    </w:pPr>
  </w:style>
  <w:style w:type="table" w:customStyle="1" w:styleId="Kappeaksent">
    <w:name w:val="Kappe aksent"/>
    <w:basedOn w:val="TableNormal"/>
    <w:rsid w:val="00842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34" w:type="dxa"/>
        <w:bottom w:w="34" w:type="dxa"/>
      </w:tblCellMar>
    </w:tblPr>
    <w:tcPr>
      <w:shd w:val="clear" w:color="auto" w:fill="F2F2F2" w:themeFill="background1" w:themeFillShade="F2"/>
    </w:tcPr>
    <w:tblStylePr w:type="firstRow">
      <w:tblPr/>
      <w:tcPr>
        <w:shd w:val="clear" w:color="auto" w:fill="D9D9D9" w:themeFill="background1" w:themeFillShade="D9"/>
      </w:tcPr>
    </w:tblStylePr>
    <w:tblStylePr w:type="lastRow">
      <w:tblPr/>
      <w:tcPr>
        <w:shd w:val="clear" w:color="auto" w:fill="D9D9D9" w:themeFill="background1" w:themeFillShade="D9"/>
      </w:tcPr>
    </w:tblStylePr>
    <w:tblStylePr w:type="firstCol">
      <w:tblPr/>
      <w:tcPr>
        <w:shd w:val="clear" w:color="auto" w:fill="D9D9D9" w:themeFill="background1" w:themeFillShade="D9"/>
      </w:tcPr>
    </w:tblStylePr>
    <w:tblStylePr w:type="lastCol">
      <w:tblPr/>
      <w:tcPr>
        <w:shd w:val="clear" w:color="auto" w:fill="D9D9D9" w:themeFill="background1" w:themeFillShade="D9"/>
      </w:tcPr>
    </w:tblStylePr>
    <w:tblStylePr w:type="band2Vert">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EAEAEA"/>
      </w:tcPr>
    </w:tblStylePr>
    <w:tblStylePr w:type="band2Horz">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6" w:space="0" w:color="FFFFFF" w:themeColor="background1"/>
          <w:insideV w:val="single" w:sz="6" w:space="0" w:color="FFFFFF" w:themeColor="background1"/>
          <w:tl2br w:val="nil"/>
          <w:tr2bl w:val="nil"/>
        </w:tcBorders>
        <w:shd w:val="clear" w:color="auto" w:fill="EAEAEA"/>
      </w:tcPr>
    </w:tblStylePr>
  </w:style>
  <w:style w:type="paragraph" w:styleId="BodyTextIndent">
    <w:name w:val="Body Text Indent"/>
    <w:basedOn w:val="Normal"/>
    <w:link w:val="BodyTextIndentChar"/>
    <w:uiPriority w:val="20"/>
    <w:semiHidden/>
    <w:unhideWhenUsed/>
    <w:rsid w:val="0057145E"/>
    <w:pPr>
      <w:spacing w:after="120"/>
      <w:ind w:left="283"/>
    </w:pPr>
  </w:style>
  <w:style w:type="paragraph" w:styleId="Bibliography">
    <w:name w:val="Bibliography"/>
    <w:basedOn w:val="Normal"/>
    <w:next w:val="Normal"/>
    <w:uiPriority w:val="54"/>
    <w:semiHidden/>
    <w:unhideWhenUsed/>
  </w:style>
  <w:style w:type="character" w:customStyle="1" w:styleId="BodyTextIndentChar">
    <w:name w:val="Body Text Indent Char"/>
    <w:basedOn w:val="DefaultParagraphFont"/>
    <w:link w:val="BodyTextIndent"/>
    <w:uiPriority w:val="99"/>
    <w:rsid w:val="0057145E"/>
  </w:style>
  <w:style w:type="paragraph" w:styleId="BodyTextIndent2">
    <w:name w:val="Body Text Indent 2"/>
    <w:basedOn w:val="Normal"/>
    <w:link w:val="BodyTextIndent2Char"/>
    <w:uiPriority w:val="20"/>
    <w:semiHidden/>
    <w:unhideWhenUsed/>
    <w:rsid w:val="0057145E"/>
    <w:pPr>
      <w:spacing w:after="120"/>
      <w:ind w:left="283"/>
    </w:pPr>
  </w:style>
  <w:style w:type="character" w:customStyle="1" w:styleId="BodyTextIndent2Char">
    <w:name w:val="Body Text Indent 2 Char"/>
    <w:basedOn w:val="DefaultParagraphFont"/>
    <w:link w:val="BodyTextIndent2"/>
    <w:uiPriority w:val="99"/>
    <w:rsid w:val="0057145E"/>
  </w:style>
  <w:style w:type="paragraph" w:styleId="BodyTextIndent3">
    <w:name w:val="Body Text Indent 3"/>
    <w:basedOn w:val="Normal"/>
    <w:link w:val="BodyTextIndent3Char"/>
    <w:uiPriority w:val="20"/>
    <w:semiHidden/>
    <w:unhideWhenUsed/>
    <w:rsid w:val="0057145E"/>
    <w:pPr>
      <w:spacing w:after="120"/>
      <w:ind w:left="283"/>
    </w:pPr>
    <w:rPr>
      <w:sz w:val="16"/>
      <w:szCs w:val="16"/>
    </w:rPr>
  </w:style>
  <w:style w:type="character" w:customStyle="1" w:styleId="BodyTextIndent3Char">
    <w:name w:val="Body Text Indent 3 Char"/>
    <w:basedOn w:val="DefaultParagraphFont"/>
    <w:link w:val="BodyTextIndent3"/>
    <w:uiPriority w:val="99"/>
    <w:rsid w:val="0057145E"/>
    <w:rPr>
      <w:sz w:val="16"/>
      <w:szCs w:val="16"/>
    </w:rPr>
  </w:style>
  <w:style w:type="paragraph" w:styleId="NoteHeading">
    <w:name w:val="Note Heading"/>
    <w:basedOn w:val="Normal"/>
    <w:next w:val="Normal"/>
    <w:link w:val="NoteHeadingChar"/>
    <w:uiPriority w:val="38"/>
    <w:semiHidden/>
    <w:unhideWhenUsed/>
    <w:rsid w:val="0057145E"/>
    <w:pPr>
      <w:spacing w:line="240" w:lineRule="auto"/>
    </w:pPr>
  </w:style>
  <w:style w:type="character" w:customStyle="1" w:styleId="NoteHeadingChar">
    <w:name w:val="Note Heading Char"/>
    <w:basedOn w:val="DefaultParagraphFont"/>
    <w:link w:val="NoteHeading"/>
    <w:uiPriority w:val="99"/>
    <w:rsid w:val="0057145E"/>
  </w:style>
  <w:style w:type="paragraph" w:styleId="ListNumber">
    <w:name w:val="List Number"/>
    <w:basedOn w:val="Normal"/>
    <w:uiPriority w:val="41"/>
    <w:semiHidden/>
    <w:unhideWhenUsed/>
    <w:rsid w:val="009818D9"/>
    <w:pPr>
      <w:numPr>
        <w:numId w:val="11"/>
      </w:numPr>
      <w:contextualSpacing/>
    </w:pPr>
  </w:style>
  <w:style w:type="paragraph" w:styleId="ListBullet">
    <w:name w:val="List Bullet"/>
    <w:basedOn w:val="Normal"/>
    <w:uiPriority w:val="42"/>
    <w:semiHidden/>
    <w:unhideWhenUsed/>
    <w:rsid w:val="00BB782F"/>
    <w:pPr>
      <w:numPr>
        <w:numId w:val="6"/>
      </w:numPr>
      <w:contextualSpacing/>
    </w:pPr>
  </w:style>
  <w:style w:type="paragraph" w:styleId="ListNumber3">
    <w:name w:val="List Number 3"/>
    <w:basedOn w:val="Normal"/>
    <w:uiPriority w:val="41"/>
    <w:semiHidden/>
    <w:unhideWhenUsed/>
    <w:rsid w:val="005D09CE"/>
    <w:pPr>
      <w:numPr>
        <w:numId w:val="13"/>
      </w:numPr>
      <w:contextualSpacing/>
    </w:pPr>
  </w:style>
  <w:style w:type="paragraph" w:styleId="Closing">
    <w:name w:val="Closing"/>
    <w:basedOn w:val="Normal"/>
    <w:link w:val="ClosingChar"/>
    <w:uiPriority w:val="38"/>
    <w:semiHidden/>
    <w:unhideWhenUsed/>
    <w:rsid w:val="005D62C9"/>
    <w:pPr>
      <w:ind w:left="4253"/>
    </w:pPr>
  </w:style>
  <w:style w:type="character" w:customStyle="1" w:styleId="ClosingChar">
    <w:name w:val="Closing Char"/>
    <w:basedOn w:val="DefaultParagraphFont"/>
    <w:link w:val="Closing"/>
    <w:uiPriority w:val="99"/>
    <w:rsid w:val="005D62C9"/>
  </w:style>
  <w:style w:type="paragraph" w:styleId="Index4">
    <w:name w:val="index 4"/>
    <w:basedOn w:val="Normal"/>
    <w:next w:val="Normal"/>
    <w:autoRedefine/>
    <w:uiPriority w:val="75"/>
    <w:semiHidden/>
    <w:unhideWhenUsed/>
    <w:pPr>
      <w:ind w:left="840" w:hanging="210"/>
    </w:pPr>
  </w:style>
  <w:style w:type="paragraph" w:styleId="Index5">
    <w:name w:val="index 5"/>
    <w:basedOn w:val="Normal"/>
    <w:next w:val="Normal"/>
    <w:autoRedefine/>
    <w:uiPriority w:val="75"/>
    <w:semiHidden/>
    <w:unhideWhenUsed/>
    <w:pPr>
      <w:ind w:left="1050" w:hanging="210"/>
    </w:pPr>
  </w:style>
  <w:style w:type="paragraph" w:styleId="Index6">
    <w:name w:val="index 6"/>
    <w:basedOn w:val="Normal"/>
    <w:next w:val="Normal"/>
    <w:autoRedefine/>
    <w:uiPriority w:val="75"/>
    <w:semiHidden/>
    <w:unhideWhenUsed/>
    <w:pPr>
      <w:ind w:left="1260" w:hanging="210"/>
    </w:pPr>
  </w:style>
  <w:style w:type="paragraph" w:styleId="Index7">
    <w:name w:val="index 7"/>
    <w:basedOn w:val="Normal"/>
    <w:next w:val="Normal"/>
    <w:autoRedefine/>
    <w:uiPriority w:val="75"/>
    <w:semiHidden/>
    <w:unhideWhenUsed/>
    <w:pPr>
      <w:ind w:left="1470" w:hanging="210"/>
    </w:pPr>
  </w:style>
  <w:style w:type="paragraph" w:styleId="Index8">
    <w:name w:val="index 8"/>
    <w:basedOn w:val="Normal"/>
    <w:next w:val="Normal"/>
    <w:autoRedefine/>
    <w:uiPriority w:val="75"/>
    <w:semiHidden/>
    <w:unhideWhenUsed/>
    <w:pPr>
      <w:ind w:left="1680" w:hanging="210"/>
    </w:pPr>
  </w:style>
  <w:style w:type="paragraph" w:styleId="Index9">
    <w:name w:val="index 9"/>
    <w:basedOn w:val="Normal"/>
    <w:next w:val="Normal"/>
    <w:autoRedefine/>
    <w:uiPriority w:val="75"/>
    <w:semiHidden/>
    <w:unhideWhenUsed/>
    <w:pPr>
      <w:ind w:left="1890" w:hanging="210"/>
    </w:pPr>
  </w:style>
  <w:style w:type="paragraph" w:styleId="NoSpacing">
    <w:name w:val="No Spacing"/>
    <w:uiPriority w:val="24"/>
    <w:semiHidden/>
    <w:unhideWhenUsed/>
    <w:rsid w:val="00EE0B72"/>
    <w:pPr>
      <w:spacing w:line="264" w:lineRule="auto"/>
    </w:pPr>
    <w:rPr>
      <w:rFonts w:asciiTheme="minorHAnsi" w:hAnsiTheme="minorHAnsi" w:cstheme="minorHAnsi"/>
      <w:lang w:val="en-GB"/>
    </w:rPr>
  </w:style>
  <w:style w:type="paragraph" w:styleId="TOC4">
    <w:name w:val="toc 4"/>
    <w:next w:val="Normal"/>
    <w:uiPriority w:val="39"/>
    <w:unhideWhenUsed/>
    <w:rsid w:val="00F161CD"/>
    <w:pPr>
      <w:spacing w:line="312" w:lineRule="auto"/>
      <w:ind w:left="600"/>
    </w:pPr>
    <w:rPr>
      <w:rFonts w:asciiTheme="minorHAnsi" w:hAnsiTheme="minorHAnsi"/>
      <w:sz w:val="20"/>
      <w:szCs w:val="20"/>
      <w:lang w:val="en-US"/>
    </w:rPr>
  </w:style>
  <w:style w:type="paragraph" w:styleId="TOC5">
    <w:name w:val="toc 5"/>
    <w:next w:val="Normal"/>
    <w:uiPriority w:val="39"/>
    <w:unhideWhenUsed/>
    <w:rsid w:val="00F161CD"/>
    <w:pPr>
      <w:spacing w:line="312" w:lineRule="auto"/>
      <w:ind w:left="800"/>
    </w:pPr>
    <w:rPr>
      <w:rFonts w:asciiTheme="minorHAnsi" w:hAnsiTheme="minorHAnsi"/>
      <w:sz w:val="20"/>
      <w:szCs w:val="20"/>
      <w:lang w:val="en-US"/>
    </w:rPr>
  </w:style>
  <w:style w:type="paragraph" w:styleId="TOC6">
    <w:name w:val="toc 6"/>
    <w:next w:val="Normal"/>
    <w:uiPriority w:val="70"/>
    <w:unhideWhenUsed/>
    <w:rsid w:val="00F161CD"/>
    <w:pPr>
      <w:spacing w:line="312" w:lineRule="auto"/>
      <w:ind w:left="1000"/>
    </w:pPr>
    <w:rPr>
      <w:rFonts w:asciiTheme="minorHAnsi" w:hAnsiTheme="minorHAnsi"/>
      <w:sz w:val="20"/>
      <w:szCs w:val="20"/>
      <w:lang w:val="en-US"/>
    </w:rPr>
  </w:style>
  <w:style w:type="paragraph" w:styleId="TOC8">
    <w:name w:val="toc 8"/>
    <w:next w:val="Normal"/>
    <w:uiPriority w:val="70"/>
    <w:unhideWhenUsed/>
    <w:rsid w:val="00F161CD"/>
    <w:pPr>
      <w:spacing w:line="312" w:lineRule="auto"/>
      <w:ind w:left="1400"/>
    </w:pPr>
    <w:rPr>
      <w:rFonts w:asciiTheme="minorHAnsi" w:hAnsiTheme="minorHAnsi"/>
      <w:sz w:val="20"/>
      <w:szCs w:val="20"/>
      <w:lang w:val="en-US"/>
    </w:rPr>
  </w:style>
  <w:style w:type="paragraph" w:styleId="TOC9">
    <w:name w:val="toc 9"/>
    <w:basedOn w:val="Normal"/>
    <w:next w:val="Normal"/>
    <w:uiPriority w:val="70"/>
    <w:unhideWhenUsed/>
    <w:rsid w:val="0096459C"/>
    <w:pPr>
      <w:spacing w:before="0"/>
      <w:ind w:left="1600"/>
      <w:jc w:val="left"/>
    </w:pPr>
    <w:rPr>
      <w:rFonts w:asciiTheme="minorHAnsi" w:hAnsiTheme="minorHAnsi"/>
      <w:szCs w:val="20"/>
    </w:rPr>
  </w:style>
  <w:style w:type="paragraph" w:styleId="Salutation">
    <w:name w:val="Salutation"/>
    <w:basedOn w:val="Normal"/>
    <w:next w:val="Normal"/>
    <w:link w:val="SalutationChar"/>
    <w:uiPriority w:val="38"/>
    <w:semiHidden/>
    <w:unhideWhenUsed/>
  </w:style>
  <w:style w:type="character" w:customStyle="1" w:styleId="SalutationChar">
    <w:name w:val="Salutation Char"/>
    <w:basedOn w:val="DefaultParagraphFont"/>
    <w:link w:val="Salutation"/>
    <w:uiPriority w:val="99"/>
    <w:rPr>
      <w:rFonts w:asciiTheme="minorHAnsi" w:hAnsiTheme="minorHAnsi" w:cstheme="minorHAnsi"/>
    </w:rPr>
  </w:style>
  <w:style w:type="character" w:styleId="LineNumber">
    <w:name w:val="line number"/>
    <w:basedOn w:val="DefaultParagraphFont"/>
    <w:uiPriority w:val="99"/>
    <w:semiHidden/>
    <w:unhideWhenUsed/>
    <w:rPr>
      <w:rFonts w:asciiTheme="minorHAnsi" w:hAnsiTheme="minorHAnsi" w:cstheme="minorHAnsi"/>
    </w:rPr>
  </w:style>
  <w:style w:type="character" w:styleId="BookTitle">
    <w:name w:val="Book Title"/>
    <w:basedOn w:val="DefaultParagraphFont"/>
    <w:uiPriority w:val="99"/>
    <w:semiHidden/>
    <w:unhideWhenUsed/>
    <w:rsid w:val="008D295E"/>
    <w:rPr>
      <w:rFonts w:asciiTheme="minorHAnsi" w:hAnsiTheme="minorHAnsi" w:cstheme="minorHAnsi"/>
      <w:b w:val="0"/>
      <w:bCs/>
      <w:i/>
      <w:iCs/>
      <w:spacing w:val="5"/>
    </w:rPr>
  </w:style>
  <w:style w:type="table" w:styleId="ListTable1Light">
    <w:name w:val="List Table 1 Light"/>
    <w:basedOn w:val="TableNormal"/>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
    <w:name w:val="List Table 5 Dark"/>
    <w:basedOn w:val="TableNormal"/>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urful">
    <w:name w:val="List Table 7 Colorful"/>
    <w:basedOn w:val="TableNormal"/>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Number2">
    <w:name w:val="List Number 2"/>
    <w:basedOn w:val="Normal"/>
    <w:uiPriority w:val="41"/>
    <w:semiHidden/>
    <w:unhideWhenUsed/>
    <w:rsid w:val="0090390F"/>
    <w:pPr>
      <w:numPr>
        <w:numId w:val="12"/>
      </w:numPr>
      <w:contextualSpacing/>
    </w:pPr>
  </w:style>
  <w:style w:type="character" w:styleId="Hashtag">
    <w:name w:val="Hashtag"/>
    <w:uiPriority w:val="38"/>
    <w:semiHidden/>
    <w:unhideWhenUsed/>
    <w:rsid w:val="0057145E"/>
    <w:rPr>
      <w:rFonts w:asciiTheme="minorHAnsi" w:hAnsiTheme="minorHAnsi" w:cstheme="minorHAnsi"/>
      <w:color w:val="auto"/>
      <w:shd w:val="clear" w:color="auto" w:fill="E1DFDD"/>
    </w:rPr>
  </w:style>
  <w:style w:type="table" w:styleId="ColourfulListAccent1">
    <w:name w:val="Colorful List Accent 1"/>
    <w:basedOn w:val="TableNormal"/>
    <w:unhideWhenUsed/>
    <w:rsid w:val="003D7EDD"/>
    <w:rPr>
      <w:color w:val="000000" w:themeColor="text1"/>
    </w:rPr>
    <w:tblPr>
      <w:tblStyleRowBandSize w:val="1"/>
      <w:tblStyleColBandSize w:val="1"/>
    </w:tblPr>
    <w:tcPr>
      <w:shd w:val="clear" w:color="auto" w:fill="EFEFF5" w:themeFill="accent1" w:themeFillTint="19"/>
    </w:tcPr>
    <w:tblStylePr w:type="firstRow">
      <w:rPr>
        <w:b/>
        <w:bCs/>
        <w:color w:val="FFFFFF" w:themeColor="background1"/>
      </w:rPr>
      <w:tblPr/>
      <w:tcPr>
        <w:tcBorders>
          <w:bottom w:val="single" w:sz="12" w:space="0" w:color="FFFFFF" w:themeColor="background1"/>
        </w:tcBorders>
        <w:shd w:val="clear" w:color="auto" w:fill="648869" w:themeFill="accent2" w:themeFillShade="CC"/>
      </w:tcPr>
    </w:tblStylePr>
    <w:tblStylePr w:type="lastRow">
      <w:rPr>
        <w:b/>
        <w:bCs/>
        <w:color w:val="64886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7E7" w:themeFill="accent1" w:themeFillTint="3F"/>
      </w:tcPr>
    </w:tblStylePr>
    <w:tblStylePr w:type="band1Horz">
      <w:tblPr/>
      <w:tcPr>
        <w:shd w:val="clear" w:color="auto" w:fill="E0DFEB" w:themeFill="accent1" w:themeFillTint="33"/>
      </w:tcPr>
    </w:tblStylePr>
  </w:style>
  <w:style w:type="table" w:styleId="ColourfulListAccent2">
    <w:name w:val="Colorful List Accent 2"/>
    <w:basedOn w:val="TableNormal"/>
    <w:unhideWhenUsed/>
    <w:rsid w:val="003D7EDD"/>
    <w:rPr>
      <w:color w:val="000000" w:themeColor="text1"/>
    </w:rPr>
    <w:tblPr>
      <w:tblStyleRowBandSize w:val="1"/>
      <w:tblStyleColBandSize w:val="1"/>
    </w:tblPr>
    <w:tcPr>
      <w:shd w:val="clear" w:color="auto" w:fill="F2F6F3" w:themeFill="accent2" w:themeFillTint="19"/>
    </w:tcPr>
    <w:tblStylePr w:type="firstRow">
      <w:rPr>
        <w:b/>
        <w:bCs/>
        <w:color w:val="FFFFFF" w:themeColor="background1"/>
      </w:rPr>
      <w:tblPr/>
      <w:tcPr>
        <w:tcBorders>
          <w:bottom w:val="single" w:sz="12" w:space="0" w:color="FFFFFF" w:themeColor="background1"/>
        </w:tcBorders>
        <w:shd w:val="clear" w:color="auto" w:fill="648869" w:themeFill="accent2" w:themeFillShade="CC"/>
      </w:tcPr>
    </w:tblStylePr>
    <w:tblStylePr w:type="lastRow">
      <w:rPr>
        <w:b/>
        <w:bCs/>
        <w:color w:val="64886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8E1" w:themeFill="accent2" w:themeFillTint="3F"/>
      </w:tcPr>
    </w:tblStylePr>
    <w:tblStylePr w:type="band1Horz">
      <w:tblPr/>
      <w:tcPr>
        <w:shd w:val="clear" w:color="auto" w:fill="E6ECE7" w:themeFill="accent2" w:themeFillTint="33"/>
      </w:tcPr>
    </w:tblStylePr>
  </w:style>
  <w:style w:type="table" w:styleId="ColourfulListAccent3">
    <w:name w:val="Colorful List Accent 3"/>
    <w:basedOn w:val="TableNormal"/>
    <w:unhideWhenUsed/>
    <w:rsid w:val="003D7EDD"/>
    <w:rPr>
      <w:color w:val="000000" w:themeColor="text1"/>
    </w:rPr>
    <w:tblPr>
      <w:tblStyleRowBandSize w:val="1"/>
      <w:tblStyleColBandSize w:val="1"/>
    </w:tblPr>
    <w:tcPr>
      <w:shd w:val="clear" w:color="auto" w:fill="FAFAF0" w:themeFill="accent3" w:themeFillTint="19"/>
    </w:tcPr>
    <w:tblStylePr w:type="firstRow">
      <w:rPr>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3DB" w:themeFill="accent3" w:themeFillTint="3F"/>
      </w:tcPr>
    </w:tblStylePr>
    <w:tblStylePr w:type="band1Horz">
      <w:tblPr/>
      <w:tcPr>
        <w:shd w:val="clear" w:color="auto" w:fill="F5F5E2" w:themeFill="accent3" w:themeFillTint="33"/>
      </w:tcPr>
    </w:tblStylePr>
  </w:style>
  <w:style w:type="table" w:styleId="ColourfulListAccent4">
    <w:name w:val="Colorful List Accent 4"/>
    <w:basedOn w:val="TableNormal"/>
    <w:unhideWhenUsed/>
    <w:rsid w:val="003D7EDD"/>
    <w:rPr>
      <w:color w:val="000000" w:themeColor="text1"/>
    </w:rPr>
    <w:tblPr>
      <w:tblStyleRowBandSize w:val="1"/>
      <w:tblStyleColBandSize w:val="1"/>
    </w:tblPr>
    <w:tcPr>
      <w:shd w:val="clear" w:color="auto" w:fill="ECECEC" w:themeFill="accent4" w:themeFillTint="19"/>
    </w:tcPr>
    <w:tblStylePr w:type="firstRow">
      <w:rPr>
        <w:b/>
        <w:bCs/>
        <w:color w:val="FFFFFF" w:themeColor="background1"/>
      </w:rPr>
      <w:tblPr/>
      <w:tcPr>
        <w:tcBorders>
          <w:bottom w:val="single" w:sz="12" w:space="0" w:color="FFFFFF" w:themeColor="background1"/>
        </w:tcBorders>
        <w:shd w:val="clear" w:color="auto" w:fill="C1C13E" w:themeFill="accent3" w:themeFillShade="CC"/>
      </w:tcPr>
    </w:tblStylePr>
    <w:tblStylePr w:type="lastRow">
      <w:rPr>
        <w:b/>
        <w:bCs/>
        <w:color w:val="C1C13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urfulListAccent5">
    <w:name w:val="Colorful List Accent 5"/>
    <w:basedOn w:val="TableNormal"/>
    <w:unhideWhenUsed/>
    <w:rsid w:val="003D7EDD"/>
    <w:rPr>
      <w:color w:val="000000" w:themeColor="text1"/>
    </w:rPr>
    <w:tblPr>
      <w:tblStyleRowBandSize w:val="1"/>
      <w:tblStyleColBandSize w:val="1"/>
    </w:tblPr>
    <w:tcPr>
      <w:shd w:val="clear" w:color="auto" w:fill="F2F2F2"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5" w:themeFillTint="3F"/>
      </w:tcPr>
    </w:tblStylePr>
    <w:tblStylePr w:type="band1Horz">
      <w:tblPr/>
      <w:tcPr>
        <w:shd w:val="clear" w:color="auto" w:fill="E5E5E5" w:themeFill="accent5" w:themeFillTint="33"/>
      </w:tcPr>
    </w:tblStylePr>
  </w:style>
  <w:style w:type="table" w:styleId="ColourfulListAccent6">
    <w:name w:val="Colorful List Accent 6"/>
    <w:basedOn w:val="TableNormal"/>
    <w:unhideWhenUsed/>
    <w:rsid w:val="003D7EDD"/>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656565" w:themeFill="accent5" w:themeFillShade="CC"/>
      </w:tcPr>
    </w:tblStylePr>
    <w:tblStylePr w:type="lastRow">
      <w:rPr>
        <w:b/>
        <w:bCs/>
        <w:color w:val="65656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urfulShadingAccent1">
    <w:name w:val="Colorful Shading Accent 1"/>
    <w:basedOn w:val="TableNormal"/>
    <w:unhideWhenUsed/>
    <w:rsid w:val="003D7EDD"/>
    <w:rPr>
      <w:color w:val="000000" w:themeColor="text1"/>
    </w:rPr>
    <w:tblPr>
      <w:tblStyleRowBandSize w:val="1"/>
      <w:tblStyleColBandSize w:val="1"/>
      <w:tblBorders>
        <w:top w:val="single" w:sz="24" w:space="0" w:color="83A488" w:themeColor="accent2"/>
        <w:left w:val="single" w:sz="4" w:space="0" w:color="66609E" w:themeColor="accent1"/>
        <w:bottom w:val="single" w:sz="4" w:space="0" w:color="66609E" w:themeColor="accent1"/>
        <w:right w:val="single" w:sz="4" w:space="0" w:color="66609E" w:themeColor="accent1"/>
        <w:insideH w:val="single" w:sz="4" w:space="0" w:color="FFFFFF" w:themeColor="background1"/>
        <w:insideV w:val="single" w:sz="4" w:space="0" w:color="FFFFFF" w:themeColor="background1"/>
      </w:tblBorders>
    </w:tblPr>
    <w:tcPr>
      <w:shd w:val="clear" w:color="auto" w:fill="EFEFF5" w:themeFill="accent1" w:themeFillTint="19"/>
    </w:tcPr>
    <w:tblStylePr w:type="firstRow">
      <w:rPr>
        <w:b/>
        <w:bCs/>
      </w:rPr>
      <w:tblPr/>
      <w:tcPr>
        <w:tcBorders>
          <w:top w:val="nil"/>
          <w:left w:val="nil"/>
          <w:bottom w:val="single" w:sz="24" w:space="0" w:color="83A48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95E" w:themeFill="accent1" w:themeFillShade="99"/>
      </w:tcPr>
    </w:tblStylePr>
    <w:tblStylePr w:type="firstCol">
      <w:rPr>
        <w:color w:val="FFFFFF" w:themeColor="background1"/>
      </w:rPr>
      <w:tblPr/>
      <w:tcPr>
        <w:tcBorders>
          <w:top w:val="nil"/>
          <w:left w:val="nil"/>
          <w:bottom w:val="nil"/>
          <w:right w:val="nil"/>
          <w:insideH w:val="single" w:sz="4" w:space="0" w:color="3D395E" w:themeColor="accent1" w:themeShade="99"/>
          <w:insideV w:val="nil"/>
        </w:tcBorders>
        <w:shd w:val="clear" w:color="auto" w:fill="3D395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D395E" w:themeFill="accent1" w:themeFillShade="99"/>
      </w:tcPr>
    </w:tblStylePr>
    <w:tblStylePr w:type="band1Vert">
      <w:tblPr/>
      <w:tcPr>
        <w:shd w:val="clear" w:color="auto" w:fill="C1BFD8" w:themeFill="accent1" w:themeFillTint="66"/>
      </w:tcPr>
    </w:tblStylePr>
    <w:tblStylePr w:type="band1Horz">
      <w:tblPr/>
      <w:tcPr>
        <w:shd w:val="clear" w:color="auto" w:fill="B2AFC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nhideWhenUsed/>
    <w:rsid w:val="003D7EDD"/>
    <w:rPr>
      <w:color w:val="000000" w:themeColor="text1"/>
    </w:rPr>
    <w:tblPr>
      <w:tblStyleRowBandSize w:val="1"/>
      <w:tblStyleColBandSize w:val="1"/>
      <w:tblBorders>
        <w:top w:val="single" w:sz="24" w:space="0" w:color="83A488" w:themeColor="accent2"/>
        <w:left w:val="single" w:sz="4" w:space="0" w:color="83A488" w:themeColor="accent2"/>
        <w:bottom w:val="single" w:sz="4" w:space="0" w:color="83A488" w:themeColor="accent2"/>
        <w:right w:val="single" w:sz="4" w:space="0" w:color="83A488" w:themeColor="accent2"/>
        <w:insideH w:val="single" w:sz="4" w:space="0" w:color="FFFFFF" w:themeColor="background1"/>
        <w:insideV w:val="single" w:sz="4" w:space="0" w:color="FFFFFF" w:themeColor="background1"/>
      </w:tblBorders>
    </w:tblPr>
    <w:tcPr>
      <w:shd w:val="clear" w:color="auto" w:fill="F2F6F3" w:themeFill="accent2" w:themeFillTint="19"/>
    </w:tcPr>
    <w:tblStylePr w:type="firstRow">
      <w:rPr>
        <w:b/>
        <w:bCs/>
      </w:rPr>
      <w:tblPr/>
      <w:tcPr>
        <w:tcBorders>
          <w:top w:val="nil"/>
          <w:left w:val="nil"/>
          <w:bottom w:val="single" w:sz="24" w:space="0" w:color="83A48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664F" w:themeFill="accent2" w:themeFillShade="99"/>
      </w:tcPr>
    </w:tblStylePr>
    <w:tblStylePr w:type="firstCol">
      <w:rPr>
        <w:color w:val="FFFFFF" w:themeColor="background1"/>
      </w:rPr>
      <w:tblPr/>
      <w:tcPr>
        <w:tcBorders>
          <w:top w:val="nil"/>
          <w:left w:val="nil"/>
          <w:bottom w:val="nil"/>
          <w:right w:val="nil"/>
          <w:insideH w:val="single" w:sz="4" w:space="0" w:color="4B664F" w:themeColor="accent2" w:themeShade="99"/>
          <w:insideV w:val="nil"/>
        </w:tcBorders>
        <w:shd w:val="clear" w:color="auto" w:fill="4B664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B664F" w:themeFill="accent2" w:themeFillShade="99"/>
      </w:tcPr>
    </w:tblStylePr>
    <w:tblStylePr w:type="band1Vert">
      <w:tblPr/>
      <w:tcPr>
        <w:shd w:val="clear" w:color="auto" w:fill="CDDACF" w:themeFill="accent2" w:themeFillTint="66"/>
      </w:tcPr>
    </w:tblStylePr>
    <w:tblStylePr w:type="band1Horz">
      <w:tblPr/>
      <w:tcPr>
        <w:shd w:val="clear" w:color="auto" w:fill="C1D1C3"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nhideWhenUsed/>
    <w:rsid w:val="003D7EDD"/>
    <w:rPr>
      <w:color w:val="000000" w:themeColor="text1"/>
    </w:rPr>
    <w:tblPr>
      <w:tblStyleRowBandSize w:val="1"/>
      <w:tblStyleColBandSize w:val="1"/>
      <w:tblBorders>
        <w:top w:val="single" w:sz="24" w:space="0" w:color="3F3F3F" w:themeColor="accent4"/>
        <w:left w:val="single" w:sz="4" w:space="0" w:color="D1D16F" w:themeColor="accent3"/>
        <w:bottom w:val="single" w:sz="4" w:space="0" w:color="D1D16F" w:themeColor="accent3"/>
        <w:right w:val="single" w:sz="4" w:space="0" w:color="D1D16F" w:themeColor="accent3"/>
        <w:insideH w:val="single" w:sz="4" w:space="0" w:color="FFFFFF" w:themeColor="background1"/>
        <w:insideV w:val="single" w:sz="4" w:space="0" w:color="FFFFFF" w:themeColor="background1"/>
      </w:tblBorders>
    </w:tblPr>
    <w:tcPr>
      <w:shd w:val="clear" w:color="auto" w:fill="FAFAF0" w:themeFill="accent3" w:themeFillTint="19"/>
    </w:tcPr>
    <w:tblStylePr w:type="firstRow">
      <w:rPr>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912E" w:themeFill="accent3" w:themeFillShade="99"/>
      </w:tcPr>
    </w:tblStylePr>
    <w:tblStylePr w:type="firstCol">
      <w:rPr>
        <w:color w:val="FFFFFF" w:themeColor="background1"/>
      </w:rPr>
      <w:tblPr/>
      <w:tcPr>
        <w:tcBorders>
          <w:top w:val="nil"/>
          <w:left w:val="nil"/>
          <w:bottom w:val="nil"/>
          <w:right w:val="nil"/>
          <w:insideH w:val="single" w:sz="4" w:space="0" w:color="91912E" w:themeColor="accent3" w:themeShade="99"/>
          <w:insideV w:val="nil"/>
        </w:tcBorders>
        <w:shd w:val="clear" w:color="auto" w:fill="91912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1912E" w:themeFill="accent3" w:themeFillShade="99"/>
      </w:tcPr>
    </w:tblStylePr>
    <w:tblStylePr w:type="band1Vert">
      <w:tblPr/>
      <w:tcPr>
        <w:shd w:val="clear" w:color="auto" w:fill="ECECC5" w:themeFill="accent3" w:themeFillTint="66"/>
      </w:tcPr>
    </w:tblStylePr>
    <w:tblStylePr w:type="band1Horz">
      <w:tblPr/>
      <w:tcPr>
        <w:shd w:val="clear" w:color="auto" w:fill="E8E8B7" w:themeFill="accent3" w:themeFillTint="7F"/>
      </w:tcPr>
    </w:tblStylePr>
  </w:style>
  <w:style w:type="table" w:styleId="ColourfulShadingAccent4">
    <w:name w:val="Colorful Shading Accent 4"/>
    <w:basedOn w:val="TableNormal"/>
    <w:unhideWhenUsed/>
    <w:rsid w:val="003D7EDD"/>
    <w:rPr>
      <w:color w:val="000000" w:themeColor="text1"/>
    </w:rPr>
    <w:tblPr>
      <w:tblStyleRowBandSize w:val="1"/>
      <w:tblStyleColBandSize w:val="1"/>
      <w:tblBorders>
        <w:top w:val="single" w:sz="24" w:space="0" w:color="D1D16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Pr>
    <w:tblStylePr w:type="firstRow">
      <w:rPr>
        <w:b/>
        <w:bCs/>
      </w:rPr>
      <w:tblPr/>
      <w:tcPr>
        <w:tcBorders>
          <w:top w:val="nil"/>
          <w:left w:val="nil"/>
          <w:bottom w:val="single" w:sz="24" w:space="0" w:color="D1D16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nhideWhenUsed/>
    <w:rsid w:val="003D7EDD"/>
    <w:rPr>
      <w:color w:val="000000" w:themeColor="text1"/>
    </w:rPr>
    <w:tblPr>
      <w:tblStyleRowBandSize w:val="1"/>
      <w:tblStyleColBandSize w:val="1"/>
      <w:tblBorders>
        <w:top w:val="single" w:sz="24" w:space="0" w:color="BFBFBF" w:themeColor="accent6"/>
        <w:left w:val="single" w:sz="4" w:space="0" w:color="7F7F7F" w:themeColor="accent5"/>
        <w:bottom w:val="single" w:sz="4" w:space="0" w:color="7F7F7F" w:themeColor="accent5"/>
        <w:right w:val="single" w:sz="4" w:space="0" w:color="7F7F7F" w:themeColor="accent5"/>
        <w:insideH w:val="single" w:sz="4" w:space="0" w:color="FFFFFF" w:themeColor="background1"/>
        <w:insideV w:val="single" w:sz="4" w:space="0" w:color="FFFFFF" w:themeColor="background1"/>
      </w:tblBorders>
    </w:tblPr>
    <w:tcPr>
      <w:shd w:val="clear" w:color="auto" w:fill="F2F2F2"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5" w:themeFillShade="99"/>
      </w:tcPr>
    </w:tblStylePr>
    <w:tblStylePr w:type="firstCol">
      <w:rPr>
        <w:color w:val="FFFFFF" w:themeColor="background1"/>
      </w:rPr>
      <w:tblPr/>
      <w:tcPr>
        <w:tcBorders>
          <w:top w:val="nil"/>
          <w:left w:val="nil"/>
          <w:bottom w:val="nil"/>
          <w:right w:val="nil"/>
          <w:insideH w:val="single" w:sz="4" w:space="0" w:color="4C4C4C" w:themeColor="accent5" w:themeShade="99"/>
          <w:insideV w:val="nil"/>
        </w:tcBorders>
        <w:shd w:val="clear" w:color="auto" w:fill="4C4C4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5" w:themeFillShade="99"/>
      </w:tcPr>
    </w:tblStylePr>
    <w:tblStylePr w:type="band1Vert">
      <w:tblPr/>
      <w:tcPr>
        <w:shd w:val="clear" w:color="auto" w:fill="CBCBCB" w:themeFill="accent5" w:themeFillTint="66"/>
      </w:tcPr>
    </w:tblStylePr>
    <w:tblStylePr w:type="band1Horz">
      <w:tblPr/>
      <w:tcPr>
        <w:shd w:val="clear" w:color="auto" w:fill="BFBFB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nhideWhenUsed/>
    <w:rsid w:val="003D7EDD"/>
    <w:rPr>
      <w:color w:val="000000" w:themeColor="text1"/>
    </w:rPr>
    <w:tblPr>
      <w:tblStyleRowBandSize w:val="1"/>
      <w:tblStyleColBandSize w:val="1"/>
      <w:tblBorders>
        <w:top w:val="single" w:sz="24" w:space="0" w:color="7F7F7F"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7F7F7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ColourfulGridAccent1">
    <w:name w:val="Colorful Grid Accent 1"/>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E0DFEB" w:themeFill="accent1" w:themeFillTint="33"/>
    </w:tcPr>
    <w:tblStylePr w:type="firstRow">
      <w:rPr>
        <w:b/>
        <w:bCs/>
      </w:rPr>
      <w:tblPr/>
      <w:tcPr>
        <w:shd w:val="clear" w:color="auto" w:fill="C1BFD8" w:themeFill="accent1" w:themeFillTint="66"/>
      </w:tcPr>
    </w:tblStylePr>
    <w:tblStylePr w:type="lastRow">
      <w:rPr>
        <w:b/>
        <w:bCs/>
        <w:color w:val="000000" w:themeColor="text1"/>
      </w:rPr>
      <w:tblPr/>
      <w:tcPr>
        <w:shd w:val="clear" w:color="auto" w:fill="C1BFD8" w:themeFill="accent1" w:themeFillTint="66"/>
      </w:tcPr>
    </w:tblStylePr>
    <w:tblStylePr w:type="firstCol">
      <w:rPr>
        <w:color w:val="FFFFFF" w:themeColor="background1"/>
      </w:rPr>
      <w:tblPr/>
      <w:tcPr>
        <w:shd w:val="clear" w:color="auto" w:fill="4C4876" w:themeFill="accent1" w:themeFillShade="BF"/>
      </w:tcPr>
    </w:tblStylePr>
    <w:tblStylePr w:type="lastCol">
      <w:rPr>
        <w:color w:val="FFFFFF" w:themeColor="background1"/>
      </w:rPr>
      <w:tblPr/>
      <w:tcPr>
        <w:shd w:val="clear" w:color="auto" w:fill="4C4876" w:themeFill="accent1" w:themeFillShade="BF"/>
      </w:tcPr>
    </w:tblStylePr>
    <w:tblStylePr w:type="band1Vert">
      <w:tblPr/>
      <w:tcPr>
        <w:shd w:val="clear" w:color="auto" w:fill="B2AFCE" w:themeFill="accent1" w:themeFillTint="7F"/>
      </w:tcPr>
    </w:tblStylePr>
    <w:tblStylePr w:type="band1Horz">
      <w:tblPr/>
      <w:tcPr>
        <w:shd w:val="clear" w:color="auto" w:fill="B2AFCE" w:themeFill="accent1" w:themeFillTint="7F"/>
      </w:tcPr>
    </w:tblStylePr>
  </w:style>
  <w:style w:type="table" w:styleId="ColourfulGridAccent2">
    <w:name w:val="Colorful Grid Accent 2"/>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E6ECE7" w:themeFill="accent2" w:themeFillTint="33"/>
    </w:tcPr>
    <w:tblStylePr w:type="firstRow">
      <w:rPr>
        <w:b/>
        <w:bCs/>
      </w:rPr>
      <w:tblPr/>
      <w:tcPr>
        <w:shd w:val="clear" w:color="auto" w:fill="CDDACF" w:themeFill="accent2" w:themeFillTint="66"/>
      </w:tcPr>
    </w:tblStylePr>
    <w:tblStylePr w:type="lastRow">
      <w:rPr>
        <w:b/>
        <w:bCs/>
        <w:color w:val="000000" w:themeColor="text1"/>
      </w:rPr>
      <w:tblPr/>
      <w:tcPr>
        <w:shd w:val="clear" w:color="auto" w:fill="CDDACF" w:themeFill="accent2" w:themeFillTint="66"/>
      </w:tcPr>
    </w:tblStylePr>
    <w:tblStylePr w:type="firstCol">
      <w:rPr>
        <w:color w:val="FFFFFF" w:themeColor="background1"/>
      </w:rPr>
      <w:tblPr/>
      <w:tcPr>
        <w:shd w:val="clear" w:color="auto" w:fill="5D7F62" w:themeFill="accent2" w:themeFillShade="BF"/>
      </w:tcPr>
    </w:tblStylePr>
    <w:tblStylePr w:type="lastCol">
      <w:rPr>
        <w:color w:val="FFFFFF" w:themeColor="background1"/>
      </w:rPr>
      <w:tblPr/>
      <w:tcPr>
        <w:shd w:val="clear" w:color="auto" w:fill="5D7F62" w:themeFill="accent2" w:themeFillShade="BF"/>
      </w:tcPr>
    </w:tblStylePr>
    <w:tblStylePr w:type="band1Vert">
      <w:tblPr/>
      <w:tcPr>
        <w:shd w:val="clear" w:color="auto" w:fill="C1D1C3" w:themeFill="accent2" w:themeFillTint="7F"/>
      </w:tcPr>
    </w:tblStylePr>
    <w:tblStylePr w:type="band1Horz">
      <w:tblPr/>
      <w:tcPr>
        <w:shd w:val="clear" w:color="auto" w:fill="C1D1C3" w:themeFill="accent2" w:themeFillTint="7F"/>
      </w:tcPr>
    </w:tblStylePr>
  </w:style>
  <w:style w:type="table" w:styleId="ColourfulGridAccent3">
    <w:name w:val="Colorful Grid Accent 3"/>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F5F5E2" w:themeFill="accent3" w:themeFillTint="33"/>
    </w:tcPr>
    <w:tblStylePr w:type="firstRow">
      <w:rPr>
        <w:b/>
        <w:bCs/>
      </w:rPr>
      <w:tblPr/>
      <w:tcPr>
        <w:shd w:val="clear" w:color="auto" w:fill="ECECC5" w:themeFill="accent3" w:themeFillTint="66"/>
      </w:tcPr>
    </w:tblStylePr>
    <w:tblStylePr w:type="lastRow">
      <w:rPr>
        <w:b/>
        <w:bCs/>
        <w:color w:val="000000" w:themeColor="text1"/>
      </w:rPr>
      <w:tblPr/>
      <w:tcPr>
        <w:shd w:val="clear" w:color="auto" w:fill="ECECC5" w:themeFill="accent3" w:themeFillTint="66"/>
      </w:tcPr>
    </w:tblStylePr>
    <w:tblStylePr w:type="firstCol">
      <w:rPr>
        <w:color w:val="FFFFFF" w:themeColor="background1"/>
      </w:rPr>
      <w:tblPr/>
      <w:tcPr>
        <w:shd w:val="clear" w:color="auto" w:fill="B5B53A" w:themeFill="accent3" w:themeFillShade="BF"/>
      </w:tcPr>
    </w:tblStylePr>
    <w:tblStylePr w:type="lastCol">
      <w:rPr>
        <w:color w:val="FFFFFF" w:themeColor="background1"/>
      </w:rPr>
      <w:tblPr/>
      <w:tcPr>
        <w:shd w:val="clear" w:color="auto" w:fill="B5B53A" w:themeFill="accent3" w:themeFillShade="BF"/>
      </w:tcPr>
    </w:tblStylePr>
    <w:tblStylePr w:type="band1Vert">
      <w:tblPr/>
      <w:tcPr>
        <w:shd w:val="clear" w:color="auto" w:fill="E8E8B7" w:themeFill="accent3" w:themeFillTint="7F"/>
      </w:tcPr>
    </w:tblStylePr>
    <w:tblStylePr w:type="band1Horz">
      <w:tblPr/>
      <w:tcPr>
        <w:shd w:val="clear" w:color="auto" w:fill="E8E8B7" w:themeFill="accent3" w:themeFillTint="7F"/>
      </w:tcPr>
    </w:tblStylePr>
  </w:style>
  <w:style w:type="table" w:styleId="ColourfulGridAccent4">
    <w:name w:val="Colorful Grid Accent 4"/>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D8D8D8" w:themeFill="accent4" w:themeFillTint="33"/>
    </w:tcPr>
    <w:tblStylePr w:type="firstRow">
      <w:rPr>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urfulGridAccent5">
    <w:name w:val="Colorful Grid Accent 5"/>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E5E5E5" w:themeFill="accent5" w:themeFillTint="33"/>
    </w:tcPr>
    <w:tblStylePr w:type="firstRow">
      <w:rPr>
        <w:b/>
        <w:bCs/>
      </w:rPr>
      <w:tblPr/>
      <w:tcPr>
        <w:shd w:val="clear" w:color="auto" w:fill="CBCBCB" w:themeFill="accent5" w:themeFillTint="66"/>
      </w:tcPr>
    </w:tblStylePr>
    <w:tblStylePr w:type="lastRow">
      <w:rPr>
        <w:b/>
        <w:bCs/>
        <w:color w:val="000000" w:themeColor="text1"/>
      </w:rPr>
      <w:tblPr/>
      <w:tcPr>
        <w:shd w:val="clear" w:color="auto" w:fill="CBCBCB" w:themeFill="accent5" w:themeFillTint="66"/>
      </w:tcPr>
    </w:tblStylePr>
    <w:tblStylePr w:type="firstCol">
      <w:rPr>
        <w:color w:val="FFFFFF" w:themeColor="background1"/>
      </w:rPr>
      <w:tblPr/>
      <w:tcPr>
        <w:shd w:val="clear" w:color="auto" w:fill="5F5F5F" w:themeFill="accent5" w:themeFillShade="BF"/>
      </w:tcPr>
    </w:tblStylePr>
    <w:tblStylePr w:type="lastCol">
      <w:rPr>
        <w:color w:val="FFFFFF" w:themeColor="background1"/>
      </w:rPr>
      <w:tblPr/>
      <w:tcPr>
        <w:shd w:val="clear" w:color="auto" w:fill="5F5F5F" w:themeFill="accent5" w:themeFillShade="BF"/>
      </w:tcPr>
    </w:tblStylePr>
    <w:tblStylePr w:type="band1Vert">
      <w:tblPr/>
      <w:tcPr>
        <w:shd w:val="clear" w:color="auto" w:fill="BFBFBF" w:themeFill="accent5" w:themeFillTint="7F"/>
      </w:tcPr>
    </w:tblStylePr>
    <w:tblStylePr w:type="band1Horz">
      <w:tblPr/>
      <w:tcPr>
        <w:shd w:val="clear" w:color="auto" w:fill="BFBFBF" w:themeFill="accent5" w:themeFillTint="7F"/>
      </w:tcPr>
    </w:tblStylePr>
  </w:style>
  <w:style w:type="table" w:styleId="ColourfulGridAccent6">
    <w:name w:val="Colorful Grid Accent 6"/>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ListTable1Light-Accent1">
    <w:name w:val="List Table 1 Light Accent 1"/>
    <w:basedOn w:val="TableNormal"/>
    <w:rsid w:val="003D7EDD"/>
    <w:tblPr>
      <w:tblStyleRowBandSize w:val="1"/>
      <w:tblStyleColBandSize w:val="1"/>
    </w:tblPr>
    <w:tblStylePr w:type="firstRow">
      <w:rPr>
        <w:b/>
        <w:bCs/>
      </w:rPr>
      <w:tblPr/>
      <w:tcPr>
        <w:tcBorders>
          <w:bottom w:val="single" w:sz="4" w:space="0" w:color="A29FC5" w:themeColor="accent1" w:themeTint="99"/>
        </w:tcBorders>
      </w:tcPr>
    </w:tblStylePr>
    <w:tblStylePr w:type="lastRow">
      <w:rPr>
        <w:b/>
        <w:bCs/>
      </w:rPr>
      <w:tblPr/>
      <w:tcPr>
        <w:tcBorders>
          <w:top w:val="single" w:sz="4" w:space="0" w:color="A29FC5" w:themeColor="accent1" w:themeTint="99"/>
        </w:tcBorders>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ListTable1Light-Accent2">
    <w:name w:val="List Table 1 Light Accent 2"/>
    <w:basedOn w:val="TableNormal"/>
    <w:rsid w:val="003D7EDD"/>
    <w:tblPr>
      <w:tblStyleRowBandSize w:val="1"/>
      <w:tblStyleColBandSize w:val="1"/>
    </w:tblPr>
    <w:tblStylePr w:type="firstRow">
      <w:rPr>
        <w:b/>
        <w:bCs/>
      </w:rPr>
      <w:tblPr/>
      <w:tcPr>
        <w:tcBorders>
          <w:bottom w:val="single" w:sz="4" w:space="0" w:color="B4C8B7" w:themeColor="accent2" w:themeTint="99"/>
        </w:tcBorders>
      </w:tcPr>
    </w:tblStylePr>
    <w:tblStylePr w:type="lastRow">
      <w:rPr>
        <w:b/>
        <w:bCs/>
      </w:rPr>
      <w:tblPr/>
      <w:tcPr>
        <w:tcBorders>
          <w:top w:val="single" w:sz="4" w:space="0" w:color="B4C8B7" w:themeColor="accent2" w:themeTint="99"/>
        </w:tcBorders>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ListTable1Light-Accent3">
    <w:name w:val="List Table 1 Light Accent 3"/>
    <w:basedOn w:val="TableNormal"/>
    <w:rsid w:val="003D7EDD"/>
    <w:tblPr>
      <w:tblStyleRowBandSize w:val="1"/>
      <w:tblStyleColBandSize w:val="1"/>
    </w:tblPr>
    <w:tblStylePr w:type="firstRow">
      <w:rPr>
        <w:b/>
        <w:bCs/>
      </w:rPr>
      <w:tblPr/>
      <w:tcPr>
        <w:tcBorders>
          <w:bottom w:val="single" w:sz="4" w:space="0" w:color="E3E3A8" w:themeColor="accent3" w:themeTint="99"/>
        </w:tcBorders>
      </w:tcPr>
    </w:tblStylePr>
    <w:tblStylePr w:type="lastRow">
      <w:rPr>
        <w:b/>
        <w:bCs/>
      </w:rPr>
      <w:tblPr/>
      <w:tcPr>
        <w:tcBorders>
          <w:top w:val="single" w:sz="4" w:space="0" w:color="E3E3A8" w:themeColor="accent3" w:themeTint="99"/>
        </w:tcBorders>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ListTable1Light-Accent4">
    <w:name w:val="List Table 1 Light Accent 4"/>
    <w:basedOn w:val="TableNormal"/>
    <w:rsid w:val="003D7EDD"/>
    <w:tblPr>
      <w:tblStyleRowBandSize w:val="1"/>
      <w:tblStyleColBandSize w:val="1"/>
    </w:tblPr>
    <w:tblStylePr w:type="firstRow">
      <w:rPr>
        <w:b/>
        <w:bCs/>
      </w:rPr>
      <w:tblPr/>
      <w:tcPr>
        <w:tcBorders>
          <w:bottom w:val="single" w:sz="4" w:space="0" w:color="8B8B8B" w:themeColor="accent4" w:themeTint="99"/>
        </w:tcBorders>
      </w:tcPr>
    </w:tblStylePr>
    <w:tblStylePr w:type="lastRow">
      <w:rPr>
        <w:b/>
        <w:bCs/>
      </w:rPr>
      <w:tblPr/>
      <w:tcPr>
        <w:tcBorders>
          <w:top w:val="single" w:sz="4" w:space="0" w:color="8B8B8B" w:themeColor="accent4" w:themeTint="99"/>
        </w:tcBorders>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ListTable1Light-Accent5">
    <w:name w:val="List Table 1 Light Accent 5"/>
    <w:basedOn w:val="TableNormal"/>
    <w:rsid w:val="003D7EDD"/>
    <w:tblPr>
      <w:tblStyleRowBandSize w:val="1"/>
      <w:tblStyleColBandSize w:val="1"/>
    </w:tblPr>
    <w:tblStylePr w:type="firstRow">
      <w:rPr>
        <w:b/>
        <w:bCs/>
      </w:rPr>
      <w:tblPr/>
      <w:tcPr>
        <w:tcBorders>
          <w:bottom w:val="single" w:sz="4" w:space="0" w:color="B2B2B2" w:themeColor="accent5" w:themeTint="99"/>
        </w:tcBorders>
      </w:tcPr>
    </w:tblStylePr>
    <w:tblStylePr w:type="lastRow">
      <w:rPr>
        <w:b/>
        <w:bCs/>
      </w:rPr>
      <w:tblPr/>
      <w:tcPr>
        <w:tcBorders>
          <w:top w:val="sing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1Light-Accent6">
    <w:name w:val="List Table 1 Light Accent 6"/>
    <w:basedOn w:val="TableNormal"/>
    <w:rsid w:val="003D7EDD"/>
    <w:tblPr>
      <w:tblStyleRowBandSize w:val="1"/>
      <w:tblStyleColBandSize w:val="1"/>
    </w:tblPr>
    <w:tblStylePr w:type="firstRow">
      <w:rPr>
        <w:b/>
        <w:bCs/>
      </w:rPr>
      <w:tblPr/>
      <w:tcPr>
        <w:tcBorders>
          <w:bottom w:val="single" w:sz="4" w:space="0" w:color="D8D8D8" w:themeColor="accent6" w:themeTint="99"/>
        </w:tcBorders>
      </w:tcPr>
    </w:tblStylePr>
    <w:tblStylePr w:type="lastRow">
      <w:rPr>
        <w:b/>
        <w:bCs/>
      </w:rPr>
      <w:tblPr/>
      <w:tcPr>
        <w:tcBorders>
          <w:top w:val="sing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2-Accent1">
    <w:name w:val="List Table 2 Accent 1"/>
    <w:basedOn w:val="TableNormal"/>
    <w:rsid w:val="003D7EDD"/>
    <w:tblPr>
      <w:tblStyleRowBandSize w:val="1"/>
      <w:tblStyleColBandSize w:val="1"/>
      <w:tblBorders>
        <w:top w:val="single" w:sz="4" w:space="0" w:color="A29FC5" w:themeColor="accent1" w:themeTint="99"/>
        <w:bottom w:val="single" w:sz="4" w:space="0" w:color="A29FC5" w:themeColor="accent1" w:themeTint="99"/>
        <w:insideH w:val="single" w:sz="4" w:space="0" w:color="A29FC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ListTable2-Accent2">
    <w:name w:val="List Table 2 Accent 2"/>
    <w:basedOn w:val="TableNormal"/>
    <w:rsid w:val="003D7EDD"/>
    <w:tblPr>
      <w:tblStyleRowBandSize w:val="1"/>
      <w:tblStyleColBandSize w:val="1"/>
      <w:tblBorders>
        <w:top w:val="single" w:sz="4" w:space="0" w:color="B4C8B7" w:themeColor="accent2" w:themeTint="99"/>
        <w:bottom w:val="single" w:sz="4" w:space="0" w:color="B4C8B7" w:themeColor="accent2" w:themeTint="99"/>
        <w:insideH w:val="single" w:sz="4" w:space="0" w:color="B4C8B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ListTable2-Accent3">
    <w:name w:val="List Table 2 Accent 3"/>
    <w:basedOn w:val="TableNormal"/>
    <w:rsid w:val="003D7EDD"/>
    <w:tblPr>
      <w:tblStyleRowBandSize w:val="1"/>
      <w:tblStyleColBandSize w:val="1"/>
      <w:tblBorders>
        <w:top w:val="single" w:sz="4" w:space="0" w:color="E3E3A8" w:themeColor="accent3" w:themeTint="99"/>
        <w:bottom w:val="single" w:sz="4" w:space="0" w:color="E3E3A8" w:themeColor="accent3" w:themeTint="99"/>
        <w:insideH w:val="single" w:sz="4" w:space="0" w:color="E3E3A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ListTable2-Accent4">
    <w:name w:val="List Table 2 Accent 4"/>
    <w:basedOn w:val="TableNormal"/>
    <w:rsid w:val="003D7EDD"/>
    <w:tblPr>
      <w:tblStyleRowBandSize w:val="1"/>
      <w:tblStyleColBandSize w:val="1"/>
      <w:tblBorders>
        <w:top w:val="single" w:sz="4" w:space="0" w:color="8B8B8B" w:themeColor="accent4" w:themeTint="99"/>
        <w:bottom w:val="single" w:sz="4" w:space="0" w:color="8B8B8B" w:themeColor="accent4" w:themeTint="99"/>
        <w:insideH w:val="single" w:sz="4" w:space="0" w:color="8B8B8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ListTable2-Accent5">
    <w:name w:val="List Table 2 Accent 5"/>
    <w:basedOn w:val="TableNormal"/>
    <w:rsid w:val="003D7EDD"/>
    <w:tblPr>
      <w:tblStyleRowBandSize w:val="1"/>
      <w:tblStyleColBandSize w:val="1"/>
      <w:tblBorders>
        <w:top w:val="single" w:sz="4" w:space="0" w:color="B2B2B2" w:themeColor="accent5" w:themeTint="99"/>
        <w:bottom w:val="single" w:sz="4" w:space="0" w:color="B2B2B2" w:themeColor="accent5" w:themeTint="99"/>
        <w:insideH w:val="single" w:sz="4" w:space="0" w:color="B2B2B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2-Accent6">
    <w:name w:val="List Table 2 Accent 6"/>
    <w:basedOn w:val="TableNormal"/>
    <w:rsid w:val="003D7EDD"/>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3">
    <w:name w:val="List Table 3"/>
    <w:basedOn w:val="TableNormal"/>
    <w:rsid w:val="003D7ED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3D7EDD"/>
    <w:tblPr>
      <w:tblStyleRowBandSize w:val="1"/>
      <w:tblStyleColBandSize w:val="1"/>
      <w:tblBorders>
        <w:top w:val="single" w:sz="4" w:space="0" w:color="66609E" w:themeColor="accent1"/>
        <w:left w:val="single" w:sz="4" w:space="0" w:color="66609E" w:themeColor="accent1"/>
        <w:bottom w:val="single" w:sz="4" w:space="0" w:color="66609E" w:themeColor="accent1"/>
        <w:right w:val="single" w:sz="4" w:space="0" w:color="66609E" w:themeColor="accent1"/>
      </w:tblBorders>
    </w:tblPr>
    <w:tblStylePr w:type="firstRow">
      <w:rPr>
        <w:b/>
        <w:bCs/>
        <w:color w:val="FFFFFF" w:themeColor="background1"/>
      </w:rPr>
      <w:tblPr/>
      <w:tcPr>
        <w:shd w:val="clear" w:color="auto" w:fill="66609E" w:themeFill="accent1"/>
      </w:tcPr>
    </w:tblStylePr>
    <w:tblStylePr w:type="lastRow">
      <w:rPr>
        <w:b/>
        <w:bCs/>
      </w:rPr>
      <w:tblPr/>
      <w:tcPr>
        <w:tcBorders>
          <w:top w:val="double" w:sz="4" w:space="0" w:color="66609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09E" w:themeColor="accent1"/>
          <w:right w:val="single" w:sz="4" w:space="0" w:color="66609E" w:themeColor="accent1"/>
        </w:tcBorders>
      </w:tcPr>
    </w:tblStylePr>
    <w:tblStylePr w:type="band1Horz">
      <w:tblPr/>
      <w:tcPr>
        <w:tcBorders>
          <w:top w:val="single" w:sz="4" w:space="0" w:color="66609E" w:themeColor="accent1"/>
          <w:bottom w:val="single" w:sz="4" w:space="0" w:color="66609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09E" w:themeColor="accent1"/>
          <w:left w:val="nil"/>
        </w:tcBorders>
      </w:tcPr>
    </w:tblStylePr>
    <w:tblStylePr w:type="swCell">
      <w:tblPr/>
      <w:tcPr>
        <w:tcBorders>
          <w:top w:val="double" w:sz="4" w:space="0" w:color="66609E" w:themeColor="accent1"/>
          <w:right w:val="nil"/>
        </w:tcBorders>
      </w:tcPr>
    </w:tblStylePr>
  </w:style>
  <w:style w:type="table" w:styleId="ListTable3-Accent2">
    <w:name w:val="List Table 3 Accent 2"/>
    <w:basedOn w:val="TableNormal"/>
    <w:rsid w:val="003D7EDD"/>
    <w:tblPr>
      <w:tblStyleRowBandSize w:val="1"/>
      <w:tblStyleColBandSize w:val="1"/>
      <w:tblBorders>
        <w:top w:val="single" w:sz="4" w:space="0" w:color="83A488" w:themeColor="accent2"/>
        <w:left w:val="single" w:sz="4" w:space="0" w:color="83A488" w:themeColor="accent2"/>
        <w:bottom w:val="single" w:sz="4" w:space="0" w:color="83A488" w:themeColor="accent2"/>
        <w:right w:val="single" w:sz="4" w:space="0" w:color="83A488" w:themeColor="accent2"/>
      </w:tblBorders>
    </w:tblPr>
    <w:tblStylePr w:type="firstRow">
      <w:rPr>
        <w:b/>
        <w:bCs/>
        <w:color w:val="FFFFFF" w:themeColor="background1"/>
      </w:rPr>
      <w:tblPr/>
      <w:tcPr>
        <w:shd w:val="clear" w:color="auto" w:fill="83A488" w:themeFill="accent2"/>
      </w:tcPr>
    </w:tblStylePr>
    <w:tblStylePr w:type="lastRow">
      <w:rPr>
        <w:b/>
        <w:bCs/>
      </w:rPr>
      <w:tblPr/>
      <w:tcPr>
        <w:tcBorders>
          <w:top w:val="double" w:sz="4" w:space="0" w:color="83A48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A488" w:themeColor="accent2"/>
          <w:right w:val="single" w:sz="4" w:space="0" w:color="83A488" w:themeColor="accent2"/>
        </w:tcBorders>
      </w:tcPr>
    </w:tblStylePr>
    <w:tblStylePr w:type="band1Horz">
      <w:tblPr/>
      <w:tcPr>
        <w:tcBorders>
          <w:top w:val="single" w:sz="4" w:space="0" w:color="83A488" w:themeColor="accent2"/>
          <w:bottom w:val="single" w:sz="4" w:space="0" w:color="83A48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A488" w:themeColor="accent2"/>
          <w:left w:val="nil"/>
        </w:tcBorders>
      </w:tcPr>
    </w:tblStylePr>
    <w:tblStylePr w:type="swCell">
      <w:tblPr/>
      <w:tcPr>
        <w:tcBorders>
          <w:top w:val="double" w:sz="4" w:space="0" w:color="83A488" w:themeColor="accent2"/>
          <w:right w:val="nil"/>
        </w:tcBorders>
      </w:tcPr>
    </w:tblStylePr>
  </w:style>
  <w:style w:type="table" w:styleId="ListTable3-Accent3">
    <w:name w:val="List Table 3 Accent 3"/>
    <w:basedOn w:val="TableNormal"/>
    <w:rsid w:val="003D7EDD"/>
    <w:tblPr>
      <w:tblStyleRowBandSize w:val="1"/>
      <w:tblStyleColBandSize w:val="1"/>
      <w:tblBorders>
        <w:top w:val="single" w:sz="4" w:space="0" w:color="D1D16F" w:themeColor="accent3"/>
        <w:left w:val="single" w:sz="4" w:space="0" w:color="D1D16F" w:themeColor="accent3"/>
        <w:bottom w:val="single" w:sz="4" w:space="0" w:color="D1D16F" w:themeColor="accent3"/>
        <w:right w:val="single" w:sz="4" w:space="0" w:color="D1D16F" w:themeColor="accent3"/>
      </w:tblBorders>
    </w:tblPr>
    <w:tblStylePr w:type="firstRow">
      <w:rPr>
        <w:b/>
        <w:bCs/>
        <w:color w:val="FFFFFF" w:themeColor="background1"/>
      </w:rPr>
      <w:tblPr/>
      <w:tcPr>
        <w:shd w:val="clear" w:color="auto" w:fill="D1D16F" w:themeFill="accent3"/>
      </w:tcPr>
    </w:tblStylePr>
    <w:tblStylePr w:type="lastRow">
      <w:rPr>
        <w:b/>
        <w:bCs/>
      </w:rPr>
      <w:tblPr/>
      <w:tcPr>
        <w:tcBorders>
          <w:top w:val="double" w:sz="4" w:space="0" w:color="D1D16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D16F" w:themeColor="accent3"/>
          <w:right w:val="single" w:sz="4" w:space="0" w:color="D1D16F" w:themeColor="accent3"/>
        </w:tcBorders>
      </w:tcPr>
    </w:tblStylePr>
    <w:tblStylePr w:type="band1Horz">
      <w:tblPr/>
      <w:tcPr>
        <w:tcBorders>
          <w:top w:val="single" w:sz="4" w:space="0" w:color="D1D16F" w:themeColor="accent3"/>
          <w:bottom w:val="single" w:sz="4" w:space="0" w:color="D1D16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D16F" w:themeColor="accent3"/>
          <w:left w:val="nil"/>
        </w:tcBorders>
      </w:tcPr>
    </w:tblStylePr>
    <w:tblStylePr w:type="swCell">
      <w:tblPr/>
      <w:tcPr>
        <w:tcBorders>
          <w:top w:val="double" w:sz="4" w:space="0" w:color="D1D16F" w:themeColor="accent3"/>
          <w:right w:val="nil"/>
        </w:tcBorders>
      </w:tcPr>
    </w:tblStylePr>
  </w:style>
  <w:style w:type="table" w:styleId="ListTable3-Accent4">
    <w:name w:val="List Table 3 Accent 4"/>
    <w:basedOn w:val="TableNormal"/>
    <w:rsid w:val="003D7EDD"/>
    <w:tblPr>
      <w:tblStyleRowBandSize w:val="1"/>
      <w:tblStyleColBandSize w:val="1"/>
      <w:tblBorders>
        <w:top w:val="single" w:sz="4" w:space="0" w:color="3F3F3F" w:themeColor="accent4"/>
        <w:left w:val="single" w:sz="4" w:space="0" w:color="3F3F3F" w:themeColor="accent4"/>
        <w:bottom w:val="single" w:sz="4" w:space="0" w:color="3F3F3F" w:themeColor="accent4"/>
        <w:right w:val="single" w:sz="4" w:space="0" w:color="3F3F3F" w:themeColor="accent4"/>
      </w:tblBorders>
    </w:tblPr>
    <w:tblStylePr w:type="firstRow">
      <w:rPr>
        <w:b/>
        <w:bCs/>
        <w:color w:val="FFFFFF" w:themeColor="background1"/>
      </w:rPr>
      <w:tblPr/>
      <w:tcPr>
        <w:shd w:val="clear" w:color="auto" w:fill="3F3F3F" w:themeFill="accent4"/>
      </w:tcPr>
    </w:tblStylePr>
    <w:tblStylePr w:type="lastRow">
      <w:rPr>
        <w:b/>
        <w:bCs/>
      </w:rPr>
      <w:tblPr/>
      <w:tcPr>
        <w:tcBorders>
          <w:top w:val="double" w:sz="4" w:space="0" w:color="3F3F3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3F3F" w:themeColor="accent4"/>
          <w:right w:val="single" w:sz="4" w:space="0" w:color="3F3F3F" w:themeColor="accent4"/>
        </w:tcBorders>
      </w:tcPr>
    </w:tblStylePr>
    <w:tblStylePr w:type="band1Horz">
      <w:tblPr/>
      <w:tcPr>
        <w:tcBorders>
          <w:top w:val="single" w:sz="4" w:space="0" w:color="3F3F3F" w:themeColor="accent4"/>
          <w:bottom w:val="single" w:sz="4" w:space="0" w:color="3F3F3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3F3F" w:themeColor="accent4"/>
          <w:left w:val="nil"/>
        </w:tcBorders>
      </w:tcPr>
    </w:tblStylePr>
    <w:tblStylePr w:type="swCell">
      <w:tblPr/>
      <w:tcPr>
        <w:tcBorders>
          <w:top w:val="double" w:sz="4" w:space="0" w:color="3F3F3F" w:themeColor="accent4"/>
          <w:right w:val="nil"/>
        </w:tcBorders>
      </w:tcPr>
    </w:tblStylePr>
  </w:style>
  <w:style w:type="table" w:styleId="ListTable3-Accent5">
    <w:name w:val="List Table 3 Accent 5"/>
    <w:basedOn w:val="TableNormal"/>
    <w:rsid w:val="003D7EDD"/>
    <w:tblPr>
      <w:tblStyleRowBandSize w:val="1"/>
      <w:tblStyleColBandSize w:val="1"/>
      <w:tblBorders>
        <w:top w:val="single" w:sz="4" w:space="0" w:color="7F7F7F" w:themeColor="accent5"/>
        <w:left w:val="single" w:sz="4" w:space="0" w:color="7F7F7F" w:themeColor="accent5"/>
        <w:bottom w:val="single" w:sz="4" w:space="0" w:color="7F7F7F" w:themeColor="accent5"/>
        <w:right w:val="single" w:sz="4" w:space="0" w:color="7F7F7F" w:themeColor="accent5"/>
      </w:tblBorders>
    </w:tblPr>
    <w:tblStylePr w:type="firstRow">
      <w:rPr>
        <w:b/>
        <w:bCs/>
        <w:color w:val="FFFFFF" w:themeColor="background1"/>
      </w:rPr>
      <w:tblPr/>
      <w:tcPr>
        <w:shd w:val="clear" w:color="auto" w:fill="7F7F7F" w:themeFill="accent5"/>
      </w:tcPr>
    </w:tblStylePr>
    <w:tblStylePr w:type="lastRow">
      <w:rPr>
        <w:b/>
        <w:bCs/>
      </w:rPr>
      <w:tblPr/>
      <w:tcPr>
        <w:tcBorders>
          <w:top w:val="double" w:sz="4" w:space="0" w:color="7F7F7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7F7F" w:themeColor="accent5"/>
          <w:right w:val="single" w:sz="4" w:space="0" w:color="7F7F7F" w:themeColor="accent5"/>
        </w:tcBorders>
      </w:tcPr>
    </w:tblStylePr>
    <w:tblStylePr w:type="band1Horz">
      <w:tblPr/>
      <w:tcPr>
        <w:tcBorders>
          <w:top w:val="single" w:sz="4" w:space="0" w:color="7F7F7F" w:themeColor="accent5"/>
          <w:bottom w:val="single" w:sz="4" w:space="0" w:color="7F7F7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7F7F" w:themeColor="accent5"/>
          <w:left w:val="nil"/>
        </w:tcBorders>
      </w:tcPr>
    </w:tblStylePr>
    <w:tblStylePr w:type="swCell">
      <w:tblPr/>
      <w:tcPr>
        <w:tcBorders>
          <w:top w:val="double" w:sz="4" w:space="0" w:color="7F7F7F" w:themeColor="accent5"/>
          <w:right w:val="nil"/>
        </w:tcBorders>
      </w:tcPr>
    </w:tblStylePr>
  </w:style>
  <w:style w:type="table" w:styleId="ListTable3-Accent6">
    <w:name w:val="List Table 3 Accent 6"/>
    <w:basedOn w:val="TableNormal"/>
    <w:rsid w:val="003D7EDD"/>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b/>
        <w:bCs/>
        <w:color w:val="FFFFFF" w:themeColor="background1"/>
      </w:rPr>
      <w:tblPr/>
      <w:tcPr>
        <w:shd w:val="clear" w:color="auto" w:fill="BFBFBF" w:themeFill="accent6"/>
      </w:tcPr>
    </w:tblStylePr>
    <w:tblStylePr w:type="lastRow">
      <w:rPr>
        <w:b/>
        <w:bCs/>
      </w:rPr>
      <w:tblPr/>
      <w:tcPr>
        <w:tcBorders>
          <w:top w:val="double" w:sz="4" w:space="0" w:color="BFBFB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FBF" w:themeColor="accent6"/>
          <w:right w:val="single" w:sz="4" w:space="0" w:color="BFBFBF" w:themeColor="accent6"/>
        </w:tcBorders>
      </w:tcPr>
    </w:tblStylePr>
    <w:tblStylePr w:type="band1Horz">
      <w:tblPr/>
      <w:tcPr>
        <w:tcBorders>
          <w:top w:val="single" w:sz="4" w:space="0" w:color="BFBFBF" w:themeColor="accent6"/>
          <w:bottom w:val="single" w:sz="4" w:space="0" w:color="BFBFB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themeColor="accent6"/>
          <w:left w:val="nil"/>
        </w:tcBorders>
      </w:tcPr>
    </w:tblStylePr>
    <w:tblStylePr w:type="swCell">
      <w:tblPr/>
      <w:tcPr>
        <w:tcBorders>
          <w:top w:val="double" w:sz="4" w:space="0" w:color="BFBFBF" w:themeColor="accent6"/>
          <w:right w:val="nil"/>
        </w:tcBorders>
      </w:tcPr>
    </w:tblStylePr>
  </w:style>
  <w:style w:type="table" w:styleId="ListTable4">
    <w:name w:val="List Table 4"/>
    <w:basedOn w:val="TableNormal"/>
    <w:rsid w:val="003D7ED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3D7EDD"/>
    <w:tblPr>
      <w:tblStyleRowBandSize w:val="1"/>
      <w:tblStyleColBandSize w:val="1"/>
      <w:tblBorders>
        <w:top w:val="single" w:sz="4" w:space="0" w:color="A29FC5" w:themeColor="accent1" w:themeTint="99"/>
        <w:left w:val="single" w:sz="4" w:space="0" w:color="A29FC5" w:themeColor="accent1" w:themeTint="99"/>
        <w:bottom w:val="single" w:sz="4" w:space="0" w:color="A29FC5" w:themeColor="accent1" w:themeTint="99"/>
        <w:right w:val="single" w:sz="4" w:space="0" w:color="A29FC5" w:themeColor="accent1" w:themeTint="99"/>
        <w:insideH w:val="single" w:sz="4" w:space="0" w:color="A29FC5" w:themeColor="accent1" w:themeTint="99"/>
      </w:tblBorders>
    </w:tblPr>
    <w:tblStylePr w:type="firstRow">
      <w:rPr>
        <w:b/>
        <w:bCs/>
        <w:color w:val="FFFFFF" w:themeColor="background1"/>
      </w:rPr>
      <w:tblPr/>
      <w:tcPr>
        <w:tcBorders>
          <w:top w:val="single" w:sz="4" w:space="0" w:color="66609E" w:themeColor="accent1"/>
          <w:left w:val="single" w:sz="4" w:space="0" w:color="66609E" w:themeColor="accent1"/>
          <w:bottom w:val="single" w:sz="4" w:space="0" w:color="66609E" w:themeColor="accent1"/>
          <w:right w:val="single" w:sz="4" w:space="0" w:color="66609E" w:themeColor="accent1"/>
          <w:insideH w:val="nil"/>
        </w:tcBorders>
        <w:shd w:val="clear" w:color="auto" w:fill="66609E" w:themeFill="accent1"/>
      </w:tcPr>
    </w:tblStylePr>
    <w:tblStylePr w:type="lastRow">
      <w:rPr>
        <w:b/>
        <w:bCs/>
      </w:rPr>
      <w:tblPr/>
      <w:tcPr>
        <w:tcBorders>
          <w:top w:val="double" w:sz="4" w:space="0" w:color="A29FC5" w:themeColor="accent1" w:themeTint="99"/>
        </w:tcBorders>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ListTable4-Accent2">
    <w:name w:val="List Table 4 Accent 2"/>
    <w:basedOn w:val="TableNormal"/>
    <w:rsid w:val="003D7EDD"/>
    <w:tblPr>
      <w:tblStyleRowBandSize w:val="1"/>
      <w:tblStyleColBandSize w:val="1"/>
      <w:tblBorders>
        <w:top w:val="single" w:sz="4" w:space="0" w:color="B4C8B7" w:themeColor="accent2" w:themeTint="99"/>
        <w:left w:val="single" w:sz="4" w:space="0" w:color="B4C8B7" w:themeColor="accent2" w:themeTint="99"/>
        <w:bottom w:val="single" w:sz="4" w:space="0" w:color="B4C8B7" w:themeColor="accent2" w:themeTint="99"/>
        <w:right w:val="single" w:sz="4" w:space="0" w:color="B4C8B7" w:themeColor="accent2" w:themeTint="99"/>
        <w:insideH w:val="single" w:sz="4" w:space="0" w:color="B4C8B7" w:themeColor="accent2" w:themeTint="99"/>
      </w:tblBorders>
    </w:tblPr>
    <w:tblStylePr w:type="firstRow">
      <w:rPr>
        <w:b/>
        <w:bCs/>
        <w:color w:val="FFFFFF" w:themeColor="background1"/>
      </w:rPr>
      <w:tblPr/>
      <w:tcPr>
        <w:tcBorders>
          <w:top w:val="single" w:sz="4" w:space="0" w:color="83A488" w:themeColor="accent2"/>
          <w:left w:val="single" w:sz="4" w:space="0" w:color="83A488" w:themeColor="accent2"/>
          <w:bottom w:val="single" w:sz="4" w:space="0" w:color="83A488" w:themeColor="accent2"/>
          <w:right w:val="single" w:sz="4" w:space="0" w:color="83A488" w:themeColor="accent2"/>
          <w:insideH w:val="nil"/>
        </w:tcBorders>
        <w:shd w:val="clear" w:color="auto" w:fill="83A488" w:themeFill="accent2"/>
      </w:tcPr>
    </w:tblStylePr>
    <w:tblStylePr w:type="lastRow">
      <w:rPr>
        <w:b/>
        <w:bCs/>
      </w:rPr>
      <w:tblPr/>
      <w:tcPr>
        <w:tcBorders>
          <w:top w:val="double" w:sz="4" w:space="0" w:color="B4C8B7" w:themeColor="accent2" w:themeTint="99"/>
        </w:tcBorders>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ListTable4-Accent3">
    <w:name w:val="List Table 4 Accent 3"/>
    <w:basedOn w:val="TableNormal"/>
    <w:rsid w:val="003D7EDD"/>
    <w:tblPr>
      <w:tblStyleRowBandSize w:val="1"/>
      <w:tblStyleColBandSize w:val="1"/>
      <w:tblBorders>
        <w:top w:val="single" w:sz="4" w:space="0" w:color="E3E3A8" w:themeColor="accent3" w:themeTint="99"/>
        <w:left w:val="single" w:sz="4" w:space="0" w:color="E3E3A8" w:themeColor="accent3" w:themeTint="99"/>
        <w:bottom w:val="single" w:sz="4" w:space="0" w:color="E3E3A8" w:themeColor="accent3" w:themeTint="99"/>
        <w:right w:val="single" w:sz="4" w:space="0" w:color="E3E3A8" w:themeColor="accent3" w:themeTint="99"/>
        <w:insideH w:val="single" w:sz="4" w:space="0" w:color="E3E3A8" w:themeColor="accent3" w:themeTint="99"/>
      </w:tblBorders>
    </w:tblPr>
    <w:tblStylePr w:type="firstRow">
      <w:rPr>
        <w:b/>
        <w:bCs/>
        <w:color w:val="FFFFFF" w:themeColor="background1"/>
      </w:rPr>
      <w:tblPr/>
      <w:tcPr>
        <w:tcBorders>
          <w:top w:val="single" w:sz="4" w:space="0" w:color="D1D16F" w:themeColor="accent3"/>
          <w:left w:val="single" w:sz="4" w:space="0" w:color="D1D16F" w:themeColor="accent3"/>
          <w:bottom w:val="single" w:sz="4" w:space="0" w:color="D1D16F" w:themeColor="accent3"/>
          <w:right w:val="single" w:sz="4" w:space="0" w:color="D1D16F" w:themeColor="accent3"/>
          <w:insideH w:val="nil"/>
        </w:tcBorders>
        <w:shd w:val="clear" w:color="auto" w:fill="D1D16F" w:themeFill="accent3"/>
      </w:tcPr>
    </w:tblStylePr>
    <w:tblStylePr w:type="lastRow">
      <w:rPr>
        <w:b/>
        <w:bCs/>
      </w:rPr>
      <w:tblPr/>
      <w:tcPr>
        <w:tcBorders>
          <w:top w:val="double" w:sz="4" w:space="0" w:color="E3E3A8" w:themeColor="accent3" w:themeTint="99"/>
        </w:tcBorders>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ListTable4-Accent4">
    <w:name w:val="List Table 4 Accent 4"/>
    <w:basedOn w:val="TableNormal"/>
    <w:rsid w:val="003D7EDD"/>
    <w:tblPr>
      <w:tblStyleRowBandSize w:val="1"/>
      <w:tblStyleColBandSize w:val="1"/>
      <w:tblBorders>
        <w:top w:val="single" w:sz="4" w:space="0" w:color="8B8B8B" w:themeColor="accent4" w:themeTint="99"/>
        <w:left w:val="single" w:sz="4" w:space="0" w:color="8B8B8B" w:themeColor="accent4" w:themeTint="99"/>
        <w:bottom w:val="single" w:sz="4" w:space="0" w:color="8B8B8B" w:themeColor="accent4" w:themeTint="99"/>
        <w:right w:val="single" w:sz="4" w:space="0" w:color="8B8B8B" w:themeColor="accent4" w:themeTint="99"/>
        <w:insideH w:val="single" w:sz="4" w:space="0" w:color="8B8B8B" w:themeColor="accent4" w:themeTint="99"/>
      </w:tblBorders>
    </w:tblPr>
    <w:tblStylePr w:type="firstRow">
      <w:rPr>
        <w:b/>
        <w:bCs/>
        <w:color w:val="FFFFFF" w:themeColor="background1"/>
      </w:rPr>
      <w:tblPr/>
      <w:tcPr>
        <w:tcBorders>
          <w:top w:val="single" w:sz="4" w:space="0" w:color="3F3F3F" w:themeColor="accent4"/>
          <w:left w:val="single" w:sz="4" w:space="0" w:color="3F3F3F" w:themeColor="accent4"/>
          <w:bottom w:val="single" w:sz="4" w:space="0" w:color="3F3F3F" w:themeColor="accent4"/>
          <w:right w:val="single" w:sz="4" w:space="0" w:color="3F3F3F" w:themeColor="accent4"/>
          <w:insideH w:val="nil"/>
        </w:tcBorders>
        <w:shd w:val="clear" w:color="auto" w:fill="3F3F3F" w:themeFill="accent4"/>
      </w:tcPr>
    </w:tblStylePr>
    <w:tblStylePr w:type="lastRow">
      <w:rPr>
        <w:b/>
        <w:bCs/>
      </w:rPr>
      <w:tblPr/>
      <w:tcPr>
        <w:tcBorders>
          <w:top w:val="double" w:sz="4" w:space="0" w:color="8B8B8B" w:themeColor="accent4" w:themeTint="99"/>
        </w:tcBorders>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ListTable4-Accent5">
    <w:name w:val="List Table 4 Accent 5"/>
    <w:basedOn w:val="TableNormal"/>
    <w:rsid w:val="003D7EDD"/>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tblBorders>
    </w:tblPr>
    <w:tblStylePr w:type="firstRow">
      <w:rPr>
        <w:b/>
        <w:bCs/>
        <w:color w:val="FFFFFF" w:themeColor="background1"/>
      </w:rPr>
      <w:tblPr/>
      <w:tcPr>
        <w:tcBorders>
          <w:top w:val="single" w:sz="4" w:space="0" w:color="7F7F7F" w:themeColor="accent5"/>
          <w:left w:val="single" w:sz="4" w:space="0" w:color="7F7F7F" w:themeColor="accent5"/>
          <w:bottom w:val="single" w:sz="4" w:space="0" w:color="7F7F7F" w:themeColor="accent5"/>
          <w:right w:val="single" w:sz="4" w:space="0" w:color="7F7F7F" w:themeColor="accent5"/>
          <w:insideH w:val="nil"/>
        </w:tcBorders>
        <w:shd w:val="clear" w:color="auto" w:fill="7F7F7F" w:themeFill="accent5"/>
      </w:tcPr>
    </w:tblStylePr>
    <w:tblStylePr w:type="lastRow">
      <w:rPr>
        <w:b/>
        <w:bCs/>
      </w:rPr>
      <w:tblPr/>
      <w:tcPr>
        <w:tcBorders>
          <w:top w:val="doub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4-Accent6">
    <w:name w:val="List Table 4 Accent 6"/>
    <w:basedOn w:val="TableNormal"/>
    <w:rsid w:val="003D7EDD"/>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5Dark-Accent1">
    <w:name w:val="List Table 5 Dark Accent 1"/>
    <w:basedOn w:val="TableNormal"/>
    <w:rsid w:val="003D7EDD"/>
    <w:rPr>
      <w:color w:val="FFFFFF" w:themeColor="background1"/>
    </w:rPr>
    <w:tblPr>
      <w:tblStyleRowBandSize w:val="1"/>
      <w:tblStyleColBandSize w:val="1"/>
      <w:tblBorders>
        <w:top w:val="single" w:sz="24" w:space="0" w:color="66609E" w:themeColor="accent1"/>
        <w:left w:val="single" w:sz="24" w:space="0" w:color="66609E" w:themeColor="accent1"/>
        <w:bottom w:val="single" w:sz="24" w:space="0" w:color="66609E" w:themeColor="accent1"/>
        <w:right w:val="single" w:sz="24" w:space="0" w:color="66609E" w:themeColor="accent1"/>
      </w:tblBorders>
    </w:tblPr>
    <w:tcPr>
      <w:shd w:val="clear" w:color="auto" w:fill="66609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3D7EDD"/>
    <w:rPr>
      <w:color w:val="FFFFFF" w:themeColor="background1"/>
    </w:rPr>
    <w:tblPr>
      <w:tblStyleRowBandSize w:val="1"/>
      <w:tblStyleColBandSize w:val="1"/>
      <w:tblBorders>
        <w:top w:val="single" w:sz="24" w:space="0" w:color="83A488" w:themeColor="accent2"/>
        <w:left w:val="single" w:sz="24" w:space="0" w:color="83A488" w:themeColor="accent2"/>
        <w:bottom w:val="single" w:sz="24" w:space="0" w:color="83A488" w:themeColor="accent2"/>
        <w:right w:val="single" w:sz="24" w:space="0" w:color="83A488" w:themeColor="accent2"/>
      </w:tblBorders>
    </w:tblPr>
    <w:tcPr>
      <w:shd w:val="clear" w:color="auto" w:fill="83A48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3D7EDD"/>
    <w:rPr>
      <w:color w:val="FFFFFF" w:themeColor="background1"/>
    </w:rPr>
    <w:tblPr>
      <w:tblStyleRowBandSize w:val="1"/>
      <w:tblStyleColBandSize w:val="1"/>
      <w:tblBorders>
        <w:top w:val="single" w:sz="24" w:space="0" w:color="D1D16F" w:themeColor="accent3"/>
        <w:left w:val="single" w:sz="24" w:space="0" w:color="D1D16F" w:themeColor="accent3"/>
        <w:bottom w:val="single" w:sz="24" w:space="0" w:color="D1D16F" w:themeColor="accent3"/>
        <w:right w:val="single" w:sz="24" w:space="0" w:color="D1D16F" w:themeColor="accent3"/>
      </w:tblBorders>
    </w:tblPr>
    <w:tcPr>
      <w:shd w:val="clear" w:color="auto" w:fill="D1D16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3D7EDD"/>
    <w:rPr>
      <w:color w:val="FFFFFF" w:themeColor="background1"/>
    </w:rPr>
    <w:tblPr>
      <w:tblStyleRowBandSize w:val="1"/>
      <w:tblStyleColBandSize w:val="1"/>
      <w:tblBorders>
        <w:top w:val="single" w:sz="24" w:space="0" w:color="3F3F3F" w:themeColor="accent4"/>
        <w:left w:val="single" w:sz="24" w:space="0" w:color="3F3F3F" w:themeColor="accent4"/>
        <w:bottom w:val="single" w:sz="24" w:space="0" w:color="3F3F3F" w:themeColor="accent4"/>
        <w:right w:val="single" w:sz="24" w:space="0" w:color="3F3F3F" w:themeColor="accent4"/>
      </w:tblBorders>
    </w:tblPr>
    <w:tcPr>
      <w:shd w:val="clear" w:color="auto" w:fill="3F3F3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3D7EDD"/>
    <w:rPr>
      <w:color w:val="FFFFFF" w:themeColor="background1"/>
    </w:rPr>
    <w:tblPr>
      <w:tblStyleRowBandSize w:val="1"/>
      <w:tblStyleColBandSize w:val="1"/>
      <w:tblBorders>
        <w:top w:val="single" w:sz="24" w:space="0" w:color="7F7F7F" w:themeColor="accent5"/>
        <w:left w:val="single" w:sz="24" w:space="0" w:color="7F7F7F" w:themeColor="accent5"/>
        <w:bottom w:val="single" w:sz="24" w:space="0" w:color="7F7F7F" w:themeColor="accent5"/>
        <w:right w:val="single" w:sz="24" w:space="0" w:color="7F7F7F" w:themeColor="accent5"/>
      </w:tblBorders>
    </w:tblPr>
    <w:tcPr>
      <w:shd w:val="clear" w:color="auto" w:fill="7F7F7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3D7EDD"/>
    <w:rPr>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Accent1">
    <w:name w:val="List Table 6 Colorful Accent 1"/>
    <w:basedOn w:val="TableNormal"/>
    <w:rsid w:val="003D7EDD"/>
    <w:rPr>
      <w:color w:val="4C4876" w:themeColor="accent1" w:themeShade="BF"/>
    </w:rPr>
    <w:tblPr>
      <w:tblStyleRowBandSize w:val="1"/>
      <w:tblStyleColBandSize w:val="1"/>
      <w:tblBorders>
        <w:top w:val="single" w:sz="4" w:space="0" w:color="66609E" w:themeColor="accent1"/>
        <w:bottom w:val="single" w:sz="4" w:space="0" w:color="66609E" w:themeColor="accent1"/>
      </w:tblBorders>
    </w:tblPr>
    <w:tblStylePr w:type="firstRow">
      <w:rPr>
        <w:b/>
        <w:bCs/>
      </w:rPr>
      <w:tblPr/>
      <w:tcPr>
        <w:tcBorders>
          <w:bottom w:val="single" w:sz="4" w:space="0" w:color="66609E" w:themeColor="accent1"/>
        </w:tcBorders>
      </w:tcPr>
    </w:tblStylePr>
    <w:tblStylePr w:type="lastRow">
      <w:rPr>
        <w:b/>
        <w:bCs/>
      </w:rPr>
      <w:tblPr/>
      <w:tcPr>
        <w:tcBorders>
          <w:top w:val="double" w:sz="4" w:space="0" w:color="66609E" w:themeColor="accent1"/>
        </w:tcBorders>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ListTable6ColourfulAccent2">
    <w:name w:val="List Table 6 Colorful Accent 2"/>
    <w:basedOn w:val="TableNormal"/>
    <w:rsid w:val="003D7EDD"/>
    <w:rPr>
      <w:color w:val="5D7F62" w:themeColor="accent2" w:themeShade="BF"/>
    </w:rPr>
    <w:tblPr>
      <w:tblStyleRowBandSize w:val="1"/>
      <w:tblStyleColBandSize w:val="1"/>
      <w:tblBorders>
        <w:top w:val="single" w:sz="4" w:space="0" w:color="83A488" w:themeColor="accent2"/>
        <w:bottom w:val="single" w:sz="4" w:space="0" w:color="83A488" w:themeColor="accent2"/>
      </w:tblBorders>
    </w:tblPr>
    <w:tblStylePr w:type="firstRow">
      <w:rPr>
        <w:b/>
        <w:bCs/>
      </w:rPr>
      <w:tblPr/>
      <w:tcPr>
        <w:tcBorders>
          <w:bottom w:val="single" w:sz="4" w:space="0" w:color="83A488" w:themeColor="accent2"/>
        </w:tcBorders>
      </w:tcPr>
    </w:tblStylePr>
    <w:tblStylePr w:type="lastRow">
      <w:rPr>
        <w:b/>
        <w:bCs/>
      </w:rPr>
      <w:tblPr/>
      <w:tcPr>
        <w:tcBorders>
          <w:top w:val="double" w:sz="4" w:space="0" w:color="83A488" w:themeColor="accent2"/>
        </w:tcBorders>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ListTable6ColourfulAccent3">
    <w:name w:val="List Table 6 Colorful Accent 3"/>
    <w:basedOn w:val="TableNormal"/>
    <w:rsid w:val="003D7EDD"/>
    <w:rPr>
      <w:color w:val="B5B53A" w:themeColor="accent3" w:themeShade="BF"/>
    </w:rPr>
    <w:tblPr>
      <w:tblStyleRowBandSize w:val="1"/>
      <w:tblStyleColBandSize w:val="1"/>
      <w:tblBorders>
        <w:top w:val="single" w:sz="4" w:space="0" w:color="D1D16F" w:themeColor="accent3"/>
        <w:bottom w:val="single" w:sz="4" w:space="0" w:color="D1D16F" w:themeColor="accent3"/>
      </w:tblBorders>
    </w:tblPr>
    <w:tblStylePr w:type="firstRow">
      <w:rPr>
        <w:b/>
        <w:bCs/>
      </w:rPr>
      <w:tblPr/>
      <w:tcPr>
        <w:tcBorders>
          <w:bottom w:val="single" w:sz="4" w:space="0" w:color="D1D16F" w:themeColor="accent3"/>
        </w:tcBorders>
      </w:tcPr>
    </w:tblStylePr>
    <w:tblStylePr w:type="lastRow">
      <w:rPr>
        <w:b/>
        <w:bCs/>
      </w:rPr>
      <w:tblPr/>
      <w:tcPr>
        <w:tcBorders>
          <w:top w:val="double" w:sz="4" w:space="0" w:color="D1D16F" w:themeColor="accent3"/>
        </w:tcBorders>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ListTable6ColourfulAccent4">
    <w:name w:val="List Table 6 Colorful Accent 4"/>
    <w:basedOn w:val="TableNormal"/>
    <w:rsid w:val="003D7EDD"/>
    <w:rPr>
      <w:color w:val="2F2F2F" w:themeColor="accent4" w:themeShade="BF"/>
    </w:rPr>
    <w:tblPr>
      <w:tblStyleRowBandSize w:val="1"/>
      <w:tblStyleColBandSize w:val="1"/>
      <w:tblBorders>
        <w:top w:val="single" w:sz="4" w:space="0" w:color="3F3F3F" w:themeColor="accent4"/>
        <w:bottom w:val="single" w:sz="4" w:space="0" w:color="3F3F3F" w:themeColor="accent4"/>
      </w:tblBorders>
    </w:tblPr>
    <w:tblStylePr w:type="firstRow">
      <w:rPr>
        <w:b/>
        <w:bCs/>
      </w:rPr>
      <w:tblPr/>
      <w:tcPr>
        <w:tcBorders>
          <w:bottom w:val="single" w:sz="4" w:space="0" w:color="3F3F3F" w:themeColor="accent4"/>
        </w:tcBorders>
      </w:tcPr>
    </w:tblStylePr>
    <w:tblStylePr w:type="lastRow">
      <w:rPr>
        <w:b/>
        <w:bCs/>
      </w:rPr>
      <w:tblPr/>
      <w:tcPr>
        <w:tcBorders>
          <w:top w:val="double" w:sz="4" w:space="0" w:color="3F3F3F" w:themeColor="accent4"/>
        </w:tcBorders>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ListTable6ColourfulAccent5">
    <w:name w:val="List Table 6 Colorful Accent 5"/>
    <w:basedOn w:val="TableNormal"/>
    <w:rsid w:val="003D7EDD"/>
    <w:rPr>
      <w:color w:val="5F5F5F" w:themeColor="accent5" w:themeShade="BF"/>
    </w:rPr>
    <w:tblPr>
      <w:tblStyleRowBandSize w:val="1"/>
      <w:tblStyleColBandSize w:val="1"/>
      <w:tblBorders>
        <w:top w:val="single" w:sz="4" w:space="0" w:color="7F7F7F" w:themeColor="accent5"/>
        <w:bottom w:val="single" w:sz="4" w:space="0" w:color="7F7F7F" w:themeColor="accent5"/>
      </w:tblBorders>
    </w:tblPr>
    <w:tblStylePr w:type="firstRow">
      <w:rPr>
        <w:b/>
        <w:bCs/>
      </w:rPr>
      <w:tblPr/>
      <w:tcPr>
        <w:tcBorders>
          <w:bottom w:val="single" w:sz="4" w:space="0" w:color="7F7F7F" w:themeColor="accent5"/>
        </w:tcBorders>
      </w:tcPr>
    </w:tblStylePr>
    <w:tblStylePr w:type="lastRow">
      <w:rPr>
        <w:b/>
        <w:bCs/>
      </w:rPr>
      <w:tblPr/>
      <w:tcPr>
        <w:tcBorders>
          <w:top w:val="double" w:sz="4" w:space="0" w:color="7F7F7F" w:themeColor="accent5"/>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6ColourfulAccent6">
    <w:name w:val="List Table 6 Colorful Accent 6"/>
    <w:basedOn w:val="TableNormal"/>
    <w:rsid w:val="003D7EDD"/>
    <w:rPr>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b/>
        <w:bCs/>
      </w:rPr>
      <w:tblPr/>
      <w:tcPr>
        <w:tcBorders>
          <w:bottom w:val="single" w:sz="4" w:space="0" w:color="BFBFBF" w:themeColor="accent6"/>
        </w:tcBorders>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7ColourfulAccent1">
    <w:name w:val="List Table 7 Colorful Accent 1"/>
    <w:basedOn w:val="TableNormal"/>
    <w:rsid w:val="003D7EDD"/>
    <w:rPr>
      <w:color w:val="4C48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09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09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09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09E" w:themeColor="accent1"/>
        </w:tcBorders>
        <w:shd w:val="clear" w:color="auto" w:fill="FFFFFF" w:themeFill="background1"/>
      </w:tcPr>
    </w:tblStylePr>
    <w:tblStylePr w:type="band1Vert">
      <w:tblPr/>
      <w:tcPr>
        <w:shd w:val="clear" w:color="auto" w:fill="E0DFEB" w:themeFill="accent1" w:themeFillTint="33"/>
      </w:tcPr>
    </w:tblStylePr>
    <w:tblStylePr w:type="band1Horz">
      <w:tblPr/>
      <w:tcPr>
        <w:shd w:val="clear" w:color="auto" w:fill="E0DF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rsid w:val="003D7EDD"/>
    <w:rPr>
      <w:color w:val="5D7F6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3A48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3A48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3A48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3A488" w:themeColor="accent2"/>
        </w:tcBorders>
        <w:shd w:val="clear" w:color="auto" w:fill="FFFFFF" w:themeFill="background1"/>
      </w:tcPr>
    </w:tblStylePr>
    <w:tblStylePr w:type="band1Vert">
      <w:tblPr/>
      <w:tcPr>
        <w:shd w:val="clear" w:color="auto" w:fill="E6ECE7" w:themeFill="accent2" w:themeFillTint="33"/>
      </w:tcPr>
    </w:tblStylePr>
    <w:tblStylePr w:type="band1Horz">
      <w:tblPr/>
      <w:tcPr>
        <w:shd w:val="clear" w:color="auto" w:fill="E6EC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rsid w:val="003D7EDD"/>
    <w:rPr>
      <w:color w:val="B5B53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D16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D16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D16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D16F" w:themeColor="accent3"/>
        </w:tcBorders>
        <w:shd w:val="clear" w:color="auto" w:fill="FFFFFF" w:themeFill="background1"/>
      </w:tcPr>
    </w:tblStylePr>
    <w:tblStylePr w:type="band1Vert">
      <w:tblPr/>
      <w:tcPr>
        <w:shd w:val="clear" w:color="auto" w:fill="F5F5E2" w:themeFill="accent3" w:themeFillTint="33"/>
      </w:tcPr>
    </w:tblStylePr>
    <w:tblStylePr w:type="band1Horz">
      <w:tblPr/>
      <w:tcPr>
        <w:shd w:val="clear" w:color="auto" w:fill="F5F5E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rsid w:val="003D7EDD"/>
    <w:rPr>
      <w:color w:val="2F2F2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3F3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3F3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3F3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3F3F" w:themeColor="accent4"/>
        </w:tcBorders>
        <w:shd w:val="clear" w:color="auto" w:fill="FFFFFF" w:themeFill="background1"/>
      </w:tcPr>
    </w:tblStylePr>
    <w:tblStylePr w:type="band1Vert">
      <w:tblPr/>
      <w:tcPr>
        <w:shd w:val="clear" w:color="auto" w:fill="D8D8D8" w:themeFill="accent4" w:themeFillTint="33"/>
      </w:tcPr>
    </w:tblStylePr>
    <w:tblStylePr w:type="band1Horz">
      <w:tblPr/>
      <w:tcPr>
        <w:shd w:val="clear" w:color="auto" w:fill="D8D8D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rsid w:val="003D7EDD"/>
    <w:rPr>
      <w:color w:val="5F5F5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accent5"/>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rsid w:val="003D7EDD"/>
    <w:rPr>
      <w:color w:val="8F8F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FBF"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List-Accent1">
    <w:name w:val="Light List Accent 1"/>
    <w:basedOn w:val="TableNormal"/>
    <w:unhideWhenUsed/>
    <w:rsid w:val="003D7EDD"/>
    <w:tblPr>
      <w:tblStyleRowBandSize w:val="1"/>
      <w:tblStyleColBandSize w:val="1"/>
      <w:tblBorders>
        <w:top w:val="single" w:sz="8" w:space="0" w:color="66609E" w:themeColor="accent1"/>
        <w:left w:val="single" w:sz="8" w:space="0" w:color="66609E" w:themeColor="accent1"/>
        <w:bottom w:val="single" w:sz="8" w:space="0" w:color="66609E" w:themeColor="accent1"/>
        <w:right w:val="single" w:sz="8" w:space="0" w:color="66609E" w:themeColor="accent1"/>
      </w:tblBorders>
    </w:tblPr>
    <w:tblStylePr w:type="firstRow">
      <w:pPr>
        <w:spacing w:before="0" w:after="0" w:line="240" w:lineRule="auto"/>
      </w:pPr>
      <w:rPr>
        <w:b/>
        <w:bCs/>
        <w:color w:val="FFFFFF" w:themeColor="background1"/>
      </w:rPr>
      <w:tblPr/>
      <w:tcPr>
        <w:shd w:val="clear" w:color="auto" w:fill="66609E" w:themeFill="accent1"/>
      </w:tcPr>
    </w:tblStylePr>
    <w:tblStylePr w:type="lastRow">
      <w:pPr>
        <w:spacing w:before="0" w:after="0" w:line="240" w:lineRule="auto"/>
      </w:pPr>
      <w:rPr>
        <w:b/>
        <w:bCs/>
      </w:rPr>
      <w:tblPr/>
      <w:tcPr>
        <w:tcBorders>
          <w:top w:val="double" w:sz="6" w:space="0" w:color="66609E" w:themeColor="accent1"/>
          <w:left w:val="single" w:sz="8" w:space="0" w:color="66609E" w:themeColor="accent1"/>
          <w:bottom w:val="single" w:sz="8" w:space="0" w:color="66609E" w:themeColor="accent1"/>
          <w:right w:val="single" w:sz="8" w:space="0" w:color="66609E" w:themeColor="accent1"/>
        </w:tcBorders>
      </w:tcPr>
    </w:tblStylePr>
    <w:tblStylePr w:type="firstCol">
      <w:rPr>
        <w:b/>
        <w:bCs/>
      </w:rPr>
    </w:tblStylePr>
    <w:tblStylePr w:type="lastCol">
      <w:rPr>
        <w:b/>
        <w:bCs/>
      </w:rPr>
    </w:tblStylePr>
    <w:tblStylePr w:type="band1Vert">
      <w:tblPr/>
      <w:tcPr>
        <w:tcBorders>
          <w:top w:val="single" w:sz="8" w:space="0" w:color="66609E" w:themeColor="accent1"/>
          <w:left w:val="single" w:sz="8" w:space="0" w:color="66609E" w:themeColor="accent1"/>
          <w:bottom w:val="single" w:sz="8" w:space="0" w:color="66609E" w:themeColor="accent1"/>
          <w:right w:val="single" w:sz="8" w:space="0" w:color="66609E" w:themeColor="accent1"/>
        </w:tcBorders>
      </w:tcPr>
    </w:tblStylePr>
    <w:tblStylePr w:type="band1Horz">
      <w:tblPr/>
      <w:tcPr>
        <w:tcBorders>
          <w:top w:val="single" w:sz="8" w:space="0" w:color="66609E" w:themeColor="accent1"/>
          <w:left w:val="single" w:sz="8" w:space="0" w:color="66609E" w:themeColor="accent1"/>
          <w:bottom w:val="single" w:sz="8" w:space="0" w:color="66609E" w:themeColor="accent1"/>
          <w:right w:val="single" w:sz="8" w:space="0" w:color="66609E" w:themeColor="accent1"/>
        </w:tcBorders>
      </w:tcPr>
    </w:tblStylePr>
  </w:style>
  <w:style w:type="table" w:styleId="LightList-Accent2">
    <w:name w:val="Light List Accent 2"/>
    <w:basedOn w:val="TableNormal"/>
    <w:unhideWhenUsed/>
    <w:rsid w:val="003D7EDD"/>
    <w:tblPr>
      <w:tblStyleRowBandSize w:val="1"/>
      <w:tblStyleColBandSize w:val="1"/>
      <w:tblBorders>
        <w:top w:val="single" w:sz="8" w:space="0" w:color="83A488" w:themeColor="accent2"/>
        <w:left w:val="single" w:sz="8" w:space="0" w:color="83A488" w:themeColor="accent2"/>
        <w:bottom w:val="single" w:sz="8" w:space="0" w:color="83A488" w:themeColor="accent2"/>
        <w:right w:val="single" w:sz="8" w:space="0" w:color="83A488" w:themeColor="accent2"/>
      </w:tblBorders>
    </w:tblPr>
    <w:tblStylePr w:type="firstRow">
      <w:pPr>
        <w:spacing w:before="0" w:after="0" w:line="240" w:lineRule="auto"/>
      </w:pPr>
      <w:rPr>
        <w:b/>
        <w:bCs/>
        <w:color w:val="FFFFFF" w:themeColor="background1"/>
      </w:rPr>
      <w:tblPr/>
      <w:tcPr>
        <w:shd w:val="clear" w:color="auto" w:fill="83A488" w:themeFill="accent2"/>
      </w:tcPr>
    </w:tblStylePr>
    <w:tblStylePr w:type="lastRow">
      <w:pPr>
        <w:spacing w:before="0" w:after="0" w:line="240" w:lineRule="auto"/>
      </w:pPr>
      <w:rPr>
        <w:b/>
        <w:bCs/>
      </w:rPr>
      <w:tblPr/>
      <w:tcPr>
        <w:tcBorders>
          <w:top w:val="double" w:sz="6" w:space="0" w:color="83A488" w:themeColor="accent2"/>
          <w:left w:val="single" w:sz="8" w:space="0" w:color="83A488" w:themeColor="accent2"/>
          <w:bottom w:val="single" w:sz="8" w:space="0" w:color="83A488" w:themeColor="accent2"/>
          <w:right w:val="single" w:sz="8" w:space="0" w:color="83A488" w:themeColor="accent2"/>
        </w:tcBorders>
      </w:tcPr>
    </w:tblStylePr>
    <w:tblStylePr w:type="firstCol">
      <w:rPr>
        <w:b/>
        <w:bCs/>
      </w:rPr>
    </w:tblStylePr>
    <w:tblStylePr w:type="lastCol">
      <w:rPr>
        <w:b/>
        <w:bCs/>
      </w:rPr>
    </w:tblStylePr>
    <w:tblStylePr w:type="band1Vert">
      <w:tblPr/>
      <w:tcPr>
        <w:tcBorders>
          <w:top w:val="single" w:sz="8" w:space="0" w:color="83A488" w:themeColor="accent2"/>
          <w:left w:val="single" w:sz="8" w:space="0" w:color="83A488" w:themeColor="accent2"/>
          <w:bottom w:val="single" w:sz="8" w:space="0" w:color="83A488" w:themeColor="accent2"/>
          <w:right w:val="single" w:sz="8" w:space="0" w:color="83A488" w:themeColor="accent2"/>
        </w:tcBorders>
      </w:tcPr>
    </w:tblStylePr>
    <w:tblStylePr w:type="band1Horz">
      <w:tblPr/>
      <w:tcPr>
        <w:tcBorders>
          <w:top w:val="single" w:sz="8" w:space="0" w:color="83A488" w:themeColor="accent2"/>
          <w:left w:val="single" w:sz="8" w:space="0" w:color="83A488" w:themeColor="accent2"/>
          <w:bottom w:val="single" w:sz="8" w:space="0" w:color="83A488" w:themeColor="accent2"/>
          <w:right w:val="single" w:sz="8" w:space="0" w:color="83A488" w:themeColor="accent2"/>
        </w:tcBorders>
      </w:tcPr>
    </w:tblStylePr>
  </w:style>
  <w:style w:type="table" w:styleId="LightList-Accent3">
    <w:name w:val="Light List Accent 3"/>
    <w:basedOn w:val="TableNormal"/>
    <w:unhideWhenUsed/>
    <w:rsid w:val="003D7EDD"/>
    <w:tblPr>
      <w:tblStyleRowBandSize w:val="1"/>
      <w:tblStyleColBandSize w:val="1"/>
      <w:tblBorders>
        <w:top w:val="single" w:sz="8" w:space="0" w:color="D1D16F" w:themeColor="accent3"/>
        <w:left w:val="single" w:sz="8" w:space="0" w:color="D1D16F" w:themeColor="accent3"/>
        <w:bottom w:val="single" w:sz="8" w:space="0" w:color="D1D16F" w:themeColor="accent3"/>
        <w:right w:val="single" w:sz="8" w:space="0" w:color="D1D16F" w:themeColor="accent3"/>
      </w:tblBorders>
    </w:tblPr>
    <w:tblStylePr w:type="firstRow">
      <w:pPr>
        <w:spacing w:before="0" w:after="0" w:line="240" w:lineRule="auto"/>
      </w:pPr>
      <w:rPr>
        <w:b/>
        <w:bCs/>
        <w:color w:val="FFFFFF" w:themeColor="background1"/>
      </w:rPr>
      <w:tblPr/>
      <w:tcPr>
        <w:shd w:val="clear" w:color="auto" w:fill="D1D16F" w:themeFill="accent3"/>
      </w:tcPr>
    </w:tblStylePr>
    <w:tblStylePr w:type="lastRow">
      <w:pPr>
        <w:spacing w:before="0" w:after="0" w:line="240" w:lineRule="auto"/>
      </w:pPr>
      <w:rPr>
        <w:b/>
        <w:bCs/>
      </w:rPr>
      <w:tblPr/>
      <w:tcPr>
        <w:tcBorders>
          <w:top w:val="double" w:sz="6" w:space="0" w:color="D1D16F" w:themeColor="accent3"/>
          <w:left w:val="single" w:sz="8" w:space="0" w:color="D1D16F" w:themeColor="accent3"/>
          <w:bottom w:val="single" w:sz="8" w:space="0" w:color="D1D16F" w:themeColor="accent3"/>
          <w:right w:val="single" w:sz="8" w:space="0" w:color="D1D16F" w:themeColor="accent3"/>
        </w:tcBorders>
      </w:tcPr>
    </w:tblStylePr>
    <w:tblStylePr w:type="firstCol">
      <w:rPr>
        <w:b/>
        <w:bCs/>
      </w:rPr>
    </w:tblStylePr>
    <w:tblStylePr w:type="lastCol">
      <w:rPr>
        <w:b/>
        <w:bCs/>
      </w:rPr>
    </w:tblStylePr>
    <w:tblStylePr w:type="band1Vert">
      <w:tblPr/>
      <w:tcPr>
        <w:tcBorders>
          <w:top w:val="single" w:sz="8" w:space="0" w:color="D1D16F" w:themeColor="accent3"/>
          <w:left w:val="single" w:sz="8" w:space="0" w:color="D1D16F" w:themeColor="accent3"/>
          <w:bottom w:val="single" w:sz="8" w:space="0" w:color="D1D16F" w:themeColor="accent3"/>
          <w:right w:val="single" w:sz="8" w:space="0" w:color="D1D16F" w:themeColor="accent3"/>
        </w:tcBorders>
      </w:tcPr>
    </w:tblStylePr>
    <w:tblStylePr w:type="band1Horz">
      <w:tblPr/>
      <w:tcPr>
        <w:tcBorders>
          <w:top w:val="single" w:sz="8" w:space="0" w:color="D1D16F" w:themeColor="accent3"/>
          <w:left w:val="single" w:sz="8" w:space="0" w:color="D1D16F" w:themeColor="accent3"/>
          <w:bottom w:val="single" w:sz="8" w:space="0" w:color="D1D16F" w:themeColor="accent3"/>
          <w:right w:val="single" w:sz="8" w:space="0" w:color="D1D16F" w:themeColor="accent3"/>
        </w:tcBorders>
      </w:tcPr>
    </w:tblStylePr>
  </w:style>
  <w:style w:type="table" w:styleId="LightList-Accent4">
    <w:name w:val="Light List Accent 4"/>
    <w:basedOn w:val="TableNormal"/>
    <w:unhideWhenUsed/>
    <w:rsid w:val="003D7EDD"/>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blStylePr w:type="firstRow">
      <w:pPr>
        <w:spacing w:before="0" w:after="0" w:line="240" w:lineRule="auto"/>
      </w:pPr>
      <w:rPr>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nhideWhenUsed/>
    <w:rsid w:val="003D7EDD"/>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 w:type="table" w:styleId="LightList-Accent6">
    <w:name w:val="Light List Accent 6"/>
    <w:basedOn w:val="TableNormal"/>
    <w:unhideWhenUsed/>
    <w:rsid w:val="003D7EDD"/>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Accent1">
    <w:name w:val="Light Shading Accent 1"/>
    <w:basedOn w:val="TableNormal"/>
    <w:unhideWhenUsed/>
    <w:rsid w:val="003D7EDD"/>
    <w:rPr>
      <w:color w:val="4C4876" w:themeColor="accent1" w:themeShade="BF"/>
    </w:rPr>
    <w:tblPr>
      <w:tblStyleRowBandSize w:val="1"/>
      <w:tblStyleColBandSize w:val="1"/>
      <w:tblBorders>
        <w:top w:val="single" w:sz="8" w:space="0" w:color="66609E" w:themeColor="accent1"/>
        <w:bottom w:val="single" w:sz="8" w:space="0" w:color="66609E" w:themeColor="accent1"/>
      </w:tblBorders>
    </w:tblPr>
    <w:tblStylePr w:type="firstRow">
      <w:pPr>
        <w:spacing w:before="0" w:after="0" w:line="240" w:lineRule="auto"/>
      </w:pPr>
      <w:rPr>
        <w:b/>
        <w:bCs/>
      </w:rPr>
      <w:tblPr/>
      <w:tcPr>
        <w:tcBorders>
          <w:top w:val="single" w:sz="8" w:space="0" w:color="66609E" w:themeColor="accent1"/>
          <w:left w:val="nil"/>
          <w:bottom w:val="single" w:sz="8" w:space="0" w:color="66609E" w:themeColor="accent1"/>
          <w:right w:val="nil"/>
          <w:insideH w:val="nil"/>
          <w:insideV w:val="nil"/>
        </w:tcBorders>
      </w:tcPr>
    </w:tblStylePr>
    <w:tblStylePr w:type="lastRow">
      <w:pPr>
        <w:spacing w:before="0" w:after="0" w:line="240" w:lineRule="auto"/>
      </w:pPr>
      <w:rPr>
        <w:b/>
        <w:bCs/>
      </w:rPr>
      <w:tblPr/>
      <w:tcPr>
        <w:tcBorders>
          <w:top w:val="single" w:sz="8" w:space="0" w:color="66609E" w:themeColor="accent1"/>
          <w:left w:val="nil"/>
          <w:bottom w:val="single" w:sz="8" w:space="0" w:color="66609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7E7" w:themeFill="accent1" w:themeFillTint="3F"/>
      </w:tcPr>
    </w:tblStylePr>
    <w:tblStylePr w:type="band1Horz">
      <w:tblPr/>
      <w:tcPr>
        <w:tcBorders>
          <w:left w:val="nil"/>
          <w:right w:val="nil"/>
          <w:insideH w:val="nil"/>
          <w:insideV w:val="nil"/>
        </w:tcBorders>
        <w:shd w:val="clear" w:color="auto" w:fill="D8D7E7" w:themeFill="accent1" w:themeFillTint="3F"/>
      </w:tcPr>
    </w:tblStylePr>
  </w:style>
  <w:style w:type="table" w:styleId="LightShading-Accent2">
    <w:name w:val="Light Shading Accent 2"/>
    <w:basedOn w:val="TableNormal"/>
    <w:unhideWhenUsed/>
    <w:rsid w:val="003D7EDD"/>
    <w:rPr>
      <w:color w:val="5D7F62" w:themeColor="accent2" w:themeShade="BF"/>
    </w:rPr>
    <w:tblPr>
      <w:tblStyleRowBandSize w:val="1"/>
      <w:tblStyleColBandSize w:val="1"/>
      <w:tblBorders>
        <w:top w:val="single" w:sz="8" w:space="0" w:color="83A488" w:themeColor="accent2"/>
        <w:bottom w:val="single" w:sz="8" w:space="0" w:color="83A488" w:themeColor="accent2"/>
      </w:tblBorders>
    </w:tblPr>
    <w:tblStylePr w:type="firstRow">
      <w:pPr>
        <w:spacing w:before="0" w:after="0" w:line="240" w:lineRule="auto"/>
      </w:pPr>
      <w:rPr>
        <w:b/>
        <w:bCs/>
      </w:rPr>
      <w:tblPr/>
      <w:tcPr>
        <w:tcBorders>
          <w:top w:val="single" w:sz="8" w:space="0" w:color="83A488" w:themeColor="accent2"/>
          <w:left w:val="nil"/>
          <w:bottom w:val="single" w:sz="8" w:space="0" w:color="83A488" w:themeColor="accent2"/>
          <w:right w:val="nil"/>
          <w:insideH w:val="nil"/>
          <w:insideV w:val="nil"/>
        </w:tcBorders>
      </w:tcPr>
    </w:tblStylePr>
    <w:tblStylePr w:type="lastRow">
      <w:pPr>
        <w:spacing w:before="0" w:after="0" w:line="240" w:lineRule="auto"/>
      </w:pPr>
      <w:rPr>
        <w:b/>
        <w:bCs/>
      </w:rPr>
      <w:tblPr/>
      <w:tcPr>
        <w:tcBorders>
          <w:top w:val="single" w:sz="8" w:space="0" w:color="83A488" w:themeColor="accent2"/>
          <w:left w:val="nil"/>
          <w:bottom w:val="single" w:sz="8" w:space="0" w:color="83A48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8E1" w:themeFill="accent2" w:themeFillTint="3F"/>
      </w:tcPr>
    </w:tblStylePr>
    <w:tblStylePr w:type="band1Horz">
      <w:tblPr/>
      <w:tcPr>
        <w:tcBorders>
          <w:left w:val="nil"/>
          <w:right w:val="nil"/>
          <w:insideH w:val="nil"/>
          <w:insideV w:val="nil"/>
        </w:tcBorders>
        <w:shd w:val="clear" w:color="auto" w:fill="E0E8E1" w:themeFill="accent2" w:themeFillTint="3F"/>
      </w:tcPr>
    </w:tblStylePr>
  </w:style>
  <w:style w:type="table" w:styleId="LightShading-Accent3">
    <w:name w:val="Light Shading Accent 3"/>
    <w:basedOn w:val="TableNormal"/>
    <w:unhideWhenUsed/>
    <w:rsid w:val="003D7EDD"/>
    <w:rPr>
      <w:color w:val="B5B53A" w:themeColor="accent3" w:themeShade="BF"/>
    </w:rPr>
    <w:tblPr>
      <w:tblStyleRowBandSize w:val="1"/>
      <w:tblStyleColBandSize w:val="1"/>
      <w:tblBorders>
        <w:top w:val="single" w:sz="8" w:space="0" w:color="D1D16F" w:themeColor="accent3"/>
        <w:bottom w:val="single" w:sz="8" w:space="0" w:color="D1D16F" w:themeColor="accent3"/>
      </w:tblBorders>
    </w:tblPr>
    <w:tblStylePr w:type="firstRow">
      <w:pPr>
        <w:spacing w:before="0" w:after="0" w:line="240" w:lineRule="auto"/>
      </w:pPr>
      <w:rPr>
        <w:b/>
        <w:bCs/>
      </w:rPr>
      <w:tblPr/>
      <w:tcPr>
        <w:tcBorders>
          <w:top w:val="single" w:sz="8" w:space="0" w:color="D1D16F" w:themeColor="accent3"/>
          <w:left w:val="nil"/>
          <w:bottom w:val="single" w:sz="8" w:space="0" w:color="D1D16F" w:themeColor="accent3"/>
          <w:right w:val="nil"/>
          <w:insideH w:val="nil"/>
          <w:insideV w:val="nil"/>
        </w:tcBorders>
      </w:tcPr>
    </w:tblStylePr>
    <w:tblStylePr w:type="lastRow">
      <w:pPr>
        <w:spacing w:before="0" w:after="0" w:line="240" w:lineRule="auto"/>
      </w:pPr>
      <w:rPr>
        <w:b/>
        <w:bCs/>
      </w:rPr>
      <w:tblPr/>
      <w:tcPr>
        <w:tcBorders>
          <w:top w:val="single" w:sz="8" w:space="0" w:color="D1D16F" w:themeColor="accent3"/>
          <w:left w:val="nil"/>
          <w:bottom w:val="single" w:sz="8" w:space="0" w:color="D1D1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3DB" w:themeFill="accent3" w:themeFillTint="3F"/>
      </w:tcPr>
    </w:tblStylePr>
    <w:tblStylePr w:type="band1Horz">
      <w:tblPr/>
      <w:tcPr>
        <w:tcBorders>
          <w:left w:val="nil"/>
          <w:right w:val="nil"/>
          <w:insideH w:val="nil"/>
          <w:insideV w:val="nil"/>
        </w:tcBorders>
        <w:shd w:val="clear" w:color="auto" w:fill="F3F3DB" w:themeFill="accent3" w:themeFillTint="3F"/>
      </w:tcPr>
    </w:tblStylePr>
  </w:style>
  <w:style w:type="table" w:styleId="LightShading-Accent4">
    <w:name w:val="Light Shading Accent 4"/>
    <w:basedOn w:val="TableNormal"/>
    <w:unhideWhenUsed/>
    <w:rsid w:val="003D7EDD"/>
    <w:rPr>
      <w:color w:val="2F2F2F" w:themeColor="accent4" w:themeShade="BF"/>
    </w:rPr>
    <w:tblPr>
      <w:tblStyleRowBandSize w:val="1"/>
      <w:tblStyleColBandSize w:val="1"/>
      <w:tblBorders>
        <w:top w:val="single" w:sz="8" w:space="0" w:color="3F3F3F" w:themeColor="accent4"/>
        <w:bottom w:val="single" w:sz="8" w:space="0" w:color="3F3F3F" w:themeColor="accent4"/>
      </w:tblBorders>
    </w:tblPr>
    <w:tblStylePr w:type="fir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nhideWhenUsed/>
    <w:rsid w:val="003D7EDD"/>
    <w:rPr>
      <w:color w:val="5F5F5F" w:themeColor="accent5" w:themeShade="BF"/>
    </w:rPr>
    <w:tblPr>
      <w:tblStyleRowBandSize w:val="1"/>
      <w:tblStyleColBandSize w:val="1"/>
      <w:tblBorders>
        <w:top w:val="single" w:sz="8" w:space="0" w:color="7F7F7F" w:themeColor="accent5"/>
        <w:bottom w:val="single" w:sz="8" w:space="0" w:color="7F7F7F" w:themeColor="accent5"/>
      </w:tblBorders>
    </w:tblPr>
    <w:tblStylePr w:type="firstRow">
      <w:pPr>
        <w:spacing w:before="0" w:after="0" w:line="240" w:lineRule="auto"/>
      </w:pPr>
      <w:rPr>
        <w:b/>
        <w:bCs/>
      </w:rPr>
      <w:tblPr/>
      <w:tcPr>
        <w:tcBorders>
          <w:top w:val="single" w:sz="8" w:space="0" w:color="7F7F7F" w:themeColor="accent5"/>
          <w:left w:val="nil"/>
          <w:bottom w:val="single" w:sz="8" w:space="0" w:color="7F7F7F" w:themeColor="accent5"/>
          <w:right w:val="nil"/>
          <w:insideH w:val="nil"/>
          <w:insideV w:val="nil"/>
        </w:tcBorders>
      </w:tcPr>
    </w:tblStylePr>
    <w:tblStylePr w:type="lastRow">
      <w:pPr>
        <w:spacing w:before="0" w:after="0" w:line="240" w:lineRule="auto"/>
      </w:pPr>
      <w:rPr>
        <w:b/>
        <w:bCs/>
      </w:rPr>
      <w:tblPr/>
      <w:tcPr>
        <w:tcBorders>
          <w:top w:val="single" w:sz="8" w:space="0" w:color="7F7F7F" w:themeColor="accent5"/>
          <w:left w:val="nil"/>
          <w:bottom w:val="single" w:sz="8" w:space="0" w:color="7F7F7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5" w:themeFillTint="3F"/>
      </w:tcPr>
    </w:tblStylePr>
    <w:tblStylePr w:type="band1Horz">
      <w:tblPr/>
      <w:tcPr>
        <w:tcBorders>
          <w:left w:val="nil"/>
          <w:right w:val="nil"/>
          <w:insideH w:val="nil"/>
          <w:insideV w:val="nil"/>
        </w:tcBorders>
        <w:shd w:val="clear" w:color="auto" w:fill="DFDFDF" w:themeFill="accent5" w:themeFillTint="3F"/>
      </w:tcPr>
    </w:tblStylePr>
  </w:style>
  <w:style w:type="table" w:styleId="LightShading-Accent6">
    <w:name w:val="Light Shading Accent 6"/>
    <w:basedOn w:val="TableNormal"/>
    <w:unhideWhenUsed/>
    <w:rsid w:val="003D7EDD"/>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table" w:styleId="LightGrid-Accent1">
    <w:name w:val="Light Grid Accent 1"/>
    <w:basedOn w:val="TableNormal"/>
    <w:unhideWhenUsed/>
    <w:rsid w:val="003D7EDD"/>
    <w:tblPr>
      <w:tblStyleRowBandSize w:val="1"/>
      <w:tblStyleColBandSize w:val="1"/>
      <w:tblBorders>
        <w:top w:val="single" w:sz="8" w:space="0" w:color="66609E" w:themeColor="accent1"/>
        <w:left w:val="single" w:sz="8" w:space="0" w:color="66609E" w:themeColor="accent1"/>
        <w:bottom w:val="single" w:sz="8" w:space="0" w:color="66609E" w:themeColor="accent1"/>
        <w:right w:val="single" w:sz="8" w:space="0" w:color="66609E" w:themeColor="accent1"/>
        <w:insideH w:val="single" w:sz="8" w:space="0" w:color="66609E" w:themeColor="accent1"/>
        <w:insideV w:val="single" w:sz="8" w:space="0" w:color="66609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09E" w:themeColor="accent1"/>
          <w:left w:val="single" w:sz="8" w:space="0" w:color="66609E" w:themeColor="accent1"/>
          <w:bottom w:val="single" w:sz="18" w:space="0" w:color="66609E" w:themeColor="accent1"/>
          <w:right w:val="single" w:sz="8" w:space="0" w:color="66609E" w:themeColor="accent1"/>
          <w:insideH w:val="nil"/>
          <w:insideV w:val="single" w:sz="8" w:space="0" w:color="66609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09E" w:themeColor="accent1"/>
          <w:left w:val="single" w:sz="8" w:space="0" w:color="66609E" w:themeColor="accent1"/>
          <w:bottom w:val="single" w:sz="8" w:space="0" w:color="66609E" w:themeColor="accent1"/>
          <w:right w:val="single" w:sz="8" w:space="0" w:color="66609E" w:themeColor="accent1"/>
          <w:insideH w:val="nil"/>
          <w:insideV w:val="single" w:sz="8" w:space="0" w:color="66609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09E" w:themeColor="accent1"/>
          <w:left w:val="single" w:sz="8" w:space="0" w:color="66609E" w:themeColor="accent1"/>
          <w:bottom w:val="single" w:sz="8" w:space="0" w:color="66609E" w:themeColor="accent1"/>
          <w:right w:val="single" w:sz="8" w:space="0" w:color="66609E" w:themeColor="accent1"/>
        </w:tcBorders>
      </w:tcPr>
    </w:tblStylePr>
    <w:tblStylePr w:type="band1Vert">
      <w:tblPr/>
      <w:tcPr>
        <w:tcBorders>
          <w:top w:val="single" w:sz="8" w:space="0" w:color="66609E" w:themeColor="accent1"/>
          <w:left w:val="single" w:sz="8" w:space="0" w:color="66609E" w:themeColor="accent1"/>
          <w:bottom w:val="single" w:sz="8" w:space="0" w:color="66609E" w:themeColor="accent1"/>
          <w:right w:val="single" w:sz="8" w:space="0" w:color="66609E" w:themeColor="accent1"/>
        </w:tcBorders>
        <w:shd w:val="clear" w:color="auto" w:fill="D8D7E7" w:themeFill="accent1" w:themeFillTint="3F"/>
      </w:tcPr>
    </w:tblStylePr>
    <w:tblStylePr w:type="band1Horz">
      <w:tblPr/>
      <w:tcPr>
        <w:tcBorders>
          <w:top w:val="single" w:sz="8" w:space="0" w:color="66609E" w:themeColor="accent1"/>
          <w:left w:val="single" w:sz="8" w:space="0" w:color="66609E" w:themeColor="accent1"/>
          <w:bottom w:val="single" w:sz="8" w:space="0" w:color="66609E" w:themeColor="accent1"/>
          <w:right w:val="single" w:sz="8" w:space="0" w:color="66609E" w:themeColor="accent1"/>
          <w:insideV w:val="single" w:sz="8" w:space="0" w:color="66609E" w:themeColor="accent1"/>
        </w:tcBorders>
        <w:shd w:val="clear" w:color="auto" w:fill="D8D7E7" w:themeFill="accent1" w:themeFillTint="3F"/>
      </w:tcPr>
    </w:tblStylePr>
    <w:tblStylePr w:type="band2Horz">
      <w:tblPr/>
      <w:tcPr>
        <w:tcBorders>
          <w:top w:val="single" w:sz="8" w:space="0" w:color="66609E" w:themeColor="accent1"/>
          <w:left w:val="single" w:sz="8" w:space="0" w:color="66609E" w:themeColor="accent1"/>
          <w:bottom w:val="single" w:sz="8" w:space="0" w:color="66609E" w:themeColor="accent1"/>
          <w:right w:val="single" w:sz="8" w:space="0" w:color="66609E" w:themeColor="accent1"/>
          <w:insideV w:val="single" w:sz="8" w:space="0" w:color="66609E" w:themeColor="accent1"/>
        </w:tcBorders>
      </w:tcPr>
    </w:tblStylePr>
  </w:style>
  <w:style w:type="table" w:styleId="LightGrid-Accent2">
    <w:name w:val="Light Grid Accent 2"/>
    <w:basedOn w:val="TableNormal"/>
    <w:unhideWhenUsed/>
    <w:rsid w:val="003D7EDD"/>
    <w:tblPr>
      <w:tblStyleRowBandSize w:val="1"/>
      <w:tblStyleColBandSize w:val="1"/>
      <w:tblBorders>
        <w:top w:val="single" w:sz="8" w:space="0" w:color="83A488" w:themeColor="accent2"/>
        <w:left w:val="single" w:sz="8" w:space="0" w:color="83A488" w:themeColor="accent2"/>
        <w:bottom w:val="single" w:sz="8" w:space="0" w:color="83A488" w:themeColor="accent2"/>
        <w:right w:val="single" w:sz="8" w:space="0" w:color="83A488" w:themeColor="accent2"/>
        <w:insideH w:val="single" w:sz="8" w:space="0" w:color="83A488" w:themeColor="accent2"/>
        <w:insideV w:val="single" w:sz="8" w:space="0" w:color="83A48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3A488" w:themeColor="accent2"/>
          <w:left w:val="single" w:sz="8" w:space="0" w:color="83A488" w:themeColor="accent2"/>
          <w:bottom w:val="single" w:sz="18" w:space="0" w:color="83A488" w:themeColor="accent2"/>
          <w:right w:val="single" w:sz="8" w:space="0" w:color="83A488" w:themeColor="accent2"/>
          <w:insideH w:val="nil"/>
          <w:insideV w:val="single" w:sz="8" w:space="0" w:color="83A48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3A488" w:themeColor="accent2"/>
          <w:left w:val="single" w:sz="8" w:space="0" w:color="83A488" w:themeColor="accent2"/>
          <w:bottom w:val="single" w:sz="8" w:space="0" w:color="83A488" w:themeColor="accent2"/>
          <w:right w:val="single" w:sz="8" w:space="0" w:color="83A488" w:themeColor="accent2"/>
          <w:insideH w:val="nil"/>
          <w:insideV w:val="single" w:sz="8" w:space="0" w:color="83A48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3A488" w:themeColor="accent2"/>
          <w:left w:val="single" w:sz="8" w:space="0" w:color="83A488" w:themeColor="accent2"/>
          <w:bottom w:val="single" w:sz="8" w:space="0" w:color="83A488" w:themeColor="accent2"/>
          <w:right w:val="single" w:sz="8" w:space="0" w:color="83A488" w:themeColor="accent2"/>
        </w:tcBorders>
      </w:tcPr>
    </w:tblStylePr>
    <w:tblStylePr w:type="band1Vert">
      <w:tblPr/>
      <w:tcPr>
        <w:tcBorders>
          <w:top w:val="single" w:sz="8" w:space="0" w:color="83A488" w:themeColor="accent2"/>
          <w:left w:val="single" w:sz="8" w:space="0" w:color="83A488" w:themeColor="accent2"/>
          <w:bottom w:val="single" w:sz="8" w:space="0" w:color="83A488" w:themeColor="accent2"/>
          <w:right w:val="single" w:sz="8" w:space="0" w:color="83A488" w:themeColor="accent2"/>
        </w:tcBorders>
        <w:shd w:val="clear" w:color="auto" w:fill="E0E8E1" w:themeFill="accent2" w:themeFillTint="3F"/>
      </w:tcPr>
    </w:tblStylePr>
    <w:tblStylePr w:type="band1Horz">
      <w:tblPr/>
      <w:tcPr>
        <w:tcBorders>
          <w:top w:val="single" w:sz="8" w:space="0" w:color="83A488" w:themeColor="accent2"/>
          <w:left w:val="single" w:sz="8" w:space="0" w:color="83A488" w:themeColor="accent2"/>
          <w:bottom w:val="single" w:sz="8" w:space="0" w:color="83A488" w:themeColor="accent2"/>
          <w:right w:val="single" w:sz="8" w:space="0" w:color="83A488" w:themeColor="accent2"/>
          <w:insideV w:val="single" w:sz="8" w:space="0" w:color="83A488" w:themeColor="accent2"/>
        </w:tcBorders>
        <w:shd w:val="clear" w:color="auto" w:fill="E0E8E1" w:themeFill="accent2" w:themeFillTint="3F"/>
      </w:tcPr>
    </w:tblStylePr>
    <w:tblStylePr w:type="band2Horz">
      <w:tblPr/>
      <w:tcPr>
        <w:tcBorders>
          <w:top w:val="single" w:sz="8" w:space="0" w:color="83A488" w:themeColor="accent2"/>
          <w:left w:val="single" w:sz="8" w:space="0" w:color="83A488" w:themeColor="accent2"/>
          <w:bottom w:val="single" w:sz="8" w:space="0" w:color="83A488" w:themeColor="accent2"/>
          <w:right w:val="single" w:sz="8" w:space="0" w:color="83A488" w:themeColor="accent2"/>
          <w:insideV w:val="single" w:sz="8" w:space="0" w:color="83A488" w:themeColor="accent2"/>
        </w:tcBorders>
      </w:tcPr>
    </w:tblStylePr>
  </w:style>
  <w:style w:type="table" w:styleId="LightGrid-Accent3">
    <w:name w:val="Light Grid Accent 3"/>
    <w:basedOn w:val="TableNormal"/>
    <w:unhideWhenUsed/>
    <w:rsid w:val="003D7EDD"/>
    <w:tblPr>
      <w:tblStyleRowBandSize w:val="1"/>
      <w:tblStyleColBandSize w:val="1"/>
      <w:tblBorders>
        <w:top w:val="single" w:sz="8" w:space="0" w:color="D1D16F" w:themeColor="accent3"/>
        <w:left w:val="single" w:sz="8" w:space="0" w:color="D1D16F" w:themeColor="accent3"/>
        <w:bottom w:val="single" w:sz="8" w:space="0" w:color="D1D16F" w:themeColor="accent3"/>
        <w:right w:val="single" w:sz="8" w:space="0" w:color="D1D16F" w:themeColor="accent3"/>
        <w:insideH w:val="single" w:sz="8" w:space="0" w:color="D1D16F" w:themeColor="accent3"/>
        <w:insideV w:val="single" w:sz="8" w:space="0" w:color="D1D16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D16F" w:themeColor="accent3"/>
          <w:left w:val="single" w:sz="8" w:space="0" w:color="D1D16F" w:themeColor="accent3"/>
          <w:bottom w:val="single" w:sz="18" w:space="0" w:color="D1D16F" w:themeColor="accent3"/>
          <w:right w:val="single" w:sz="8" w:space="0" w:color="D1D16F" w:themeColor="accent3"/>
          <w:insideH w:val="nil"/>
          <w:insideV w:val="single" w:sz="8" w:space="0" w:color="D1D16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D16F" w:themeColor="accent3"/>
          <w:left w:val="single" w:sz="8" w:space="0" w:color="D1D16F" w:themeColor="accent3"/>
          <w:bottom w:val="single" w:sz="8" w:space="0" w:color="D1D16F" w:themeColor="accent3"/>
          <w:right w:val="single" w:sz="8" w:space="0" w:color="D1D16F" w:themeColor="accent3"/>
          <w:insideH w:val="nil"/>
          <w:insideV w:val="single" w:sz="8" w:space="0" w:color="D1D16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D16F" w:themeColor="accent3"/>
          <w:left w:val="single" w:sz="8" w:space="0" w:color="D1D16F" w:themeColor="accent3"/>
          <w:bottom w:val="single" w:sz="8" w:space="0" w:color="D1D16F" w:themeColor="accent3"/>
          <w:right w:val="single" w:sz="8" w:space="0" w:color="D1D16F" w:themeColor="accent3"/>
        </w:tcBorders>
      </w:tcPr>
    </w:tblStylePr>
    <w:tblStylePr w:type="band1Vert">
      <w:tblPr/>
      <w:tcPr>
        <w:tcBorders>
          <w:top w:val="single" w:sz="8" w:space="0" w:color="D1D16F" w:themeColor="accent3"/>
          <w:left w:val="single" w:sz="8" w:space="0" w:color="D1D16F" w:themeColor="accent3"/>
          <w:bottom w:val="single" w:sz="8" w:space="0" w:color="D1D16F" w:themeColor="accent3"/>
          <w:right w:val="single" w:sz="8" w:space="0" w:color="D1D16F" w:themeColor="accent3"/>
        </w:tcBorders>
        <w:shd w:val="clear" w:color="auto" w:fill="F3F3DB" w:themeFill="accent3" w:themeFillTint="3F"/>
      </w:tcPr>
    </w:tblStylePr>
    <w:tblStylePr w:type="band1Horz">
      <w:tblPr/>
      <w:tcPr>
        <w:tcBorders>
          <w:top w:val="single" w:sz="8" w:space="0" w:color="D1D16F" w:themeColor="accent3"/>
          <w:left w:val="single" w:sz="8" w:space="0" w:color="D1D16F" w:themeColor="accent3"/>
          <w:bottom w:val="single" w:sz="8" w:space="0" w:color="D1D16F" w:themeColor="accent3"/>
          <w:right w:val="single" w:sz="8" w:space="0" w:color="D1D16F" w:themeColor="accent3"/>
          <w:insideV w:val="single" w:sz="8" w:space="0" w:color="D1D16F" w:themeColor="accent3"/>
        </w:tcBorders>
        <w:shd w:val="clear" w:color="auto" w:fill="F3F3DB" w:themeFill="accent3" w:themeFillTint="3F"/>
      </w:tcPr>
    </w:tblStylePr>
    <w:tblStylePr w:type="band2Horz">
      <w:tblPr/>
      <w:tcPr>
        <w:tcBorders>
          <w:top w:val="single" w:sz="8" w:space="0" w:color="D1D16F" w:themeColor="accent3"/>
          <w:left w:val="single" w:sz="8" w:space="0" w:color="D1D16F" w:themeColor="accent3"/>
          <w:bottom w:val="single" w:sz="8" w:space="0" w:color="D1D16F" w:themeColor="accent3"/>
          <w:right w:val="single" w:sz="8" w:space="0" w:color="D1D16F" w:themeColor="accent3"/>
          <w:insideV w:val="single" w:sz="8" w:space="0" w:color="D1D16F" w:themeColor="accent3"/>
        </w:tcBorders>
      </w:tcPr>
    </w:tblStylePr>
  </w:style>
  <w:style w:type="table" w:styleId="LightGrid-Accent4">
    <w:name w:val="Light Grid Accent 4"/>
    <w:basedOn w:val="TableNormal"/>
    <w:unhideWhenUsed/>
    <w:rsid w:val="003D7EDD"/>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nhideWhenUsed/>
    <w:rsid w:val="003D7EDD"/>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18" w:space="0" w:color="7F7F7F" w:themeColor="accent5"/>
          <w:right w:val="single" w:sz="8" w:space="0" w:color="7F7F7F" w:themeColor="accent5"/>
          <w:insideH w:val="nil"/>
          <w:insideV w:val="single" w:sz="8" w:space="0" w:color="7F7F7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insideH w:val="nil"/>
          <w:insideV w:val="single" w:sz="8" w:space="0" w:color="7F7F7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shd w:val="clear" w:color="auto" w:fill="DFDFDF" w:themeFill="accent5" w:themeFillTint="3F"/>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shd w:val="clear" w:color="auto" w:fill="DFDFDF" w:themeFill="accent5" w:themeFillTint="3F"/>
      </w:tcPr>
    </w:tblStylePr>
    <w:tblStylePr w:type="band2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tcPr>
    </w:tblStylePr>
  </w:style>
  <w:style w:type="table" w:styleId="LightGrid-Accent6">
    <w:name w:val="Light Grid Accent 6"/>
    <w:basedOn w:val="TableNormal"/>
    <w:unhideWhenUsed/>
    <w:rsid w:val="003D7EDD"/>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MediumList1-Accent1">
    <w:name w:val="Medium List 1 Accent 1"/>
    <w:basedOn w:val="TableNormal"/>
    <w:unhideWhenUsed/>
    <w:rsid w:val="003D7EDD"/>
    <w:rPr>
      <w:color w:val="000000" w:themeColor="text1"/>
    </w:rPr>
    <w:tblPr>
      <w:tblStyleRowBandSize w:val="1"/>
      <w:tblStyleColBandSize w:val="1"/>
      <w:tblBorders>
        <w:top w:val="single" w:sz="8" w:space="0" w:color="66609E" w:themeColor="accent1"/>
        <w:bottom w:val="single" w:sz="8" w:space="0" w:color="66609E" w:themeColor="accent1"/>
      </w:tblBorders>
    </w:tblPr>
    <w:tblStylePr w:type="firstRow">
      <w:rPr>
        <w:rFonts w:asciiTheme="majorHAnsi" w:eastAsiaTheme="majorEastAsia" w:hAnsiTheme="majorHAnsi" w:cstheme="majorBidi"/>
      </w:rPr>
      <w:tblPr/>
      <w:tcPr>
        <w:tcBorders>
          <w:top w:val="nil"/>
          <w:bottom w:val="single" w:sz="8" w:space="0" w:color="66609E" w:themeColor="accent1"/>
        </w:tcBorders>
      </w:tcPr>
    </w:tblStylePr>
    <w:tblStylePr w:type="lastRow">
      <w:rPr>
        <w:b/>
        <w:bCs/>
        <w:color w:val="003C34" w:themeColor="text2"/>
      </w:rPr>
      <w:tblPr/>
      <w:tcPr>
        <w:tcBorders>
          <w:top w:val="single" w:sz="8" w:space="0" w:color="66609E" w:themeColor="accent1"/>
          <w:bottom w:val="single" w:sz="8" w:space="0" w:color="66609E" w:themeColor="accent1"/>
        </w:tcBorders>
      </w:tcPr>
    </w:tblStylePr>
    <w:tblStylePr w:type="firstCol">
      <w:rPr>
        <w:b/>
        <w:bCs/>
      </w:rPr>
    </w:tblStylePr>
    <w:tblStylePr w:type="lastCol">
      <w:rPr>
        <w:b/>
        <w:bCs/>
      </w:rPr>
      <w:tblPr/>
      <w:tcPr>
        <w:tcBorders>
          <w:top w:val="single" w:sz="8" w:space="0" w:color="66609E" w:themeColor="accent1"/>
          <w:bottom w:val="single" w:sz="8" w:space="0" w:color="66609E" w:themeColor="accent1"/>
        </w:tcBorders>
      </w:tcPr>
    </w:tblStylePr>
    <w:tblStylePr w:type="band1Vert">
      <w:tblPr/>
      <w:tcPr>
        <w:shd w:val="clear" w:color="auto" w:fill="D8D7E7" w:themeFill="accent1" w:themeFillTint="3F"/>
      </w:tcPr>
    </w:tblStylePr>
    <w:tblStylePr w:type="band1Horz">
      <w:tblPr/>
      <w:tcPr>
        <w:shd w:val="clear" w:color="auto" w:fill="D8D7E7" w:themeFill="accent1" w:themeFillTint="3F"/>
      </w:tcPr>
    </w:tblStylePr>
  </w:style>
  <w:style w:type="table" w:styleId="MediumList1-Accent2">
    <w:name w:val="Medium List 1 Accent 2"/>
    <w:basedOn w:val="TableNormal"/>
    <w:unhideWhenUsed/>
    <w:rsid w:val="003D7EDD"/>
    <w:rPr>
      <w:color w:val="000000" w:themeColor="text1"/>
    </w:rPr>
    <w:tblPr>
      <w:tblStyleRowBandSize w:val="1"/>
      <w:tblStyleColBandSize w:val="1"/>
      <w:tblBorders>
        <w:top w:val="single" w:sz="8" w:space="0" w:color="83A488" w:themeColor="accent2"/>
        <w:bottom w:val="single" w:sz="8" w:space="0" w:color="83A488" w:themeColor="accent2"/>
      </w:tblBorders>
    </w:tblPr>
    <w:tblStylePr w:type="firstRow">
      <w:rPr>
        <w:rFonts w:asciiTheme="majorHAnsi" w:eastAsiaTheme="majorEastAsia" w:hAnsiTheme="majorHAnsi" w:cstheme="majorBidi"/>
      </w:rPr>
      <w:tblPr/>
      <w:tcPr>
        <w:tcBorders>
          <w:top w:val="nil"/>
          <w:bottom w:val="single" w:sz="8" w:space="0" w:color="83A488" w:themeColor="accent2"/>
        </w:tcBorders>
      </w:tcPr>
    </w:tblStylePr>
    <w:tblStylePr w:type="lastRow">
      <w:rPr>
        <w:b/>
        <w:bCs/>
        <w:color w:val="003C34" w:themeColor="text2"/>
      </w:rPr>
      <w:tblPr/>
      <w:tcPr>
        <w:tcBorders>
          <w:top w:val="single" w:sz="8" w:space="0" w:color="83A488" w:themeColor="accent2"/>
          <w:bottom w:val="single" w:sz="8" w:space="0" w:color="83A488" w:themeColor="accent2"/>
        </w:tcBorders>
      </w:tcPr>
    </w:tblStylePr>
    <w:tblStylePr w:type="firstCol">
      <w:rPr>
        <w:b/>
        <w:bCs/>
      </w:rPr>
    </w:tblStylePr>
    <w:tblStylePr w:type="lastCol">
      <w:rPr>
        <w:b/>
        <w:bCs/>
      </w:rPr>
      <w:tblPr/>
      <w:tcPr>
        <w:tcBorders>
          <w:top w:val="single" w:sz="8" w:space="0" w:color="83A488" w:themeColor="accent2"/>
          <w:bottom w:val="single" w:sz="8" w:space="0" w:color="83A488" w:themeColor="accent2"/>
        </w:tcBorders>
      </w:tcPr>
    </w:tblStylePr>
    <w:tblStylePr w:type="band1Vert">
      <w:tblPr/>
      <w:tcPr>
        <w:shd w:val="clear" w:color="auto" w:fill="E0E8E1" w:themeFill="accent2" w:themeFillTint="3F"/>
      </w:tcPr>
    </w:tblStylePr>
    <w:tblStylePr w:type="band1Horz">
      <w:tblPr/>
      <w:tcPr>
        <w:shd w:val="clear" w:color="auto" w:fill="E0E8E1" w:themeFill="accent2" w:themeFillTint="3F"/>
      </w:tcPr>
    </w:tblStylePr>
  </w:style>
  <w:style w:type="table" w:styleId="MediumList1-Accent3">
    <w:name w:val="Medium List 1 Accent 3"/>
    <w:basedOn w:val="TableNormal"/>
    <w:unhideWhenUsed/>
    <w:rsid w:val="003D7EDD"/>
    <w:rPr>
      <w:color w:val="000000" w:themeColor="text1"/>
    </w:rPr>
    <w:tblPr>
      <w:tblStyleRowBandSize w:val="1"/>
      <w:tblStyleColBandSize w:val="1"/>
      <w:tblBorders>
        <w:top w:val="single" w:sz="8" w:space="0" w:color="D1D16F" w:themeColor="accent3"/>
        <w:bottom w:val="single" w:sz="8" w:space="0" w:color="D1D16F" w:themeColor="accent3"/>
      </w:tblBorders>
    </w:tblPr>
    <w:tblStylePr w:type="firstRow">
      <w:rPr>
        <w:rFonts w:asciiTheme="majorHAnsi" w:eastAsiaTheme="majorEastAsia" w:hAnsiTheme="majorHAnsi" w:cstheme="majorBidi"/>
      </w:rPr>
      <w:tblPr/>
      <w:tcPr>
        <w:tcBorders>
          <w:top w:val="nil"/>
          <w:bottom w:val="single" w:sz="8" w:space="0" w:color="D1D16F" w:themeColor="accent3"/>
        </w:tcBorders>
      </w:tcPr>
    </w:tblStylePr>
    <w:tblStylePr w:type="lastRow">
      <w:rPr>
        <w:b/>
        <w:bCs/>
        <w:color w:val="003C34" w:themeColor="text2"/>
      </w:rPr>
      <w:tblPr/>
      <w:tcPr>
        <w:tcBorders>
          <w:top w:val="single" w:sz="8" w:space="0" w:color="D1D16F" w:themeColor="accent3"/>
          <w:bottom w:val="single" w:sz="8" w:space="0" w:color="D1D16F" w:themeColor="accent3"/>
        </w:tcBorders>
      </w:tcPr>
    </w:tblStylePr>
    <w:tblStylePr w:type="firstCol">
      <w:rPr>
        <w:b/>
        <w:bCs/>
      </w:rPr>
    </w:tblStylePr>
    <w:tblStylePr w:type="lastCol">
      <w:rPr>
        <w:b/>
        <w:bCs/>
      </w:rPr>
      <w:tblPr/>
      <w:tcPr>
        <w:tcBorders>
          <w:top w:val="single" w:sz="8" w:space="0" w:color="D1D16F" w:themeColor="accent3"/>
          <w:bottom w:val="single" w:sz="8" w:space="0" w:color="D1D16F" w:themeColor="accent3"/>
        </w:tcBorders>
      </w:tcPr>
    </w:tblStylePr>
    <w:tblStylePr w:type="band1Vert">
      <w:tblPr/>
      <w:tcPr>
        <w:shd w:val="clear" w:color="auto" w:fill="F3F3DB" w:themeFill="accent3" w:themeFillTint="3F"/>
      </w:tcPr>
    </w:tblStylePr>
    <w:tblStylePr w:type="band1Horz">
      <w:tblPr/>
      <w:tcPr>
        <w:shd w:val="clear" w:color="auto" w:fill="F3F3DB" w:themeFill="accent3" w:themeFillTint="3F"/>
      </w:tcPr>
    </w:tblStylePr>
  </w:style>
  <w:style w:type="table" w:styleId="MediumList1-Accent4">
    <w:name w:val="Medium List 1 Accent 4"/>
    <w:basedOn w:val="TableNormal"/>
    <w:unhideWhenUsed/>
    <w:rsid w:val="003D7EDD"/>
    <w:rPr>
      <w:color w:val="000000" w:themeColor="text1"/>
    </w:rPr>
    <w:tblPr>
      <w:tblStyleRowBandSize w:val="1"/>
      <w:tblStyleColBandSize w:val="1"/>
      <w:tblBorders>
        <w:top w:val="single" w:sz="8" w:space="0" w:color="3F3F3F" w:themeColor="accent4"/>
        <w:bottom w:val="single" w:sz="8" w:space="0" w:color="3F3F3F" w:themeColor="accent4"/>
      </w:tblBorders>
    </w:tbl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003C34"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nhideWhenUsed/>
    <w:rsid w:val="003D7EDD"/>
    <w:rPr>
      <w:color w:val="000000" w:themeColor="text1"/>
    </w:rPr>
    <w:tblPr>
      <w:tblStyleRowBandSize w:val="1"/>
      <w:tblStyleColBandSize w:val="1"/>
      <w:tblBorders>
        <w:top w:val="single" w:sz="8" w:space="0" w:color="7F7F7F" w:themeColor="accent5"/>
        <w:bottom w:val="single" w:sz="8" w:space="0" w:color="7F7F7F" w:themeColor="accent5"/>
      </w:tblBorders>
    </w:tblPr>
    <w:tblStylePr w:type="firstRow">
      <w:rPr>
        <w:rFonts w:asciiTheme="majorHAnsi" w:eastAsiaTheme="majorEastAsia" w:hAnsiTheme="majorHAnsi" w:cstheme="majorBidi"/>
      </w:rPr>
      <w:tblPr/>
      <w:tcPr>
        <w:tcBorders>
          <w:top w:val="nil"/>
          <w:bottom w:val="single" w:sz="8" w:space="0" w:color="7F7F7F" w:themeColor="accent5"/>
        </w:tcBorders>
      </w:tcPr>
    </w:tblStylePr>
    <w:tblStylePr w:type="lastRow">
      <w:rPr>
        <w:b/>
        <w:bCs/>
        <w:color w:val="003C34" w:themeColor="text2"/>
      </w:rPr>
      <w:tblPr/>
      <w:tcPr>
        <w:tcBorders>
          <w:top w:val="single" w:sz="8" w:space="0" w:color="7F7F7F" w:themeColor="accent5"/>
          <w:bottom w:val="single" w:sz="8" w:space="0" w:color="7F7F7F" w:themeColor="accent5"/>
        </w:tcBorders>
      </w:tcPr>
    </w:tblStylePr>
    <w:tblStylePr w:type="firstCol">
      <w:rPr>
        <w:b/>
        <w:bCs/>
      </w:rPr>
    </w:tblStylePr>
    <w:tblStylePr w:type="lastCol">
      <w:rPr>
        <w:b/>
        <w:bCs/>
      </w:rPr>
      <w:tblPr/>
      <w:tcPr>
        <w:tcBorders>
          <w:top w:val="single" w:sz="8" w:space="0" w:color="7F7F7F" w:themeColor="accent5"/>
          <w:bottom w:val="single" w:sz="8" w:space="0" w:color="7F7F7F" w:themeColor="accent5"/>
        </w:tcBorders>
      </w:tcPr>
    </w:tblStylePr>
    <w:tblStylePr w:type="band1Vert">
      <w:tblPr/>
      <w:tcPr>
        <w:shd w:val="clear" w:color="auto" w:fill="DFDFDF" w:themeFill="accent5" w:themeFillTint="3F"/>
      </w:tcPr>
    </w:tblStylePr>
    <w:tblStylePr w:type="band1Horz">
      <w:tblPr/>
      <w:tcPr>
        <w:shd w:val="clear" w:color="auto" w:fill="DFDFDF" w:themeFill="accent5" w:themeFillTint="3F"/>
      </w:tcPr>
    </w:tblStylePr>
  </w:style>
  <w:style w:type="table" w:styleId="MediumList1-Accent6">
    <w:name w:val="Medium List 1 Accent 6"/>
    <w:basedOn w:val="TableNormal"/>
    <w:unhideWhenUsed/>
    <w:rsid w:val="003D7EDD"/>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003C34"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nhideWhenUsed/>
    <w:rsid w:val="003D7EDD"/>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3D7EDD"/>
    <w:rPr>
      <w:rFonts w:eastAsiaTheme="majorEastAsia"/>
      <w:color w:val="000000" w:themeColor="text1"/>
    </w:rPr>
    <w:tblPr>
      <w:tblStyleRowBandSize w:val="1"/>
      <w:tblStyleColBandSize w:val="1"/>
      <w:tblBorders>
        <w:top w:val="single" w:sz="8" w:space="0" w:color="66609E" w:themeColor="accent1"/>
        <w:left w:val="single" w:sz="8" w:space="0" w:color="66609E" w:themeColor="accent1"/>
        <w:bottom w:val="single" w:sz="8" w:space="0" w:color="66609E" w:themeColor="accent1"/>
        <w:right w:val="single" w:sz="8" w:space="0" w:color="66609E" w:themeColor="accent1"/>
      </w:tblBorders>
    </w:tblPr>
    <w:tblStylePr w:type="firstRow">
      <w:rPr>
        <w:sz w:val="24"/>
        <w:szCs w:val="24"/>
      </w:rPr>
      <w:tblPr/>
      <w:tcPr>
        <w:tcBorders>
          <w:top w:val="nil"/>
          <w:left w:val="nil"/>
          <w:bottom w:val="single" w:sz="24" w:space="0" w:color="66609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09E" w:themeColor="accent1"/>
          <w:insideH w:val="nil"/>
          <w:insideV w:val="nil"/>
        </w:tcBorders>
        <w:shd w:val="clear" w:color="auto" w:fill="FFFFFF" w:themeFill="background1"/>
      </w:tcPr>
    </w:tblStylePr>
    <w:tblStylePr w:type="lastCol">
      <w:tblPr/>
      <w:tcPr>
        <w:tcBorders>
          <w:top w:val="nil"/>
          <w:left w:val="single" w:sz="8" w:space="0" w:color="66609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7E7" w:themeFill="accent1" w:themeFillTint="3F"/>
      </w:tcPr>
    </w:tblStylePr>
    <w:tblStylePr w:type="band1Horz">
      <w:tblPr/>
      <w:tcPr>
        <w:tcBorders>
          <w:top w:val="nil"/>
          <w:bottom w:val="nil"/>
          <w:insideH w:val="nil"/>
          <w:insideV w:val="nil"/>
        </w:tcBorders>
        <w:shd w:val="clear" w:color="auto" w:fill="D8D7E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3D7EDD"/>
    <w:rPr>
      <w:rFonts w:eastAsiaTheme="majorEastAsia"/>
      <w:color w:val="000000" w:themeColor="text1"/>
    </w:rPr>
    <w:tblPr>
      <w:tblStyleRowBandSize w:val="1"/>
      <w:tblStyleColBandSize w:val="1"/>
      <w:tblBorders>
        <w:top w:val="single" w:sz="8" w:space="0" w:color="83A488" w:themeColor="accent2"/>
        <w:left w:val="single" w:sz="8" w:space="0" w:color="83A488" w:themeColor="accent2"/>
        <w:bottom w:val="single" w:sz="8" w:space="0" w:color="83A488" w:themeColor="accent2"/>
        <w:right w:val="single" w:sz="8" w:space="0" w:color="83A488" w:themeColor="accent2"/>
      </w:tblBorders>
    </w:tblPr>
    <w:tblStylePr w:type="firstRow">
      <w:rPr>
        <w:sz w:val="24"/>
        <w:szCs w:val="24"/>
      </w:rPr>
      <w:tblPr/>
      <w:tcPr>
        <w:tcBorders>
          <w:top w:val="nil"/>
          <w:left w:val="nil"/>
          <w:bottom w:val="single" w:sz="24" w:space="0" w:color="83A48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3A488" w:themeColor="accent2"/>
          <w:insideH w:val="nil"/>
          <w:insideV w:val="nil"/>
        </w:tcBorders>
        <w:shd w:val="clear" w:color="auto" w:fill="FFFFFF" w:themeFill="background1"/>
      </w:tcPr>
    </w:tblStylePr>
    <w:tblStylePr w:type="lastCol">
      <w:tblPr/>
      <w:tcPr>
        <w:tcBorders>
          <w:top w:val="nil"/>
          <w:left w:val="single" w:sz="8" w:space="0" w:color="83A48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8E1" w:themeFill="accent2" w:themeFillTint="3F"/>
      </w:tcPr>
    </w:tblStylePr>
    <w:tblStylePr w:type="band1Horz">
      <w:tblPr/>
      <w:tcPr>
        <w:tcBorders>
          <w:top w:val="nil"/>
          <w:bottom w:val="nil"/>
          <w:insideH w:val="nil"/>
          <w:insideV w:val="nil"/>
        </w:tcBorders>
        <w:shd w:val="clear" w:color="auto" w:fill="E0E8E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3D7EDD"/>
    <w:rPr>
      <w:rFonts w:eastAsiaTheme="majorEastAsia"/>
      <w:color w:val="000000" w:themeColor="text1"/>
    </w:rPr>
    <w:tblPr>
      <w:tblStyleRowBandSize w:val="1"/>
      <w:tblStyleColBandSize w:val="1"/>
      <w:tblBorders>
        <w:top w:val="single" w:sz="8" w:space="0" w:color="D1D16F" w:themeColor="accent3"/>
        <w:left w:val="single" w:sz="8" w:space="0" w:color="D1D16F" w:themeColor="accent3"/>
        <w:bottom w:val="single" w:sz="8" w:space="0" w:color="D1D16F" w:themeColor="accent3"/>
        <w:right w:val="single" w:sz="8" w:space="0" w:color="D1D16F" w:themeColor="accent3"/>
      </w:tblBorders>
    </w:tblPr>
    <w:tblStylePr w:type="firstRow">
      <w:rPr>
        <w:sz w:val="24"/>
        <w:szCs w:val="24"/>
      </w:rPr>
      <w:tblPr/>
      <w:tcPr>
        <w:tcBorders>
          <w:top w:val="nil"/>
          <w:left w:val="nil"/>
          <w:bottom w:val="single" w:sz="24" w:space="0" w:color="D1D16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D16F" w:themeColor="accent3"/>
          <w:insideH w:val="nil"/>
          <w:insideV w:val="nil"/>
        </w:tcBorders>
        <w:shd w:val="clear" w:color="auto" w:fill="FFFFFF" w:themeFill="background1"/>
      </w:tcPr>
    </w:tblStylePr>
    <w:tblStylePr w:type="lastCol">
      <w:tblPr/>
      <w:tcPr>
        <w:tcBorders>
          <w:top w:val="nil"/>
          <w:left w:val="single" w:sz="8" w:space="0" w:color="D1D16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3DB" w:themeFill="accent3" w:themeFillTint="3F"/>
      </w:tcPr>
    </w:tblStylePr>
    <w:tblStylePr w:type="band1Horz">
      <w:tblPr/>
      <w:tcPr>
        <w:tcBorders>
          <w:top w:val="nil"/>
          <w:bottom w:val="nil"/>
          <w:insideH w:val="nil"/>
          <w:insideV w:val="nil"/>
        </w:tcBorders>
        <w:shd w:val="clear" w:color="auto" w:fill="F3F3D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3D7EDD"/>
    <w:rPr>
      <w:rFonts w:eastAsiaTheme="majorEastAsia"/>
      <w:color w:val="000000" w:themeColor="text1"/>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blStylePr w:type="firstRow">
      <w:rPr>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3D7EDD"/>
    <w:rPr>
      <w:rFonts w:eastAsiaTheme="majorEastAsia"/>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blStylePr w:type="firstRow">
      <w:rPr>
        <w:sz w:val="24"/>
        <w:szCs w:val="24"/>
      </w:rPr>
      <w:tblPr/>
      <w:tcPr>
        <w:tcBorders>
          <w:top w:val="nil"/>
          <w:left w:val="nil"/>
          <w:bottom w:val="single" w:sz="24" w:space="0" w:color="7F7F7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5"/>
          <w:insideH w:val="nil"/>
          <w:insideV w:val="nil"/>
        </w:tcBorders>
        <w:shd w:val="clear" w:color="auto" w:fill="FFFFFF" w:themeFill="background1"/>
      </w:tcPr>
    </w:tblStylePr>
    <w:tblStylePr w:type="lastCol">
      <w:tblPr/>
      <w:tcPr>
        <w:tcBorders>
          <w:top w:val="nil"/>
          <w:left w:val="single" w:sz="8" w:space="0" w:color="7F7F7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5" w:themeFillTint="3F"/>
      </w:tcPr>
    </w:tblStylePr>
    <w:tblStylePr w:type="band1Horz">
      <w:tblPr/>
      <w:tcPr>
        <w:tcBorders>
          <w:top w:val="nil"/>
          <w:bottom w:val="nil"/>
          <w:insideH w:val="nil"/>
          <w:insideV w:val="nil"/>
        </w:tcBorders>
        <w:shd w:val="clear" w:color="auto" w:fill="DFDF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3D7EDD"/>
    <w:rPr>
      <w:rFonts w:eastAsiaTheme="majorEastAsia"/>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nhideWhenUsed/>
    <w:rsid w:val="003D7EDD"/>
    <w:tblPr>
      <w:tblStyleRowBandSize w:val="1"/>
      <w:tblStyleColBandSize w:val="1"/>
      <w:tblBorders>
        <w:top w:val="single" w:sz="8" w:space="0" w:color="8B87B6" w:themeColor="accent1" w:themeTint="BF"/>
        <w:left w:val="single" w:sz="8" w:space="0" w:color="8B87B6" w:themeColor="accent1" w:themeTint="BF"/>
        <w:bottom w:val="single" w:sz="8" w:space="0" w:color="8B87B6" w:themeColor="accent1" w:themeTint="BF"/>
        <w:right w:val="single" w:sz="8" w:space="0" w:color="8B87B6" w:themeColor="accent1" w:themeTint="BF"/>
        <w:insideH w:val="single" w:sz="8" w:space="0" w:color="8B87B6" w:themeColor="accent1" w:themeTint="BF"/>
        <w:insideV w:val="single" w:sz="8" w:space="0" w:color="8B87B6" w:themeColor="accent1" w:themeTint="BF"/>
      </w:tblBorders>
    </w:tblPr>
    <w:tcPr>
      <w:shd w:val="clear" w:color="auto" w:fill="D8D7E7" w:themeFill="accent1" w:themeFillTint="3F"/>
    </w:tcPr>
    <w:tblStylePr w:type="firstRow">
      <w:rPr>
        <w:b/>
        <w:bCs/>
      </w:rPr>
    </w:tblStylePr>
    <w:tblStylePr w:type="lastRow">
      <w:rPr>
        <w:b/>
        <w:bCs/>
      </w:rPr>
      <w:tblPr/>
      <w:tcPr>
        <w:tcBorders>
          <w:top w:val="single" w:sz="18" w:space="0" w:color="8B87B6" w:themeColor="accent1" w:themeTint="BF"/>
        </w:tcBorders>
      </w:tcPr>
    </w:tblStylePr>
    <w:tblStylePr w:type="firstCol">
      <w:rPr>
        <w:b/>
        <w:bCs/>
      </w:rPr>
    </w:tblStylePr>
    <w:tblStylePr w:type="lastCol">
      <w:rPr>
        <w:b/>
        <w:bCs/>
      </w:rPr>
    </w:tblStylePr>
    <w:tblStylePr w:type="band1Vert">
      <w:tblPr/>
      <w:tcPr>
        <w:shd w:val="clear" w:color="auto" w:fill="B2AFCE" w:themeFill="accent1" w:themeFillTint="7F"/>
      </w:tcPr>
    </w:tblStylePr>
    <w:tblStylePr w:type="band1Horz">
      <w:tblPr/>
      <w:tcPr>
        <w:shd w:val="clear" w:color="auto" w:fill="B2AFCE" w:themeFill="accent1" w:themeFillTint="7F"/>
      </w:tcPr>
    </w:tblStylePr>
  </w:style>
  <w:style w:type="table" w:styleId="MediumGrid1-Accent2">
    <w:name w:val="Medium Grid 1 Accent 2"/>
    <w:basedOn w:val="TableNormal"/>
    <w:unhideWhenUsed/>
    <w:rsid w:val="003D7EDD"/>
    <w:tblPr>
      <w:tblStyleRowBandSize w:val="1"/>
      <w:tblStyleColBandSize w:val="1"/>
      <w:tblBorders>
        <w:top w:val="single" w:sz="8" w:space="0" w:color="A1BAA5" w:themeColor="accent2" w:themeTint="BF"/>
        <w:left w:val="single" w:sz="8" w:space="0" w:color="A1BAA5" w:themeColor="accent2" w:themeTint="BF"/>
        <w:bottom w:val="single" w:sz="8" w:space="0" w:color="A1BAA5" w:themeColor="accent2" w:themeTint="BF"/>
        <w:right w:val="single" w:sz="8" w:space="0" w:color="A1BAA5" w:themeColor="accent2" w:themeTint="BF"/>
        <w:insideH w:val="single" w:sz="8" w:space="0" w:color="A1BAA5" w:themeColor="accent2" w:themeTint="BF"/>
        <w:insideV w:val="single" w:sz="8" w:space="0" w:color="A1BAA5" w:themeColor="accent2" w:themeTint="BF"/>
      </w:tblBorders>
    </w:tblPr>
    <w:tcPr>
      <w:shd w:val="clear" w:color="auto" w:fill="E0E8E1" w:themeFill="accent2" w:themeFillTint="3F"/>
    </w:tcPr>
    <w:tblStylePr w:type="firstRow">
      <w:rPr>
        <w:b/>
        <w:bCs/>
      </w:rPr>
    </w:tblStylePr>
    <w:tblStylePr w:type="lastRow">
      <w:rPr>
        <w:b/>
        <w:bCs/>
      </w:rPr>
      <w:tblPr/>
      <w:tcPr>
        <w:tcBorders>
          <w:top w:val="single" w:sz="18" w:space="0" w:color="A1BAA5" w:themeColor="accent2" w:themeTint="BF"/>
        </w:tcBorders>
      </w:tcPr>
    </w:tblStylePr>
    <w:tblStylePr w:type="firstCol">
      <w:rPr>
        <w:b/>
        <w:bCs/>
      </w:rPr>
    </w:tblStylePr>
    <w:tblStylePr w:type="lastCol">
      <w:rPr>
        <w:b/>
        <w:bCs/>
      </w:rPr>
    </w:tblStylePr>
    <w:tblStylePr w:type="band1Vert">
      <w:tblPr/>
      <w:tcPr>
        <w:shd w:val="clear" w:color="auto" w:fill="C1D1C3" w:themeFill="accent2" w:themeFillTint="7F"/>
      </w:tcPr>
    </w:tblStylePr>
    <w:tblStylePr w:type="band1Horz">
      <w:tblPr/>
      <w:tcPr>
        <w:shd w:val="clear" w:color="auto" w:fill="C1D1C3" w:themeFill="accent2" w:themeFillTint="7F"/>
      </w:tcPr>
    </w:tblStylePr>
  </w:style>
  <w:style w:type="table" w:styleId="MediumGrid1-Accent3">
    <w:name w:val="Medium Grid 1 Accent 3"/>
    <w:basedOn w:val="TableNormal"/>
    <w:unhideWhenUsed/>
    <w:rsid w:val="003D7EDD"/>
    <w:tblPr>
      <w:tblStyleRowBandSize w:val="1"/>
      <w:tblStyleColBandSize w:val="1"/>
      <w:tblBorders>
        <w:top w:val="single" w:sz="8" w:space="0" w:color="DCDC93" w:themeColor="accent3" w:themeTint="BF"/>
        <w:left w:val="single" w:sz="8" w:space="0" w:color="DCDC93" w:themeColor="accent3" w:themeTint="BF"/>
        <w:bottom w:val="single" w:sz="8" w:space="0" w:color="DCDC93" w:themeColor="accent3" w:themeTint="BF"/>
        <w:right w:val="single" w:sz="8" w:space="0" w:color="DCDC93" w:themeColor="accent3" w:themeTint="BF"/>
        <w:insideH w:val="single" w:sz="8" w:space="0" w:color="DCDC93" w:themeColor="accent3" w:themeTint="BF"/>
        <w:insideV w:val="single" w:sz="8" w:space="0" w:color="DCDC93" w:themeColor="accent3" w:themeTint="BF"/>
      </w:tblBorders>
    </w:tblPr>
    <w:tcPr>
      <w:shd w:val="clear" w:color="auto" w:fill="F3F3DB" w:themeFill="accent3" w:themeFillTint="3F"/>
    </w:tcPr>
    <w:tblStylePr w:type="firstRow">
      <w:rPr>
        <w:b/>
        <w:bCs/>
      </w:rPr>
    </w:tblStylePr>
    <w:tblStylePr w:type="lastRow">
      <w:rPr>
        <w:b/>
        <w:bCs/>
      </w:rPr>
      <w:tblPr/>
      <w:tcPr>
        <w:tcBorders>
          <w:top w:val="single" w:sz="18" w:space="0" w:color="DCDC93" w:themeColor="accent3" w:themeTint="BF"/>
        </w:tcBorders>
      </w:tcPr>
    </w:tblStylePr>
    <w:tblStylePr w:type="firstCol">
      <w:rPr>
        <w:b/>
        <w:bCs/>
      </w:rPr>
    </w:tblStylePr>
    <w:tblStylePr w:type="lastCol">
      <w:rPr>
        <w:b/>
        <w:bCs/>
      </w:rPr>
    </w:tblStylePr>
    <w:tblStylePr w:type="band1Vert">
      <w:tblPr/>
      <w:tcPr>
        <w:shd w:val="clear" w:color="auto" w:fill="E8E8B7" w:themeFill="accent3" w:themeFillTint="7F"/>
      </w:tcPr>
    </w:tblStylePr>
    <w:tblStylePr w:type="band1Horz">
      <w:tblPr/>
      <w:tcPr>
        <w:shd w:val="clear" w:color="auto" w:fill="E8E8B7" w:themeFill="accent3" w:themeFillTint="7F"/>
      </w:tcPr>
    </w:tblStylePr>
  </w:style>
  <w:style w:type="table" w:styleId="MediumGrid1-Accent4">
    <w:name w:val="Medium Grid 1 Accent 4"/>
    <w:basedOn w:val="TableNormal"/>
    <w:unhideWhenUsed/>
    <w:rsid w:val="003D7EDD"/>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Pr>
    <w:tblStylePr w:type="firstRow">
      <w:rPr>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nhideWhenUsed/>
    <w:rsid w:val="003D7EDD"/>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insideV w:val="single" w:sz="8" w:space="0" w:color="9F9F9F" w:themeColor="accent5" w:themeTint="BF"/>
      </w:tblBorders>
    </w:tblPr>
    <w:tcPr>
      <w:shd w:val="clear" w:color="auto" w:fill="DFDFDF" w:themeFill="accent5" w:themeFillTint="3F"/>
    </w:tcPr>
    <w:tblStylePr w:type="firstRow">
      <w:rPr>
        <w:b/>
        <w:bCs/>
      </w:rPr>
    </w:tblStylePr>
    <w:tblStylePr w:type="lastRow">
      <w:rPr>
        <w:b/>
        <w:bCs/>
      </w:rPr>
      <w:tblPr/>
      <w:tcPr>
        <w:tcBorders>
          <w:top w:val="single" w:sz="18" w:space="0" w:color="9F9F9F" w:themeColor="accent5" w:themeTint="BF"/>
        </w:tcBorders>
      </w:tcPr>
    </w:tblStylePr>
    <w:tblStylePr w:type="firstCol">
      <w:rPr>
        <w:b/>
        <w:bCs/>
      </w:rPr>
    </w:tblStylePr>
    <w:tblStylePr w:type="lastCol">
      <w:rPr>
        <w:b/>
        <w:bCs/>
      </w:rPr>
    </w:tblStylePr>
    <w:tblStylePr w:type="band1Vert">
      <w:tblPr/>
      <w:tcPr>
        <w:shd w:val="clear" w:color="auto" w:fill="BFBFBF" w:themeFill="accent5" w:themeFillTint="7F"/>
      </w:tcPr>
    </w:tblStylePr>
    <w:tblStylePr w:type="band1Horz">
      <w:tblPr/>
      <w:tcPr>
        <w:shd w:val="clear" w:color="auto" w:fill="BFBFBF" w:themeFill="accent5" w:themeFillTint="7F"/>
      </w:tcPr>
    </w:tblStylePr>
  </w:style>
  <w:style w:type="table" w:styleId="MediumGrid1-Accent6">
    <w:name w:val="Medium Grid 1 Accent 6"/>
    <w:basedOn w:val="TableNormal"/>
    <w:unhideWhenUsed/>
    <w:rsid w:val="003D7EDD"/>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Accent1">
    <w:name w:val="Medium Grid 2 Accent 1"/>
    <w:basedOn w:val="TableNormal"/>
    <w:unhideWhenUsed/>
    <w:rsid w:val="003D7EDD"/>
    <w:rPr>
      <w:rFonts w:eastAsiaTheme="majorEastAsia"/>
      <w:color w:val="000000" w:themeColor="text1"/>
    </w:rPr>
    <w:tblPr>
      <w:tblStyleRowBandSize w:val="1"/>
      <w:tblStyleColBandSize w:val="1"/>
      <w:tblBorders>
        <w:top w:val="single" w:sz="8" w:space="0" w:color="66609E" w:themeColor="accent1"/>
        <w:left w:val="single" w:sz="8" w:space="0" w:color="66609E" w:themeColor="accent1"/>
        <w:bottom w:val="single" w:sz="8" w:space="0" w:color="66609E" w:themeColor="accent1"/>
        <w:right w:val="single" w:sz="8" w:space="0" w:color="66609E" w:themeColor="accent1"/>
        <w:insideH w:val="single" w:sz="8" w:space="0" w:color="66609E" w:themeColor="accent1"/>
        <w:insideV w:val="single" w:sz="8" w:space="0" w:color="66609E" w:themeColor="accent1"/>
      </w:tblBorders>
    </w:tblPr>
    <w:tcPr>
      <w:shd w:val="clear" w:color="auto" w:fill="D8D7E7" w:themeFill="accent1" w:themeFillTint="3F"/>
    </w:tcPr>
    <w:tblStylePr w:type="firstRow">
      <w:rPr>
        <w:b/>
        <w:bCs/>
        <w:color w:val="000000" w:themeColor="text1"/>
      </w:rPr>
      <w:tblPr/>
      <w:tcPr>
        <w:shd w:val="clear" w:color="auto" w:fill="EFEF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DFEB" w:themeFill="accent1" w:themeFillTint="33"/>
      </w:tcPr>
    </w:tblStylePr>
    <w:tblStylePr w:type="band1Vert">
      <w:tblPr/>
      <w:tcPr>
        <w:shd w:val="clear" w:color="auto" w:fill="B2AFCE" w:themeFill="accent1" w:themeFillTint="7F"/>
      </w:tcPr>
    </w:tblStylePr>
    <w:tblStylePr w:type="band1Horz">
      <w:tblPr/>
      <w:tcPr>
        <w:tcBorders>
          <w:insideH w:val="single" w:sz="6" w:space="0" w:color="66609E" w:themeColor="accent1"/>
          <w:insideV w:val="single" w:sz="6" w:space="0" w:color="66609E" w:themeColor="accent1"/>
        </w:tcBorders>
        <w:shd w:val="clear" w:color="auto" w:fill="B2AFC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3D7EDD"/>
    <w:rPr>
      <w:rFonts w:eastAsiaTheme="majorEastAsia"/>
      <w:color w:val="000000" w:themeColor="text1"/>
    </w:rPr>
    <w:tblPr>
      <w:tblStyleRowBandSize w:val="1"/>
      <w:tblStyleColBandSize w:val="1"/>
      <w:tblBorders>
        <w:top w:val="single" w:sz="8" w:space="0" w:color="83A488" w:themeColor="accent2"/>
        <w:left w:val="single" w:sz="8" w:space="0" w:color="83A488" w:themeColor="accent2"/>
        <w:bottom w:val="single" w:sz="8" w:space="0" w:color="83A488" w:themeColor="accent2"/>
        <w:right w:val="single" w:sz="8" w:space="0" w:color="83A488" w:themeColor="accent2"/>
        <w:insideH w:val="single" w:sz="8" w:space="0" w:color="83A488" w:themeColor="accent2"/>
        <w:insideV w:val="single" w:sz="8" w:space="0" w:color="83A488" w:themeColor="accent2"/>
      </w:tblBorders>
    </w:tblPr>
    <w:tcPr>
      <w:shd w:val="clear" w:color="auto" w:fill="E0E8E1" w:themeFill="accent2" w:themeFillTint="3F"/>
    </w:tcPr>
    <w:tblStylePr w:type="firstRow">
      <w:rPr>
        <w:b/>
        <w:bCs/>
        <w:color w:val="000000" w:themeColor="text1"/>
      </w:rPr>
      <w:tblPr/>
      <w:tcPr>
        <w:shd w:val="clear" w:color="auto" w:fill="F2F6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CE7" w:themeFill="accent2" w:themeFillTint="33"/>
      </w:tcPr>
    </w:tblStylePr>
    <w:tblStylePr w:type="band1Vert">
      <w:tblPr/>
      <w:tcPr>
        <w:shd w:val="clear" w:color="auto" w:fill="C1D1C3" w:themeFill="accent2" w:themeFillTint="7F"/>
      </w:tcPr>
    </w:tblStylePr>
    <w:tblStylePr w:type="band1Horz">
      <w:tblPr/>
      <w:tcPr>
        <w:tcBorders>
          <w:insideH w:val="single" w:sz="6" w:space="0" w:color="83A488" w:themeColor="accent2"/>
          <w:insideV w:val="single" w:sz="6" w:space="0" w:color="83A488" w:themeColor="accent2"/>
        </w:tcBorders>
        <w:shd w:val="clear" w:color="auto" w:fill="C1D1C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3D7EDD"/>
    <w:rPr>
      <w:rFonts w:eastAsiaTheme="majorEastAsia"/>
      <w:color w:val="000000" w:themeColor="text1"/>
    </w:rPr>
    <w:tblPr>
      <w:tblStyleRowBandSize w:val="1"/>
      <w:tblStyleColBandSize w:val="1"/>
      <w:tblBorders>
        <w:top w:val="single" w:sz="8" w:space="0" w:color="D1D16F" w:themeColor="accent3"/>
        <w:left w:val="single" w:sz="8" w:space="0" w:color="D1D16F" w:themeColor="accent3"/>
        <w:bottom w:val="single" w:sz="8" w:space="0" w:color="D1D16F" w:themeColor="accent3"/>
        <w:right w:val="single" w:sz="8" w:space="0" w:color="D1D16F" w:themeColor="accent3"/>
        <w:insideH w:val="single" w:sz="8" w:space="0" w:color="D1D16F" w:themeColor="accent3"/>
        <w:insideV w:val="single" w:sz="8" w:space="0" w:color="D1D16F" w:themeColor="accent3"/>
      </w:tblBorders>
    </w:tblPr>
    <w:tcPr>
      <w:shd w:val="clear" w:color="auto" w:fill="F3F3DB" w:themeFill="accent3" w:themeFillTint="3F"/>
    </w:tcPr>
    <w:tblStylePr w:type="firstRow">
      <w:rPr>
        <w:b/>
        <w:bCs/>
        <w:color w:val="000000" w:themeColor="text1"/>
      </w:rPr>
      <w:tblPr/>
      <w:tcPr>
        <w:shd w:val="clear" w:color="auto" w:fill="FAF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5E2" w:themeFill="accent3" w:themeFillTint="33"/>
      </w:tcPr>
    </w:tblStylePr>
    <w:tblStylePr w:type="band1Vert">
      <w:tblPr/>
      <w:tcPr>
        <w:shd w:val="clear" w:color="auto" w:fill="E8E8B7" w:themeFill="accent3" w:themeFillTint="7F"/>
      </w:tcPr>
    </w:tblStylePr>
    <w:tblStylePr w:type="band1Horz">
      <w:tblPr/>
      <w:tcPr>
        <w:tcBorders>
          <w:insideH w:val="single" w:sz="6" w:space="0" w:color="D1D16F" w:themeColor="accent3"/>
          <w:insideV w:val="single" w:sz="6" w:space="0" w:color="D1D16F" w:themeColor="accent3"/>
        </w:tcBorders>
        <w:shd w:val="clear" w:color="auto" w:fill="E8E8B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3D7EDD"/>
    <w:rPr>
      <w:rFonts w:eastAsiaTheme="majorEastAsia"/>
      <w:color w:val="000000" w:themeColor="text1"/>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Pr>
    <w:tblStylePr w:type="firstRow">
      <w:rPr>
        <w:b/>
        <w:bCs/>
        <w:color w:val="000000" w:themeColor="text1"/>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3D7EDD"/>
    <w:rPr>
      <w:rFonts w:eastAsiaTheme="majorEastAsia"/>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sz="6" w:space="0" w:color="7F7F7F" w:themeColor="accent5"/>
          <w:insideV w:val="single" w:sz="6" w:space="0" w:color="7F7F7F" w:themeColor="accent5"/>
        </w:tcBorders>
        <w:shd w:val="clear" w:color="auto" w:fill="BFBFB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3D7EDD"/>
    <w:rPr>
      <w:rFonts w:eastAsiaTheme="majorEastAsia"/>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7E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09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09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09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09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AFC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AFCE" w:themeFill="accent1" w:themeFillTint="7F"/>
      </w:tcPr>
    </w:tblStylePr>
  </w:style>
  <w:style w:type="table" w:styleId="MediumGrid3-Accent2">
    <w:name w:val="Medium Grid 3 Accent 2"/>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8E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3A48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3A48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3A48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3A48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1C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1C3" w:themeFill="accent2" w:themeFillTint="7F"/>
      </w:tcPr>
    </w:tblStylePr>
  </w:style>
  <w:style w:type="table" w:styleId="MediumGrid3-Accent3">
    <w:name w:val="Medium Grid 3 Accent 3"/>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3D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D16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D16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D16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D16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E8B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E8B7" w:themeFill="accent3" w:themeFillTint="7F"/>
      </w:tcPr>
    </w:tblStylePr>
  </w:style>
  <w:style w:type="table" w:styleId="MediumGrid3-Accent4">
    <w:name w:val="Medium Grid 3 Accent 4"/>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5" w:themeFillTint="7F"/>
      </w:tcPr>
    </w:tblStylePr>
  </w:style>
  <w:style w:type="table" w:styleId="MediumGrid3-Accent6">
    <w:name w:val="Medium Grid 3 Accent 6"/>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Shading1">
    <w:name w:val="Medium Shading 1"/>
    <w:basedOn w:val="TableNormal"/>
    <w:unhideWhenUsed/>
    <w:rsid w:val="003D7ED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3D7EDD"/>
    <w:tblPr>
      <w:tblStyleRowBandSize w:val="1"/>
      <w:tblStyleColBandSize w:val="1"/>
      <w:tblBorders>
        <w:top w:val="single" w:sz="8" w:space="0" w:color="8B87B6" w:themeColor="accent1" w:themeTint="BF"/>
        <w:left w:val="single" w:sz="8" w:space="0" w:color="8B87B6" w:themeColor="accent1" w:themeTint="BF"/>
        <w:bottom w:val="single" w:sz="8" w:space="0" w:color="8B87B6" w:themeColor="accent1" w:themeTint="BF"/>
        <w:right w:val="single" w:sz="8" w:space="0" w:color="8B87B6" w:themeColor="accent1" w:themeTint="BF"/>
        <w:insideH w:val="single" w:sz="8" w:space="0" w:color="8B87B6" w:themeColor="accent1" w:themeTint="BF"/>
      </w:tblBorders>
    </w:tblPr>
    <w:tblStylePr w:type="firstRow">
      <w:pPr>
        <w:spacing w:before="0" w:after="0" w:line="240" w:lineRule="auto"/>
      </w:pPr>
      <w:rPr>
        <w:b/>
        <w:bCs/>
        <w:color w:val="FFFFFF" w:themeColor="background1"/>
      </w:rPr>
      <w:tblPr/>
      <w:tcPr>
        <w:tcBorders>
          <w:top w:val="single" w:sz="8" w:space="0" w:color="8B87B6" w:themeColor="accent1" w:themeTint="BF"/>
          <w:left w:val="single" w:sz="8" w:space="0" w:color="8B87B6" w:themeColor="accent1" w:themeTint="BF"/>
          <w:bottom w:val="single" w:sz="8" w:space="0" w:color="8B87B6" w:themeColor="accent1" w:themeTint="BF"/>
          <w:right w:val="single" w:sz="8" w:space="0" w:color="8B87B6" w:themeColor="accent1" w:themeTint="BF"/>
          <w:insideH w:val="nil"/>
          <w:insideV w:val="nil"/>
        </w:tcBorders>
        <w:shd w:val="clear" w:color="auto" w:fill="66609E" w:themeFill="accent1"/>
      </w:tcPr>
    </w:tblStylePr>
    <w:tblStylePr w:type="lastRow">
      <w:pPr>
        <w:spacing w:before="0" w:after="0" w:line="240" w:lineRule="auto"/>
      </w:pPr>
      <w:rPr>
        <w:b/>
        <w:bCs/>
      </w:rPr>
      <w:tblPr/>
      <w:tcPr>
        <w:tcBorders>
          <w:top w:val="double" w:sz="6" w:space="0" w:color="8B87B6" w:themeColor="accent1" w:themeTint="BF"/>
          <w:left w:val="single" w:sz="8" w:space="0" w:color="8B87B6" w:themeColor="accent1" w:themeTint="BF"/>
          <w:bottom w:val="single" w:sz="8" w:space="0" w:color="8B87B6" w:themeColor="accent1" w:themeTint="BF"/>
          <w:right w:val="single" w:sz="8" w:space="0" w:color="8B87B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8D7E7" w:themeFill="accent1" w:themeFillTint="3F"/>
      </w:tcPr>
    </w:tblStylePr>
    <w:tblStylePr w:type="band1Horz">
      <w:tblPr/>
      <w:tcPr>
        <w:tcBorders>
          <w:insideH w:val="nil"/>
          <w:insideV w:val="nil"/>
        </w:tcBorders>
        <w:shd w:val="clear" w:color="auto" w:fill="D8D7E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3D7EDD"/>
    <w:tblPr>
      <w:tblStyleRowBandSize w:val="1"/>
      <w:tblStyleColBandSize w:val="1"/>
      <w:tblBorders>
        <w:top w:val="single" w:sz="8" w:space="0" w:color="A1BAA5" w:themeColor="accent2" w:themeTint="BF"/>
        <w:left w:val="single" w:sz="8" w:space="0" w:color="A1BAA5" w:themeColor="accent2" w:themeTint="BF"/>
        <w:bottom w:val="single" w:sz="8" w:space="0" w:color="A1BAA5" w:themeColor="accent2" w:themeTint="BF"/>
        <w:right w:val="single" w:sz="8" w:space="0" w:color="A1BAA5" w:themeColor="accent2" w:themeTint="BF"/>
        <w:insideH w:val="single" w:sz="8" w:space="0" w:color="A1BAA5" w:themeColor="accent2" w:themeTint="BF"/>
      </w:tblBorders>
    </w:tblPr>
    <w:tblStylePr w:type="firstRow">
      <w:pPr>
        <w:spacing w:before="0" w:after="0" w:line="240" w:lineRule="auto"/>
      </w:pPr>
      <w:rPr>
        <w:b/>
        <w:bCs/>
        <w:color w:val="FFFFFF" w:themeColor="background1"/>
      </w:rPr>
      <w:tblPr/>
      <w:tcPr>
        <w:tcBorders>
          <w:top w:val="single" w:sz="8" w:space="0" w:color="A1BAA5" w:themeColor="accent2" w:themeTint="BF"/>
          <w:left w:val="single" w:sz="8" w:space="0" w:color="A1BAA5" w:themeColor="accent2" w:themeTint="BF"/>
          <w:bottom w:val="single" w:sz="8" w:space="0" w:color="A1BAA5" w:themeColor="accent2" w:themeTint="BF"/>
          <w:right w:val="single" w:sz="8" w:space="0" w:color="A1BAA5" w:themeColor="accent2" w:themeTint="BF"/>
          <w:insideH w:val="nil"/>
          <w:insideV w:val="nil"/>
        </w:tcBorders>
        <w:shd w:val="clear" w:color="auto" w:fill="83A488" w:themeFill="accent2"/>
      </w:tcPr>
    </w:tblStylePr>
    <w:tblStylePr w:type="lastRow">
      <w:pPr>
        <w:spacing w:before="0" w:after="0" w:line="240" w:lineRule="auto"/>
      </w:pPr>
      <w:rPr>
        <w:b/>
        <w:bCs/>
      </w:rPr>
      <w:tblPr/>
      <w:tcPr>
        <w:tcBorders>
          <w:top w:val="double" w:sz="6" w:space="0" w:color="A1BAA5" w:themeColor="accent2" w:themeTint="BF"/>
          <w:left w:val="single" w:sz="8" w:space="0" w:color="A1BAA5" w:themeColor="accent2" w:themeTint="BF"/>
          <w:bottom w:val="single" w:sz="8" w:space="0" w:color="A1BAA5" w:themeColor="accent2" w:themeTint="BF"/>
          <w:right w:val="single" w:sz="8" w:space="0" w:color="A1BAA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8E1" w:themeFill="accent2" w:themeFillTint="3F"/>
      </w:tcPr>
    </w:tblStylePr>
    <w:tblStylePr w:type="band1Horz">
      <w:tblPr/>
      <w:tcPr>
        <w:tcBorders>
          <w:insideH w:val="nil"/>
          <w:insideV w:val="nil"/>
        </w:tcBorders>
        <w:shd w:val="clear" w:color="auto" w:fill="E0E8E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3D7EDD"/>
    <w:tblPr>
      <w:tblStyleRowBandSize w:val="1"/>
      <w:tblStyleColBandSize w:val="1"/>
      <w:tblBorders>
        <w:top w:val="single" w:sz="8" w:space="0" w:color="DCDC93" w:themeColor="accent3" w:themeTint="BF"/>
        <w:left w:val="single" w:sz="8" w:space="0" w:color="DCDC93" w:themeColor="accent3" w:themeTint="BF"/>
        <w:bottom w:val="single" w:sz="8" w:space="0" w:color="DCDC93" w:themeColor="accent3" w:themeTint="BF"/>
        <w:right w:val="single" w:sz="8" w:space="0" w:color="DCDC93" w:themeColor="accent3" w:themeTint="BF"/>
        <w:insideH w:val="single" w:sz="8" w:space="0" w:color="DCDC93" w:themeColor="accent3" w:themeTint="BF"/>
      </w:tblBorders>
    </w:tblPr>
    <w:tblStylePr w:type="firstRow">
      <w:pPr>
        <w:spacing w:before="0" w:after="0" w:line="240" w:lineRule="auto"/>
      </w:pPr>
      <w:rPr>
        <w:b/>
        <w:bCs/>
        <w:color w:val="FFFFFF" w:themeColor="background1"/>
      </w:rPr>
      <w:tblPr/>
      <w:tcPr>
        <w:tcBorders>
          <w:top w:val="single" w:sz="8" w:space="0" w:color="DCDC93" w:themeColor="accent3" w:themeTint="BF"/>
          <w:left w:val="single" w:sz="8" w:space="0" w:color="DCDC93" w:themeColor="accent3" w:themeTint="BF"/>
          <w:bottom w:val="single" w:sz="8" w:space="0" w:color="DCDC93" w:themeColor="accent3" w:themeTint="BF"/>
          <w:right w:val="single" w:sz="8" w:space="0" w:color="DCDC93" w:themeColor="accent3" w:themeTint="BF"/>
          <w:insideH w:val="nil"/>
          <w:insideV w:val="nil"/>
        </w:tcBorders>
        <w:shd w:val="clear" w:color="auto" w:fill="D1D16F" w:themeFill="accent3"/>
      </w:tcPr>
    </w:tblStylePr>
    <w:tblStylePr w:type="lastRow">
      <w:pPr>
        <w:spacing w:before="0" w:after="0" w:line="240" w:lineRule="auto"/>
      </w:pPr>
      <w:rPr>
        <w:b/>
        <w:bCs/>
      </w:rPr>
      <w:tblPr/>
      <w:tcPr>
        <w:tcBorders>
          <w:top w:val="double" w:sz="6" w:space="0" w:color="DCDC93" w:themeColor="accent3" w:themeTint="BF"/>
          <w:left w:val="single" w:sz="8" w:space="0" w:color="DCDC93" w:themeColor="accent3" w:themeTint="BF"/>
          <w:bottom w:val="single" w:sz="8" w:space="0" w:color="DCDC93" w:themeColor="accent3" w:themeTint="BF"/>
          <w:right w:val="single" w:sz="8" w:space="0" w:color="DCDC9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3F3DB" w:themeFill="accent3" w:themeFillTint="3F"/>
      </w:tcPr>
    </w:tblStylePr>
    <w:tblStylePr w:type="band1Horz">
      <w:tblPr/>
      <w:tcPr>
        <w:tcBorders>
          <w:insideH w:val="nil"/>
          <w:insideV w:val="nil"/>
        </w:tcBorders>
        <w:shd w:val="clear" w:color="auto" w:fill="F3F3D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3D7EDD"/>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blStylePr w:type="firstRow">
      <w:pPr>
        <w:spacing w:before="0" w:after="0" w:line="240" w:lineRule="auto"/>
      </w:pPr>
      <w:rPr>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3D7EDD"/>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tblBorders>
    </w:tblPr>
    <w:tblStylePr w:type="firstRow">
      <w:pPr>
        <w:spacing w:before="0" w:after="0" w:line="240" w:lineRule="auto"/>
      </w:pPr>
      <w:rPr>
        <w:b/>
        <w:bCs/>
        <w:color w:val="FFFFFF" w:themeColor="background1"/>
      </w:rPr>
      <w:tblPr/>
      <w:tcPr>
        <w:tc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shd w:val="clear" w:color="auto" w:fill="7F7F7F" w:themeFill="accent5"/>
      </w:tcPr>
    </w:tblStylePr>
    <w:tblStylePr w:type="lastRow">
      <w:pPr>
        <w:spacing w:before="0" w:after="0" w:line="240" w:lineRule="auto"/>
      </w:pPr>
      <w:rPr>
        <w:b/>
        <w:bCs/>
      </w:rPr>
      <w:tblPr/>
      <w:tcPr>
        <w:tcBorders>
          <w:top w:val="double" w:sz="6"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3D7EDD"/>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09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6609E" w:themeFill="accent1"/>
      </w:tcPr>
    </w:tblStylePr>
    <w:tblStylePr w:type="lastCol">
      <w:rPr>
        <w:b/>
        <w:bCs/>
        <w:color w:val="FFFFFF" w:themeColor="background1"/>
      </w:rPr>
      <w:tblPr/>
      <w:tcPr>
        <w:tcBorders>
          <w:left w:val="nil"/>
          <w:right w:val="nil"/>
          <w:insideH w:val="nil"/>
          <w:insideV w:val="nil"/>
        </w:tcBorders>
        <w:shd w:val="clear" w:color="auto" w:fill="66609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3A48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3A488" w:themeFill="accent2"/>
      </w:tcPr>
    </w:tblStylePr>
    <w:tblStylePr w:type="lastCol">
      <w:rPr>
        <w:b/>
        <w:bCs/>
        <w:color w:val="FFFFFF" w:themeColor="background1"/>
      </w:rPr>
      <w:tblPr/>
      <w:tcPr>
        <w:tcBorders>
          <w:left w:val="nil"/>
          <w:right w:val="nil"/>
          <w:insideH w:val="nil"/>
          <w:insideV w:val="nil"/>
        </w:tcBorders>
        <w:shd w:val="clear" w:color="auto" w:fill="83A48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D16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1D16F" w:themeFill="accent3"/>
      </w:tcPr>
    </w:tblStylePr>
    <w:tblStylePr w:type="lastCol">
      <w:rPr>
        <w:b/>
        <w:bCs/>
        <w:color w:val="FFFFFF" w:themeColor="background1"/>
      </w:rPr>
      <w:tblPr/>
      <w:tcPr>
        <w:tcBorders>
          <w:left w:val="nil"/>
          <w:right w:val="nil"/>
          <w:insideH w:val="nil"/>
          <w:insideV w:val="nil"/>
        </w:tcBorders>
        <w:shd w:val="clear" w:color="auto" w:fill="D1D16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7F7F" w:themeFill="accent5"/>
      </w:tcPr>
    </w:tblStylePr>
    <w:tblStylePr w:type="lastCol">
      <w:rPr>
        <w:b/>
        <w:bCs/>
        <w:color w:val="FFFFFF" w:themeColor="background1"/>
      </w:rPr>
      <w:tblPr/>
      <w:tcPr>
        <w:tcBorders>
          <w:left w:val="nil"/>
          <w:right w:val="nil"/>
          <w:insideH w:val="nil"/>
          <w:insideV w:val="nil"/>
        </w:tcBorders>
        <w:shd w:val="clear" w:color="auto" w:fill="7F7F7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ListNumber4">
    <w:name w:val="List Number 4"/>
    <w:basedOn w:val="Normal"/>
    <w:uiPriority w:val="41"/>
    <w:semiHidden/>
    <w:unhideWhenUsed/>
    <w:rsid w:val="003F5687"/>
    <w:pPr>
      <w:numPr>
        <w:numId w:val="14"/>
      </w:numPr>
      <w:contextualSpacing/>
    </w:pPr>
  </w:style>
  <w:style w:type="paragraph" w:styleId="ListNumber5">
    <w:name w:val="List Number 5"/>
    <w:basedOn w:val="Normal"/>
    <w:uiPriority w:val="41"/>
    <w:semiHidden/>
    <w:unhideWhenUsed/>
    <w:rsid w:val="007578F3"/>
    <w:pPr>
      <w:numPr>
        <w:numId w:val="15"/>
      </w:numPr>
      <w:contextualSpacing/>
    </w:pPr>
  </w:style>
  <w:style w:type="character" w:styleId="Mention">
    <w:name w:val="Mention"/>
    <w:basedOn w:val="DefaultParagraphFont"/>
    <w:uiPriority w:val="99"/>
    <w:semiHidden/>
    <w:unhideWhenUsed/>
    <w:rsid w:val="00B00B6B"/>
    <w:rPr>
      <w:color w:val="auto"/>
      <w:shd w:val="clear" w:color="auto" w:fill="E1DFDD"/>
    </w:rPr>
  </w:style>
  <w:style w:type="paragraph" w:styleId="ListBullet2">
    <w:name w:val="List Bullet 2"/>
    <w:basedOn w:val="Normal"/>
    <w:uiPriority w:val="42"/>
    <w:semiHidden/>
    <w:unhideWhenUsed/>
    <w:rsid w:val="006119C6"/>
    <w:pPr>
      <w:numPr>
        <w:numId w:val="7"/>
      </w:numPr>
      <w:ind w:hanging="397"/>
      <w:contextualSpacing/>
    </w:pPr>
  </w:style>
  <w:style w:type="paragraph" w:styleId="ListBullet3">
    <w:name w:val="List Bullet 3"/>
    <w:basedOn w:val="Normal"/>
    <w:uiPriority w:val="42"/>
    <w:semiHidden/>
    <w:unhideWhenUsed/>
    <w:rsid w:val="006119C6"/>
    <w:pPr>
      <w:numPr>
        <w:numId w:val="8"/>
      </w:numPr>
      <w:ind w:left="1191" w:hanging="397"/>
      <w:contextualSpacing/>
    </w:pPr>
  </w:style>
  <w:style w:type="table" w:styleId="GridTable1Light">
    <w:name w:val="Grid Table 1 Light"/>
    <w:basedOn w:val="TableNormal"/>
    <w:rsid w:val="003D7ED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3D7EDD"/>
    <w:tblPr>
      <w:tblStyleRowBandSize w:val="1"/>
      <w:tblStyleColBandSize w:val="1"/>
      <w:tblBorders>
        <w:top w:val="single" w:sz="4" w:space="0" w:color="C1BFD8" w:themeColor="accent1" w:themeTint="66"/>
        <w:left w:val="single" w:sz="4" w:space="0" w:color="C1BFD8" w:themeColor="accent1" w:themeTint="66"/>
        <w:bottom w:val="single" w:sz="4" w:space="0" w:color="C1BFD8" w:themeColor="accent1" w:themeTint="66"/>
        <w:right w:val="single" w:sz="4" w:space="0" w:color="C1BFD8" w:themeColor="accent1" w:themeTint="66"/>
        <w:insideH w:val="single" w:sz="4" w:space="0" w:color="C1BFD8" w:themeColor="accent1" w:themeTint="66"/>
        <w:insideV w:val="single" w:sz="4" w:space="0" w:color="C1BFD8" w:themeColor="accent1" w:themeTint="66"/>
      </w:tblBorders>
    </w:tblPr>
    <w:tblStylePr w:type="firstRow">
      <w:rPr>
        <w:b/>
        <w:bCs/>
      </w:rPr>
      <w:tblPr/>
      <w:tcPr>
        <w:tcBorders>
          <w:bottom w:val="single" w:sz="12" w:space="0" w:color="A29FC5" w:themeColor="accent1" w:themeTint="99"/>
        </w:tcBorders>
      </w:tcPr>
    </w:tblStylePr>
    <w:tblStylePr w:type="lastRow">
      <w:rPr>
        <w:b/>
        <w:bCs/>
      </w:rPr>
      <w:tblPr/>
      <w:tcPr>
        <w:tcBorders>
          <w:top w:val="double" w:sz="2" w:space="0" w:color="A29FC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3D7EDD"/>
    <w:tblPr>
      <w:tblStyleRowBandSize w:val="1"/>
      <w:tblStyleColBandSize w:val="1"/>
      <w:tblBorders>
        <w:top w:val="single" w:sz="4" w:space="0" w:color="CDDACF" w:themeColor="accent2" w:themeTint="66"/>
        <w:left w:val="single" w:sz="4" w:space="0" w:color="CDDACF" w:themeColor="accent2" w:themeTint="66"/>
        <w:bottom w:val="single" w:sz="4" w:space="0" w:color="CDDACF" w:themeColor="accent2" w:themeTint="66"/>
        <w:right w:val="single" w:sz="4" w:space="0" w:color="CDDACF" w:themeColor="accent2" w:themeTint="66"/>
        <w:insideH w:val="single" w:sz="4" w:space="0" w:color="CDDACF" w:themeColor="accent2" w:themeTint="66"/>
        <w:insideV w:val="single" w:sz="4" w:space="0" w:color="CDDACF" w:themeColor="accent2" w:themeTint="66"/>
      </w:tblBorders>
    </w:tblPr>
    <w:tblStylePr w:type="firstRow">
      <w:rPr>
        <w:b/>
        <w:bCs/>
      </w:rPr>
      <w:tblPr/>
      <w:tcPr>
        <w:tcBorders>
          <w:bottom w:val="single" w:sz="12" w:space="0" w:color="B4C8B7" w:themeColor="accent2" w:themeTint="99"/>
        </w:tcBorders>
      </w:tcPr>
    </w:tblStylePr>
    <w:tblStylePr w:type="lastRow">
      <w:rPr>
        <w:b/>
        <w:bCs/>
      </w:rPr>
      <w:tblPr/>
      <w:tcPr>
        <w:tcBorders>
          <w:top w:val="double" w:sz="2" w:space="0" w:color="B4C8B7"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3D7EDD"/>
    <w:tblPr>
      <w:tblStyleRowBandSize w:val="1"/>
      <w:tblStyleColBandSize w:val="1"/>
      <w:tblBorders>
        <w:top w:val="single" w:sz="4" w:space="0" w:color="ECECC5" w:themeColor="accent3" w:themeTint="66"/>
        <w:left w:val="single" w:sz="4" w:space="0" w:color="ECECC5" w:themeColor="accent3" w:themeTint="66"/>
        <w:bottom w:val="single" w:sz="4" w:space="0" w:color="ECECC5" w:themeColor="accent3" w:themeTint="66"/>
        <w:right w:val="single" w:sz="4" w:space="0" w:color="ECECC5" w:themeColor="accent3" w:themeTint="66"/>
        <w:insideH w:val="single" w:sz="4" w:space="0" w:color="ECECC5" w:themeColor="accent3" w:themeTint="66"/>
        <w:insideV w:val="single" w:sz="4" w:space="0" w:color="ECECC5" w:themeColor="accent3" w:themeTint="66"/>
      </w:tblBorders>
    </w:tblPr>
    <w:tblStylePr w:type="firstRow">
      <w:rPr>
        <w:b/>
        <w:bCs/>
      </w:rPr>
      <w:tblPr/>
      <w:tcPr>
        <w:tcBorders>
          <w:bottom w:val="single" w:sz="12" w:space="0" w:color="E3E3A8" w:themeColor="accent3" w:themeTint="99"/>
        </w:tcBorders>
      </w:tcPr>
    </w:tblStylePr>
    <w:tblStylePr w:type="lastRow">
      <w:rPr>
        <w:b/>
        <w:bCs/>
      </w:rPr>
      <w:tblPr/>
      <w:tcPr>
        <w:tcBorders>
          <w:top w:val="double" w:sz="2" w:space="0" w:color="E3E3A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3D7EDD"/>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3D7EDD"/>
    <w:tblPr>
      <w:tblStyleRowBandSize w:val="1"/>
      <w:tblStyleColBandSize w:val="1"/>
      <w:tblBorders>
        <w:top w:val="single" w:sz="4" w:space="0" w:color="CBCBCB" w:themeColor="accent5" w:themeTint="66"/>
        <w:left w:val="single" w:sz="4" w:space="0" w:color="CBCBCB" w:themeColor="accent5" w:themeTint="66"/>
        <w:bottom w:val="single" w:sz="4" w:space="0" w:color="CBCBCB" w:themeColor="accent5" w:themeTint="66"/>
        <w:right w:val="single" w:sz="4" w:space="0" w:color="CBCBCB" w:themeColor="accent5" w:themeTint="66"/>
        <w:insideH w:val="single" w:sz="4" w:space="0" w:color="CBCBCB" w:themeColor="accent5" w:themeTint="66"/>
        <w:insideV w:val="single" w:sz="4" w:space="0" w:color="CBCBCB" w:themeColor="accent5" w:themeTint="66"/>
      </w:tblBorders>
    </w:tblPr>
    <w:tblStylePr w:type="firstRow">
      <w:rPr>
        <w:b/>
        <w:bCs/>
      </w:rPr>
      <w:tblPr/>
      <w:tcPr>
        <w:tcBorders>
          <w:bottom w:val="single" w:sz="12" w:space="0" w:color="B2B2B2" w:themeColor="accent5" w:themeTint="99"/>
        </w:tcBorders>
      </w:tcPr>
    </w:tblStylePr>
    <w:tblStylePr w:type="lastRow">
      <w:rPr>
        <w:b/>
        <w:bCs/>
      </w:rPr>
      <w:tblPr/>
      <w:tcPr>
        <w:tcBorders>
          <w:top w:val="double" w:sz="2" w:space="0" w:color="B2B2B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3D7EDD"/>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2" w:space="0" w:color="D8D8D8" w:themeColor="accent6" w:themeTint="99"/>
        </w:tcBorders>
      </w:tcPr>
    </w:tblStylePr>
    <w:tblStylePr w:type="firstCol">
      <w:rPr>
        <w:b/>
        <w:bCs/>
      </w:rPr>
    </w:tblStylePr>
    <w:tblStylePr w:type="lastCol">
      <w:rPr>
        <w:b/>
        <w:bCs/>
      </w:rPr>
    </w:tblStylePr>
  </w:style>
  <w:style w:type="table" w:styleId="GridTable2">
    <w:name w:val="Grid Table 2"/>
    <w:basedOn w:val="TableNormal"/>
    <w:rsid w:val="003D7ED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3D7EDD"/>
    <w:tblPr>
      <w:tblStyleRowBandSize w:val="1"/>
      <w:tblStyleColBandSize w:val="1"/>
      <w:tblBorders>
        <w:top w:val="single" w:sz="2" w:space="0" w:color="A29FC5" w:themeColor="accent1" w:themeTint="99"/>
        <w:bottom w:val="single" w:sz="2" w:space="0" w:color="A29FC5" w:themeColor="accent1" w:themeTint="99"/>
        <w:insideH w:val="single" w:sz="2" w:space="0" w:color="A29FC5" w:themeColor="accent1" w:themeTint="99"/>
        <w:insideV w:val="single" w:sz="2" w:space="0" w:color="A29FC5" w:themeColor="accent1" w:themeTint="99"/>
      </w:tblBorders>
    </w:tblPr>
    <w:tblStylePr w:type="firstRow">
      <w:rPr>
        <w:b/>
        <w:bCs/>
      </w:rPr>
      <w:tblPr/>
      <w:tcPr>
        <w:tcBorders>
          <w:top w:val="nil"/>
          <w:bottom w:val="single" w:sz="12" w:space="0" w:color="A29FC5" w:themeColor="accent1" w:themeTint="99"/>
          <w:insideH w:val="nil"/>
          <w:insideV w:val="nil"/>
        </w:tcBorders>
        <w:shd w:val="clear" w:color="auto" w:fill="FFFFFF" w:themeFill="background1"/>
      </w:tcPr>
    </w:tblStylePr>
    <w:tblStylePr w:type="lastRow">
      <w:rPr>
        <w:b/>
        <w:bCs/>
      </w:rPr>
      <w:tblPr/>
      <w:tcPr>
        <w:tcBorders>
          <w:top w:val="double" w:sz="2" w:space="0" w:color="A29FC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GridTable2-Accent2">
    <w:name w:val="Grid Table 2 Accent 2"/>
    <w:basedOn w:val="TableNormal"/>
    <w:rsid w:val="003D7EDD"/>
    <w:tblPr>
      <w:tblStyleRowBandSize w:val="1"/>
      <w:tblStyleColBandSize w:val="1"/>
      <w:tblBorders>
        <w:top w:val="single" w:sz="2" w:space="0" w:color="B4C8B7" w:themeColor="accent2" w:themeTint="99"/>
        <w:bottom w:val="single" w:sz="2" w:space="0" w:color="B4C8B7" w:themeColor="accent2" w:themeTint="99"/>
        <w:insideH w:val="single" w:sz="2" w:space="0" w:color="B4C8B7" w:themeColor="accent2" w:themeTint="99"/>
        <w:insideV w:val="single" w:sz="2" w:space="0" w:color="B4C8B7" w:themeColor="accent2" w:themeTint="99"/>
      </w:tblBorders>
    </w:tblPr>
    <w:tblStylePr w:type="firstRow">
      <w:rPr>
        <w:b/>
        <w:bCs/>
      </w:rPr>
      <w:tblPr/>
      <w:tcPr>
        <w:tcBorders>
          <w:top w:val="nil"/>
          <w:bottom w:val="single" w:sz="12" w:space="0" w:color="B4C8B7" w:themeColor="accent2" w:themeTint="99"/>
          <w:insideH w:val="nil"/>
          <w:insideV w:val="nil"/>
        </w:tcBorders>
        <w:shd w:val="clear" w:color="auto" w:fill="FFFFFF" w:themeFill="background1"/>
      </w:tcPr>
    </w:tblStylePr>
    <w:tblStylePr w:type="lastRow">
      <w:rPr>
        <w:b/>
        <w:bCs/>
      </w:rPr>
      <w:tblPr/>
      <w:tcPr>
        <w:tcBorders>
          <w:top w:val="double" w:sz="2" w:space="0" w:color="B4C8B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GridTable2-Accent3">
    <w:name w:val="Grid Table 2 Accent 3"/>
    <w:basedOn w:val="TableNormal"/>
    <w:rsid w:val="003D7EDD"/>
    <w:tblPr>
      <w:tblStyleRowBandSize w:val="1"/>
      <w:tblStyleColBandSize w:val="1"/>
      <w:tblBorders>
        <w:top w:val="single" w:sz="2" w:space="0" w:color="E3E3A8" w:themeColor="accent3" w:themeTint="99"/>
        <w:bottom w:val="single" w:sz="2" w:space="0" w:color="E3E3A8" w:themeColor="accent3" w:themeTint="99"/>
        <w:insideH w:val="single" w:sz="2" w:space="0" w:color="E3E3A8" w:themeColor="accent3" w:themeTint="99"/>
        <w:insideV w:val="single" w:sz="2" w:space="0" w:color="E3E3A8" w:themeColor="accent3" w:themeTint="99"/>
      </w:tblBorders>
    </w:tblPr>
    <w:tblStylePr w:type="firstRow">
      <w:rPr>
        <w:b/>
        <w:bCs/>
      </w:rPr>
      <w:tblPr/>
      <w:tcPr>
        <w:tcBorders>
          <w:top w:val="nil"/>
          <w:bottom w:val="single" w:sz="12" w:space="0" w:color="E3E3A8" w:themeColor="accent3" w:themeTint="99"/>
          <w:insideH w:val="nil"/>
          <w:insideV w:val="nil"/>
        </w:tcBorders>
        <w:shd w:val="clear" w:color="auto" w:fill="FFFFFF" w:themeFill="background1"/>
      </w:tcPr>
    </w:tblStylePr>
    <w:tblStylePr w:type="lastRow">
      <w:rPr>
        <w:b/>
        <w:bCs/>
      </w:rPr>
      <w:tblPr/>
      <w:tcPr>
        <w:tcBorders>
          <w:top w:val="double" w:sz="2" w:space="0" w:color="E3E3A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GridTable2-Accent4">
    <w:name w:val="Grid Table 2 Accent 4"/>
    <w:basedOn w:val="TableNormal"/>
    <w:rsid w:val="003D7EDD"/>
    <w:tblPr>
      <w:tblStyleRowBandSize w:val="1"/>
      <w:tblStyleColBandSize w:val="1"/>
      <w:tblBorders>
        <w:top w:val="single" w:sz="2" w:space="0" w:color="8B8B8B" w:themeColor="accent4" w:themeTint="99"/>
        <w:bottom w:val="single" w:sz="2" w:space="0" w:color="8B8B8B" w:themeColor="accent4" w:themeTint="99"/>
        <w:insideH w:val="single" w:sz="2" w:space="0" w:color="8B8B8B" w:themeColor="accent4" w:themeTint="99"/>
        <w:insideV w:val="single" w:sz="2" w:space="0" w:color="8B8B8B" w:themeColor="accent4" w:themeTint="99"/>
      </w:tblBorders>
    </w:tblPr>
    <w:tblStylePr w:type="firstRow">
      <w:rPr>
        <w:b/>
        <w:bCs/>
      </w:rPr>
      <w:tblPr/>
      <w:tcPr>
        <w:tcBorders>
          <w:top w:val="nil"/>
          <w:bottom w:val="single" w:sz="12" w:space="0" w:color="8B8B8B" w:themeColor="accent4" w:themeTint="99"/>
          <w:insideH w:val="nil"/>
          <w:insideV w:val="nil"/>
        </w:tcBorders>
        <w:shd w:val="clear" w:color="auto" w:fill="FFFFFF" w:themeFill="background1"/>
      </w:tcPr>
    </w:tblStylePr>
    <w:tblStylePr w:type="lastRow">
      <w:rPr>
        <w:b/>
        <w:bCs/>
      </w:rPr>
      <w:tblPr/>
      <w:tcPr>
        <w:tcBorders>
          <w:top w:val="double" w:sz="2" w:space="0" w:color="8B8B8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GridTable2-Accent5">
    <w:name w:val="Grid Table 2 Accent 5"/>
    <w:basedOn w:val="TableNormal"/>
    <w:rsid w:val="003D7EDD"/>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GridTable2-Accent6">
    <w:name w:val="Grid Table 2 Accent 6"/>
    <w:basedOn w:val="TableNormal"/>
    <w:rsid w:val="003D7EDD"/>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3">
    <w:name w:val="Grid Table 3"/>
    <w:basedOn w:val="TableNormal"/>
    <w:rsid w:val="003D7ED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semiHidden/>
    <w:rsid w:val="003D7EDD"/>
    <w:tblPr>
      <w:tblStyleRowBandSize w:val="1"/>
      <w:tblStyleColBandSize w:val="1"/>
      <w:tblBorders>
        <w:top w:val="single" w:sz="4" w:space="0" w:color="A29FC5" w:themeColor="accent1" w:themeTint="99"/>
        <w:left w:val="single" w:sz="4" w:space="0" w:color="A29FC5" w:themeColor="accent1" w:themeTint="99"/>
        <w:bottom w:val="single" w:sz="4" w:space="0" w:color="A29FC5" w:themeColor="accent1" w:themeTint="99"/>
        <w:right w:val="single" w:sz="4" w:space="0" w:color="A29FC5" w:themeColor="accent1" w:themeTint="99"/>
        <w:insideH w:val="single" w:sz="4" w:space="0" w:color="A29FC5" w:themeColor="accent1" w:themeTint="99"/>
        <w:insideV w:val="single" w:sz="4" w:space="0" w:color="A29FC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FEB" w:themeFill="accent1" w:themeFillTint="33"/>
      </w:tcPr>
    </w:tblStylePr>
    <w:tblStylePr w:type="band1Horz">
      <w:tblPr/>
      <w:tcPr>
        <w:shd w:val="clear" w:color="auto" w:fill="E0DFEB" w:themeFill="accent1" w:themeFillTint="33"/>
      </w:tcPr>
    </w:tblStylePr>
    <w:tblStylePr w:type="neCell">
      <w:tblPr/>
      <w:tcPr>
        <w:tcBorders>
          <w:bottom w:val="single" w:sz="4" w:space="0" w:color="A29FC5" w:themeColor="accent1" w:themeTint="99"/>
        </w:tcBorders>
      </w:tcPr>
    </w:tblStylePr>
    <w:tblStylePr w:type="nwCell">
      <w:tblPr/>
      <w:tcPr>
        <w:tcBorders>
          <w:bottom w:val="single" w:sz="4" w:space="0" w:color="A29FC5" w:themeColor="accent1" w:themeTint="99"/>
        </w:tcBorders>
      </w:tcPr>
    </w:tblStylePr>
    <w:tblStylePr w:type="seCell">
      <w:tblPr/>
      <w:tcPr>
        <w:tcBorders>
          <w:top w:val="single" w:sz="4" w:space="0" w:color="A29FC5" w:themeColor="accent1" w:themeTint="99"/>
        </w:tcBorders>
      </w:tcPr>
    </w:tblStylePr>
    <w:tblStylePr w:type="swCell">
      <w:tblPr/>
      <w:tcPr>
        <w:tcBorders>
          <w:top w:val="single" w:sz="4" w:space="0" w:color="A29FC5" w:themeColor="accent1" w:themeTint="99"/>
        </w:tcBorders>
      </w:tcPr>
    </w:tblStylePr>
  </w:style>
  <w:style w:type="table" w:styleId="GridTable3-Accent2">
    <w:name w:val="Grid Table 3 Accent 2"/>
    <w:basedOn w:val="TableNormal"/>
    <w:semiHidden/>
    <w:rsid w:val="003D7EDD"/>
    <w:tblPr>
      <w:tblStyleRowBandSize w:val="1"/>
      <w:tblStyleColBandSize w:val="1"/>
      <w:tblBorders>
        <w:top w:val="single" w:sz="4" w:space="0" w:color="B4C8B7" w:themeColor="accent2" w:themeTint="99"/>
        <w:left w:val="single" w:sz="4" w:space="0" w:color="B4C8B7" w:themeColor="accent2" w:themeTint="99"/>
        <w:bottom w:val="single" w:sz="4" w:space="0" w:color="B4C8B7" w:themeColor="accent2" w:themeTint="99"/>
        <w:right w:val="single" w:sz="4" w:space="0" w:color="B4C8B7" w:themeColor="accent2" w:themeTint="99"/>
        <w:insideH w:val="single" w:sz="4" w:space="0" w:color="B4C8B7" w:themeColor="accent2" w:themeTint="99"/>
        <w:insideV w:val="single" w:sz="4" w:space="0" w:color="B4C8B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CE7" w:themeFill="accent2" w:themeFillTint="33"/>
      </w:tcPr>
    </w:tblStylePr>
    <w:tblStylePr w:type="band1Horz">
      <w:tblPr/>
      <w:tcPr>
        <w:shd w:val="clear" w:color="auto" w:fill="E6ECE7" w:themeFill="accent2" w:themeFillTint="33"/>
      </w:tcPr>
    </w:tblStylePr>
    <w:tblStylePr w:type="neCell">
      <w:tblPr/>
      <w:tcPr>
        <w:tcBorders>
          <w:bottom w:val="single" w:sz="4" w:space="0" w:color="B4C8B7" w:themeColor="accent2" w:themeTint="99"/>
        </w:tcBorders>
      </w:tcPr>
    </w:tblStylePr>
    <w:tblStylePr w:type="nwCell">
      <w:tblPr/>
      <w:tcPr>
        <w:tcBorders>
          <w:bottom w:val="single" w:sz="4" w:space="0" w:color="B4C8B7" w:themeColor="accent2" w:themeTint="99"/>
        </w:tcBorders>
      </w:tcPr>
    </w:tblStylePr>
    <w:tblStylePr w:type="seCell">
      <w:tblPr/>
      <w:tcPr>
        <w:tcBorders>
          <w:top w:val="single" w:sz="4" w:space="0" w:color="B4C8B7" w:themeColor="accent2" w:themeTint="99"/>
        </w:tcBorders>
      </w:tcPr>
    </w:tblStylePr>
    <w:tblStylePr w:type="swCell">
      <w:tblPr/>
      <w:tcPr>
        <w:tcBorders>
          <w:top w:val="single" w:sz="4" w:space="0" w:color="B4C8B7" w:themeColor="accent2" w:themeTint="99"/>
        </w:tcBorders>
      </w:tcPr>
    </w:tblStylePr>
  </w:style>
  <w:style w:type="table" w:styleId="GridTable3-Accent3">
    <w:name w:val="Grid Table 3 Accent 3"/>
    <w:basedOn w:val="TableNormal"/>
    <w:semiHidden/>
    <w:rsid w:val="003D7EDD"/>
    <w:tblPr>
      <w:tblStyleRowBandSize w:val="1"/>
      <w:tblStyleColBandSize w:val="1"/>
      <w:tblBorders>
        <w:top w:val="single" w:sz="4" w:space="0" w:color="E3E3A8" w:themeColor="accent3" w:themeTint="99"/>
        <w:left w:val="single" w:sz="4" w:space="0" w:color="E3E3A8" w:themeColor="accent3" w:themeTint="99"/>
        <w:bottom w:val="single" w:sz="4" w:space="0" w:color="E3E3A8" w:themeColor="accent3" w:themeTint="99"/>
        <w:right w:val="single" w:sz="4" w:space="0" w:color="E3E3A8" w:themeColor="accent3" w:themeTint="99"/>
        <w:insideH w:val="single" w:sz="4" w:space="0" w:color="E3E3A8" w:themeColor="accent3" w:themeTint="99"/>
        <w:insideV w:val="single" w:sz="4" w:space="0" w:color="E3E3A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5E2" w:themeFill="accent3" w:themeFillTint="33"/>
      </w:tcPr>
    </w:tblStylePr>
    <w:tblStylePr w:type="band1Horz">
      <w:tblPr/>
      <w:tcPr>
        <w:shd w:val="clear" w:color="auto" w:fill="F5F5E2" w:themeFill="accent3" w:themeFillTint="33"/>
      </w:tcPr>
    </w:tblStylePr>
    <w:tblStylePr w:type="neCell">
      <w:tblPr/>
      <w:tcPr>
        <w:tcBorders>
          <w:bottom w:val="single" w:sz="4" w:space="0" w:color="E3E3A8" w:themeColor="accent3" w:themeTint="99"/>
        </w:tcBorders>
      </w:tcPr>
    </w:tblStylePr>
    <w:tblStylePr w:type="nwCell">
      <w:tblPr/>
      <w:tcPr>
        <w:tcBorders>
          <w:bottom w:val="single" w:sz="4" w:space="0" w:color="E3E3A8" w:themeColor="accent3" w:themeTint="99"/>
        </w:tcBorders>
      </w:tcPr>
    </w:tblStylePr>
    <w:tblStylePr w:type="seCell">
      <w:tblPr/>
      <w:tcPr>
        <w:tcBorders>
          <w:top w:val="single" w:sz="4" w:space="0" w:color="E3E3A8" w:themeColor="accent3" w:themeTint="99"/>
        </w:tcBorders>
      </w:tcPr>
    </w:tblStylePr>
    <w:tblStylePr w:type="swCell">
      <w:tblPr/>
      <w:tcPr>
        <w:tcBorders>
          <w:top w:val="single" w:sz="4" w:space="0" w:color="E3E3A8" w:themeColor="accent3" w:themeTint="99"/>
        </w:tcBorders>
      </w:tcPr>
    </w:tblStylePr>
  </w:style>
  <w:style w:type="table" w:styleId="GridTable3-Accent4">
    <w:name w:val="Grid Table 3 Accent 4"/>
    <w:basedOn w:val="TableNormal"/>
    <w:semiHidden/>
    <w:rsid w:val="003D7EDD"/>
    <w:tblPr>
      <w:tblStyleRowBandSize w:val="1"/>
      <w:tblStyleColBandSize w:val="1"/>
      <w:tblBorders>
        <w:top w:val="single" w:sz="4" w:space="0" w:color="8B8B8B" w:themeColor="accent4" w:themeTint="99"/>
        <w:left w:val="single" w:sz="4" w:space="0" w:color="8B8B8B" w:themeColor="accent4" w:themeTint="99"/>
        <w:bottom w:val="single" w:sz="4" w:space="0" w:color="8B8B8B" w:themeColor="accent4" w:themeTint="99"/>
        <w:right w:val="single" w:sz="4" w:space="0" w:color="8B8B8B" w:themeColor="accent4" w:themeTint="99"/>
        <w:insideH w:val="single" w:sz="4" w:space="0" w:color="8B8B8B" w:themeColor="accent4" w:themeTint="99"/>
        <w:insideV w:val="single" w:sz="4" w:space="0" w:color="8B8B8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8D8" w:themeFill="accent4" w:themeFillTint="33"/>
      </w:tcPr>
    </w:tblStylePr>
    <w:tblStylePr w:type="band1Horz">
      <w:tblPr/>
      <w:tcPr>
        <w:shd w:val="clear" w:color="auto" w:fill="D8D8D8" w:themeFill="accent4" w:themeFillTint="33"/>
      </w:tcPr>
    </w:tblStylePr>
    <w:tblStylePr w:type="neCell">
      <w:tblPr/>
      <w:tcPr>
        <w:tcBorders>
          <w:bottom w:val="single" w:sz="4" w:space="0" w:color="8B8B8B" w:themeColor="accent4" w:themeTint="99"/>
        </w:tcBorders>
      </w:tcPr>
    </w:tblStylePr>
    <w:tblStylePr w:type="nwCell">
      <w:tblPr/>
      <w:tcPr>
        <w:tcBorders>
          <w:bottom w:val="single" w:sz="4" w:space="0" w:color="8B8B8B" w:themeColor="accent4" w:themeTint="99"/>
        </w:tcBorders>
      </w:tcPr>
    </w:tblStylePr>
    <w:tblStylePr w:type="seCell">
      <w:tblPr/>
      <w:tcPr>
        <w:tcBorders>
          <w:top w:val="single" w:sz="4" w:space="0" w:color="8B8B8B" w:themeColor="accent4" w:themeTint="99"/>
        </w:tcBorders>
      </w:tcPr>
    </w:tblStylePr>
    <w:tblStylePr w:type="swCell">
      <w:tblPr/>
      <w:tcPr>
        <w:tcBorders>
          <w:top w:val="single" w:sz="4" w:space="0" w:color="8B8B8B" w:themeColor="accent4" w:themeTint="99"/>
        </w:tcBorders>
      </w:tcPr>
    </w:tblStylePr>
  </w:style>
  <w:style w:type="table" w:styleId="GridTable3-Accent5">
    <w:name w:val="Grid Table 3 Accent 5"/>
    <w:basedOn w:val="TableNormal"/>
    <w:semiHidden/>
    <w:rsid w:val="003D7EDD"/>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table" w:styleId="GridTable3-Accent6">
    <w:name w:val="Grid Table 3 Accent 6"/>
    <w:basedOn w:val="TableNormal"/>
    <w:semiHidden/>
    <w:rsid w:val="003D7EDD"/>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styleId="GridTable4">
    <w:name w:val="Grid Table 4"/>
    <w:basedOn w:val="TableNormal"/>
    <w:semiHidden/>
    <w:rsid w:val="003D7ED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semiHidden/>
    <w:rsid w:val="003D7EDD"/>
    <w:tblPr>
      <w:tblStyleRowBandSize w:val="1"/>
      <w:tblStyleColBandSize w:val="1"/>
      <w:tblBorders>
        <w:top w:val="single" w:sz="4" w:space="0" w:color="A29FC5" w:themeColor="accent1" w:themeTint="99"/>
        <w:left w:val="single" w:sz="4" w:space="0" w:color="A29FC5" w:themeColor="accent1" w:themeTint="99"/>
        <w:bottom w:val="single" w:sz="4" w:space="0" w:color="A29FC5" w:themeColor="accent1" w:themeTint="99"/>
        <w:right w:val="single" w:sz="4" w:space="0" w:color="A29FC5" w:themeColor="accent1" w:themeTint="99"/>
        <w:insideH w:val="single" w:sz="4" w:space="0" w:color="A29FC5" w:themeColor="accent1" w:themeTint="99"/>
        <w:insideV w:val="single" w:sz="4" w:space="0" w:color="A29FC5" w:themeColor="accent1" w:themeTint="99"/>
      </w:tblBorders>
    </w:tblPr>
    <w:tblStylePr w:type="firstRow">
      <w:rPr>
        <w:b/>
        <w:bCs/>
        <w:color w:val="FFFFFF" w:themeColor="background1"/>
      </w:rPr>
      <w:tblPr/>
      <w:tcPr>
        <w:tcBorders>
          <w:top w:val="single" w:sz="4" w:space="0" w:color="66609E" w:themeColor="accent1"/>
          <w:left w:val="single" w:sz="4" w:space="0" w:color="66609E" w:themeColor="accent1"/>
          <w:bottom w:val="single" w:sz="4" w:space="0" w:color="66609E" w:themeColor="accent1"/>
          <w:right w:val="single" w:sz="4" w:space="0" w:color="66609E" w:themeColor="accent1"/>
          <w:insideH w:val="nil"/>
          <w:insideV w:val="nil"/>
        </w:tcBorders>
        <w:shd w:val="clear" w:color="auto" w:fill="66609E" w:themeFill="accent1"/>
      </w:tcPr>
    </w:tblStylePr>
    <w:tblStylePr w:type="lastRow">
      <w:rPr>
        <w:b/>
        <w:bCs/>
      </w:rPr>
      <w:tblPr/>
      <w:tcPr>
        <w:tcBorders>
          <w:top w:val="double" w:sz="4" w:space="0" w:color="66609E" w:themeColor="accent1"/>
        </w:tcBorders>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GridTable4-Accent2">
    <w:name w:val="Grid Table 4 Accent 2"/>
    <w:basedOn w:val="TableNormal"/>
    <w:semiHidden/>
    <w:rsid w:val="003D7EDD"/>
    <w:tblPr>
      <w:tblStyleRowBandSize w:val="1"/>
      <w:tblStyleColBandSize w:val="1"/>
      <w:tblBorders>
        <w:top w:val="single" w:sz="4" w:space="0" w:color="B4C8B7" w:themeColor="accent2" w:themeTint="99"/>
        <w:left w:val="single" w:sz="4" w:space="0" w:color="B4C8B7" w:themeColor="accent2" w:themeTint="99"/>
        <w:bottom w:val="single" w:sz="4" w:space="0" w:color="B4C8B7" w:themeColor="accent2" w:themeTint="99"/>
        <w:right w:val="single" w:sz="4" w:space="0" w:color="B4C8B7" w:themeColor="accent2" w:themeTint="99"/>
        <w:insideH w:val="single" w:sz="4" w:space="0" w:color="B4C8B7" w:themeColor="accent2" w:themeTint="99"/>
        <w:insideV w:val="single" w:sz="4" w:space="0" w:color="B4C8B7" w:themeColor="accent2" w:themeTint="99"/>
      </w:tblBorders>
    </w:tblPr>
    <w:tblStylePr w:type="firstRow">
      <w:rPr>
        <w:b/>
        <w:bCs/>
        <w:color w:val="FFFFFF" w:themeColor="background1"/>
      </w:rPr>
      <w:tblPr/>
      <w:tcPr>
        <w:tcBorders>
          <w:top w:val="single" w:sz="4" w:space="0" w:color="83A488" w:themeColor="accent2"/>
          <w:left w:val="single" w:sz="4" w:space="0" w:color="83A488" w:themeColor="accent2"/>
          <w:bottom w:val="single" w:sz="4" w:space="0" w:color="83A488" w:themeColor="accent2"/>
          <w:right w:val="single" w:sz="4" w:space="0" w:color="83A488" w:themeColor="accent2"/>
          <w:insideH w:val="nil"/>
          <w:insideV w:val="nil"/>
        </w:tcBorders>
        <w:shd w:val="clear" w:color="auto" w:fill="83A488" w:themeFill="accent2"/>
      </w:tcPr>
    </w:tblStylePr>
    <w:tblStylePr w:type="lastRow">
      <w:rPr>
        <w:b/>
        <w:bCs/>
      </w:rPr>
      <w:tblPr/>
      <w:tcPr>
        <w:tcBorders>
          <w:top w:val="double" w:sz="4" w:space="0" w:color="83A488" w:themeColor="accent2"/>
        </w:tcBorders>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GridTable4-Accent3">
    <w:name w:val="Grid Table 4 Accent 3"/>
    <w:basedOn w:val="TableNormal"/>
    <w:semiHidden/>
    <w:rsid w:val="003D7EDD"/>
    <w:tblPr>
      <w:tblStyleRowBandSize w:val="1"/>
      <w:tblStyleColBandSize w:val="1"/>
      <w:tblBorders>
        <w:top w:val="single" w:sz="4" w:space="0" w:color="E3E3A8" w:themeColor="accent3" w:themeTint="99"/>
        <w:left w:val="single" w:sz="4" w:space="0" w:color="E3E3A8" w:themeColor="accent3" w:themeTint="99"/>
        <w:bottom w:val="single" w:sz="4" w:space="0" w:color="E3E3A8" w:themeColor="accent3" w:themeTint="99"/>
        <w:right w:val="single" w:sz="4" w:space="0" w:color="E3E3A8" w:themeColor="accent3" w:themeTint="99"/>
        <w:insideH w:val="single" w:sz="4" w:space="0" w:color="E3E3A8" w:themeColor="accent3" w:themeTint="99"/>
        <w:insideV w:val="single" w:sz="4" w:space="0" w:color="E3E3A8" w:themeColor="accent3" w:themeTint="99"/>
      </w:tblBorders>
    </w:tblPr>
    <w:tblStylePr w:type="firstRow">
      <w:rPr>
        <w:b/>
        <w:bCs/>
        <w:color w:val="FFFFFF" w:themeColor="background1"/>
      </w:rPr>
      <w:tblPr/>
      <w:tcPr>
        <w:tcBorders>
          <w:top w:val="single" w:sz="4" w:space="0" w:color="D1D16F" w:themeColor="accent3"/>
          <w:left w:val="single" w:sz="4" w:space="0" w:color="D1D16F" w:themeColor="accent3"/>
          <w:bottom w:val="single" w:sz="4" w:space="0" w:color="D1D16F" w:themeColor="accent3"/>
          <w:right w:val="single" w:sz="4" w:space="0" w:color="D1D16F" w:themeColor="accent3"/>
          <w:insideH w:val="nil"/>
          <w:insideV w:val="nil"/>
        </w:tcBorders>
        <w:shd w:val="clear" w:color="auto" w:fill="D1D16F" w:themeFill="accent3"/>
      </w:tcPr>
    </w:tblStylePr>
    <w:tblStylePr w:type="lastRow">
      <w:rPr>
        <w:b/>
        <w:bCs/>
      </w:rPr>
      <w:tblPr/>
      <w:tcPr>
        <w:tcBorders>
          <w:top w:val="double" w:sz="4" w:space="0" w:color="D1D16F" w:themeColor="accent3"/>
        </w:tcBorders>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GridTable4-Accent4">
    <w:name w:val="Grid Table 4 Accent 4"/>
    <w:basedOn w:val="TableNormal"/>
    <w:semiHidden/>
    <w:rsid w:val="003D7EDD"/>
    <w:tblPr>
      <w:tblStyleRowBandSize w:val="1"/>
      <w:tblStyleColBandSize w:val="1"/>
      <w:tblBorders>
        <w:top w:val="single" w:sz="4" w:space="0" w:color="8B8B8B" w:themeColor="accent4" w:themeTint="99"/>
        <w:left w:val="single" w:sz="4" w:space="0" w:color="8B8B8B" w:themeColor="accent4" w:themeTint="99"/>
        <w:bottom w:val="single" w:sz="4" w:space="0" w:color="8B8B8B" w:themeColor="accent4" w:themeTint="99"/>
        <w:right w:val="single" w:sz="4" w:space="0" w:color="8B8B8B" w:themeColor="accent4" w:themeTint="99"/>
        <w:insideH w:val="single" w:sz="4" w:space="0" w:color="8B8B8B" w:themeColor="accent4" w:themeTint="99"/>
        <w:insideV w:val="single" w:sz="4" w:space="0" w:color="8B8B8B" w:themeColor="accent4" w:themeTint="99"/>
      </w:tblBorders>
    </w:tblPr>
    <w:tblStylePr w:type="firstRow">
      <w:rPr>
        <w:b/>
        <w:bCs/>
        <w:color w:val="FFFFFF" w:themeColor="background1"/>
      </w:rPr>
      <w:tblPr/>
      <w:tcPr>
        <w:tcBorders>
          <w:top w:val="single" w:sz="4" w:space="0" w:color="3F3F3F" w:themeColor="accent4"/>
          <w:left w:val="single" w:sz="4" w:space="0" w:color="3F3F3F" w:themeColor="accent4"/>
          <w:bottom w:val="single" w:sz="4" w:space="0" w:color="3F3F3F" w:themeColor="accent4"/>
          <w:right w:val="single" w:sz="4" w:space="0" w:color="3F3F3F" w:themeColor="accent4"/>
          <w:insideH w:val="nil"/>
          <w:insideV w:val="nil"/>
        </w:tcBorders>
        <w:shd w:val="clear" w:color="auto" w:fill="3F3F3F" w:themeFill="accent4"/>
      </w:tcPr>
    </w:tblStylePr>
    <w:tblStylePr w:type="lastRow">
      <w:rPr>
        <w:b/>
        <w:bCs/>
      </w:rPr>
      <w:tblPr/>
      <w:tcPr>
        <w:tcBorders>
          <w:top w:val="double" w:sz="4" w:space="0" w:color="3F3F3F" w:themeColor="accent4"/>
        </w:tcBorders>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GridTable4-Accent5">
    <w:name w:val="Grid Table 4 Accent 5"/>
    <w:basedOn w:val="TableNormal"/>
    <w:semiHidden/>
    <w:rsid w:val="003D7EDD"/>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color w:val="FFFFFF" w:themeColor="background1"/>
      </w:rPr>
      <w:tblPr/>
      <w:tcPr>
        <w:tcBorders>
          <w:top w:val="single" w:sz="4" w:space="0" w:color="7F7F7F" w:themeColor="accent5"/>
          <w:left w:val="single" w:sz="4" w:space="0" w:color="7F7F7F" w:themeColor="accent5"/>
          <w:bottom w:val="single" w:sz="4" w:space="0" w:color="7F7F7F" w:themeColor="accent5"/>
          <w:right w:val="single" w:sz="4" w:space="0" w:color="7F7F7F" w:themeColor="accent5"/>
          <w:insideH w:val="nil"/>
          <w:insideV w:val="nil"/>
        </w:tcBorders>
        <w:shd w:val="clear" w:color="auto" w:fill="7F7F7F" w:themeFill="accent5"/>
      </w:tcPr>
    </w:tblStylePr>
    <w:tblStylePr w:type="lastRow">
      <w:rPr>
        <w:b/>
        <w:bCs/>
      </w:rPr>
      <w:tblPr/>
      <w:tcPr>
        <w:tcBorders>
          <w:top w:val="double" w:sz="4" w:space="0" w:color="7F7F7F" w:themeColor="accent5"/>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GridTable4-Accent6">
    <w:name w:val="Grid Table 4 Accent 6"/>
    <w:basedOn w:val="TableNormal"/>
    <w:semiHidden/>
    <w:rsid w:val="003D7EDD"/>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5Dark">
    <w:name w:val="Grid Table 5 Dark"/>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DF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09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09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09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09E" w:themeFill="accent1"/>
      </w:tcPr>
    </w:tblStylePr>
    <w:tblStylePr w:type="band1Vert">
      <w:tblPr/>
      <w:tcPr>
        <w:shd w:val="clear" w:color="auto" w:fill="C1BFD8" w:themeFill="accent1" w:themeFillTint="66"/>
      </w:tcPr>
    </w:tblStylePr>
    <w:tblStylePr w:type="band1Horz">
      <w:tblPr/>
      <w:tcPr>
        <w:shd w:val="clear" w:color="auto" w:fill="C1BFD8" w:themeFill="accent1" w:themeFillTint="66"/>
      </w:tcPr>
    </w:tblStylePr>
  </w:style>
  <w:style w:type="table" w:styleId="GridTable5Dark-Accent2">
    <w:name w:val="Grid Table 5 Dark Accent 2"/>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C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3A48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3A48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3A48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3A488" w:themeFill="accent2"/>
      </w:tcPr>
    </w:tblStylePr>
    <w:tblStylePr w:type="band1Vert">
      <w:tblPr/>
      <w:tcPr>
        <w:shd w:val="clear" w:color="auto" w:fill="CDDACF" w:themeFill="accent2" w:themeFillTint="66"/>
      </w:tcPr>
    </w:tblStylePr>
    <w:tblStylePr w:type="band1Horz">
      <w:tblPr/>
      <w:tcPr>
        <w:shd w:val="clear" w:color="auto" w:fill="CDDACF" w:themeFill="accent2" w:themeFillTint="66"/>
      </w:tcPr>
    </w:tblStylePr>
  </w:style>
  <w:style w:type="table" w:styleId="GridTable5Dark-Accent3">
    <w:name w:val="Grid Table 5 Dark Accent 3"/>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5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D16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D16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D16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D16F" w:themeFill="accent3"/>
      </w:tcPr>
    </w:tblStylePr>
    <w:tblStylePr w:type="band1Vert">
      <w:tblPr/>
      <w:tcPr>
        <w:shd w:val="clear" w:color="auto" w:fill="ECECC5" w:themeFill="accent3" w:themeFillTint="66"/>
      </w:tcPr>
    </w:tblStylePr>
    <w:tblStylePr w:type="band1Horz">
      <w:tblPr/>
      <w:tcPr>
        <w:shd w:val="clear" w:color="auto" w:fill="ECECC5" w:themeFill="accent3" w:themeFillTint="66"/>
      </w:tcPr>
    </w:tblStylePr>
  </w:style>
  <w:style w:type="table" w:styleId="GridTable5Dark-Accent4">
    <w:name w:val="Grid Table 5 Dark Accent 4"/>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8D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3F3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3F3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3F3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3F3F" w:themeFill="accent4"/>
      </w:tcPr>
    </w:tblStylePr>
    <w:tblStylePr w:type="band1Vert">
      <w:tblPr/>
      <w:tcPr>
        <w:shd w:val="clear" w:color="auto" w:fill="B2B2B2" w:themeFill="accent4" w:themeFillTint="66"/>
      </w:tcPr>
    </w:tblStylePr>
    <w:tblStylePr w:type="band1Horz">
      <w:tblPr/>
      <w:tcPr>
        <w:shd w:val="clear" w:color="auto" w:fill="B2B2B2" w:themeFill="accent4" w:themeFillTint="66"/>
      </w:tcPr>
    </w:tblStylePr>
  </w:style>
  <w:style w:type="table" w:styleId="GridTable5Dark-Accent5">
    <w:name w:val="Grid Table 5 Dark Accent 5"/>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7F7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7F7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7F7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7F7F" w:themeFill="accent5"/>
      </w:tcPr>
    </w:tblStylePr>
    <w:tblStylePr w:type="band1Vert">
      <w:tblPr/>
      <w:tcPr>
        <w:shd w:val="clear" w:color="auto" w:fill="CBCBCB" w:themeFill="accent5" w:themeFillTint="66"/>
      </w:tcPr>
    </w:tblStylePr>
    <w:tblStylePr w:type="band1Horz">
      <w:tblPr/>
      <w:tcPr>
        <w:shd w:val="clear" w:color="auto" w:fill="CBCBCB" w:themeFill="accent5" w:themeFillTint="66"/>
      </w:tcPr>
    </w:tblStylePr>
  </w:style>
  <w:style w:type="table" w:styleId="GridTable5Dark-Accent6">
    <w:name w:val="Grid Table 5 Dark Accent 6"/>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GridTable6Colourful">
    <w:name w:val="Grid Table 6 Colorful"/>
    <w:basedOn w:val="TableNormal"/>
    <w:semiHidden/>
    <w:rsid w:val="003D7ED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semiHidden/>
    <w:rsid w:val="003D7EDD"/>
    <w:rPr>
      <w:color w:val="4C4876" w:themeColor="accent1" w:themeShade="BF"/>
    </w:rPr>
    <w:tblPr>
      <w:tblStyleRowBandSize w:val="1"/>
      <w:tblStyleColBandSize w:val="1"/>
      <w:tblBorders>
        <w:top w:val="single" w:sz="4" w:space="0" w:color="A29FC5" w:themeColor="accent1" w:themeTint="99"/>
        <w:left w:val="single" w:sz="4" w:space="0" w:color="A29FC5" w:themeColor="accent1" w:themeTint="99"/>
        <w:bottom w:val="single" w:sz="4" w:space="0" w:color="A29FC5" w:themeColor="accent1" w:themeTint="99"/>
        <w:right w:val="single" w:sz="4" w:space="0" w:color="A29FC5" w:themeColor="accent1" w:themeTint="99"/>
        <w:insideH w:val="single" w:sz="4" w:space="0" w:color="A29FC5" w:themeColor="accent1" w:themeTint="99"/>
        <w:insideV w:val="single" w:sz="4" w:space="0" w:color="A29FC5" w:themeColor="accent1" w:themeTint="99"/>
      </w:tblBorders>
    </w:tblPr>
    <w:tblStylePr w:type="firstRow">
      <w:rPr>
        <w:b/>
        <w:bCs/>
      </w:rPr>
      <w:tblPr/>
      <w:tcPr>
        <w:tcBorders>
          <w:bottom w:val="single" w:sz="12" w:space="0" w:color="A29FC5" w:themeColor="accent1" w:themeTint="99"/>
        </w:tcBorders>
      </w:tcPr>
    </w:tblStylePr>
    <w:tblStylePr w:type="lastRow">
      <w:rPr>
        <w:b/>
        <w:bCs/>
      </w:rPr>
      <w:tblPr/>
      <w:tcPr>
        <w:tcBorders>
          <w:top w:val="double" w:sz="4" w:space="0" w:color="A29FC5" w:themeColor="accent1" w:themeTint="99"/>
        </w:tcBorders>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GridTable6ColourfulAccent2">
    <w:name w:val="Grid Table 6 Colorful Accent 2"/>
    <w:basedOn w:val="TableNormal"/>
    <w:semiHidden/>
    <w:rsid w:val="003D7EDD"/>
    <w:rPr>
      <w:color w:val="5D7F62" w:themeColor="accent2" w:themeShade="BF"/>
    </w:rPr>
    <w:tblPr>
      <w:tblStyleRowBandSize w:val="1"/>
      <w:tblStyleColBandSize w:val="1"/>
      <w:tblBorders>
        <w:top w:val="single" w:sz="4" w:space="0" w:color="B4C8B7" w:themeColor="accent2" w:themeTint="99"/>
        <w:left w:val="single" w:sz="4" w:space="0" w:color="B4C8B7" w:themeColor="accent2" w:themeTint="99"/>
        <w:bottom w:val="single" w:sz="4" w:space="0" w:color="B4C8B7" w:themeColor="accent2" w:themeTint="99"/>
        <w:right w:val="single" w:sz="4" w:space="0" w:color="B4C8B7" w:themeColor="accent2" w:themeTint="99"/>
        <w:insideH w:val="single" w:sz="4" w:space="0" w:color="B4C8B7" w:themeColor="accent2" w:themeTint="99"/>
        <w:insideV w:val="single" w:sz="4" w:space="0" w:color="B4C8B7" w:themeColor="accent2" w:themeTint="99"/>
      </w:tblBorders>
    </w:tblPr>
    <w:tblStylePr w:type="firstRow">
      <w:rPr>
        <w:b/>
        <w:bCs/>
      </w:rPr>
      <w:tblPr/>
      <w:tcPr>
        <w:tcBorders>
          <w:bottom w:val="single" w:sz="12" w:space="0" w:color="B4C8B7" w:themeColor="accent2" w:themeTint="99"/>
        </w:tcBorders>
      </w:tcPr>
    </w:tblStylePr>
    <w:tblStylePr w:type="lastRow">
      <w:rPr>
        <w:b/>
        <w:bCs/>
      </w:rPr>
      <w:tblPr/>
      <w:tcPr>
        <w:tcBorders>
          <w:top w:val="double" w:sz="4" w:space="0" w:color="B4C8B7" w:themeColor="accent2" w:themeTint="99"/>
        </w:tcBorders>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GridTable6ColourfulAccent3">
    <w:name w:val="Grid Table 6 Colorful Accent 3"/>
    <w:basedOn w:val="TableNormal"/>
    <w:semiHidden/>
    <w:rsid w:val="003D7EDD"/>
    <w:rPr>
      <w:color w:val="B5B53A" w:themeColor="accent3" w:themeShade="BF"/>
    </w:rPr>
    <w:tblPr>
      <w:tblStyleRowBandSize w:val="1"/>
      <w:tblStyleColBandSize w:val="1"/>
      <w:tblBorders>
        <w:top w:val="single" w:sz="4" w:space="0" w:color="E3E3A8" w:themeColor="accent3" w:themeTint="99"/>
        <w:left w:val="single" w:sz="4" w:space="0" w:color="E3E3A8" w:themeColor="accent3" w:themeTint="99"/>
        <w:bottom w:val="single" w:sz="4" w:space="0" w:color="E3E3A8" w:themeColor="accent3" w:themeTint="99"/>
        <w:right w:val="single" w:sz="4" w:space="0" w:color="E3E3A8" w:themeColor="accent3" w:themeTint="99"/>
        <w:insideH w:val="single" w:sz="4" w:space="0" w:color="E3E3A8" w:themeColor="accent3" w:themeTint="99"/>
        <w:insideV w:val="single" w:sz="4" w:space="0" w:color="E3E3A8" w:themeColor="accent3" w:themeTint="99"/>
      </w:tblBorders>
    </w:tblPr>
    <w:tblStylePr w:type="firstRow">
      <w:rPr>
        <w:b/>
        <w:bCs/>
      </w:rPr>
      <w:tblPr/>
      <w:tcPr>
        <w:tcBorders>
          <w:bottom w:val="single" w:sz="12" w:space="0" w:color="E3E3A8" w:themeColor="accent3" w:themeTint="99"/>
        </w:tcBorders>
      </w:tcPr>
    </w:tblStylePr>
    <w:tblStylePr w:type="lastRow">
      <w:rPr>
        <w:b/>
        <w:bCs/>
      </w:rPr>
      <w:tblPr/>
      <w:tcPr>
        <w:tcBorders>
          <w:top w:val="double" w:sz="4" w:space="0" w:color="E3E3A8" w:themeColor="accent3" w:themeTint="99"/>
        </w:tcBorders>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GridTable6ColourfulAccent4">
    <w:name w:val="Grid Table 6 Colorful Accent 4"/>
    <w:basedOn w:val="TableNormal"/>
    <w:semiHidden/>
    <w:rsid w:val="003D7EDD"/>
    <w:rPr>
      <w:color w:val="2F2F2F" w:themeColor="accent4" w:themeShade="BF"/>
    </w:rPr>
    <w:tblPr>
      <w:tblStyleRowBandSize w:val="1"/>
      <w:tblStyleColBandSize w:val="1"/>
      <w:tblBorders>
        <w:top w:val="single" w:sz="4" w:space="0" w:color="8B8B8B" w:themeColor="accent4" w:themeTint="99"/>
        <w:left w:val="single" w:sz="4" w:space="0" w:color="8B8B8B" w:themeColor="accent4" w:themeTint="99"/>
        <w:bottom w:val="single" w:sz="4" w:space="0" w:color="8B8B8B" w:themeColor="accent4" w:themeTint="99"/>
        <w:right w:val="single" w:sz="4" w:space="0" w:color="8B8B8B" w:themeColor="accent4" w:themeTint="99"/>
        <w:insideH w:val="single" w:sz="4" w:space="0" w:color="8B8B8B" w:themeColor="accent4" w:themeTint="99"/>
        <w:insideV w:val="single" w:sz="4" w:space="0" w:color="8B8B8B" w:themeColor="accent4" w:themeTint="99"/>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4" w:space="0" w:color="8B8B8B" w:themeColor="accent4" w:themeTint="99"/>
        </w:tcBorders>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GridTable6ColourfulAccent5">
    <w:name w:val="Grid Table 6 Colorful Accent 5"/>
    <w:basedOn w:val="TableNormal"/>
    <w:semiHidden/>
    <w:rsid w:val="003D7EDD"/>
    <w:rPr>
      <w:color w:val="5F5F5F" w:themeColor="accent5" w:themeShade="BF"/>
    </w:r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bottom w:val="single" w:sz="12" w:space="0" w:color="B2B2B2" w:themeColor="accent5" w:themeTint="99"/>
        </w:tcBorders>
      </w:tcPr>
    </w:tblStylePr>
    <w:tblStylePr w:type="lastRow">
      <w:rPr>
        <w:b/>
        <w:bCs/>
      </w:rPr>
      <w:tblPr/>
      <w:tcPr>
        <w:tcBorders>
          <w:top w:val="doub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GridTable6ColourfulAccent6">
    <w:name w:val="Grid Table 6 Colorful Accent 6"/>
    <w:basedOn w:val="TableNormal"/>
    <w:semiHidden/>
    <w:rsid w:val="003D7EDD"/>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7Colourful">
    <w:name w:val="Grid Table 7 Colorful"/>
    <w:basedOn w:val="TableNormal"/>
    <w:semiHidden/>
    <w:rsid w:val="003D7ED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semiHidden/>
    <w:rsid w:val="003D7EDD"/>
    <w:rPr>
      <w:color w:val="4C4876" w:themeColor="accent1" w:themeShade="BF"/>
    </w:rPr>
    <w:tblPr>
      <w:tblStyleRowBandSize w:val="1"/>
      <w:tblStyleColBandSize w:val="1"/>
      <w:tblBorders>
        <w:top w:val="single" w:sz="4" w:space="0" w:color="A29FC5" w:themeColor="accent1" w:themeTint="99"/>
        <w:left w:val="single" w:sz="4" w:space="0" w:color="A29FC5" w:themeColor="accent1" w:themeTint="99"/>
        <w:bottom w:val="single" w:sz="4" w:space="0" w:color="A29FC5" w:themeColor="accent1" w:themeTint="99"/>
        <w:right w:val="single" w:sz="4" w:space="0" w:color="A29FC5" w:themeColor="accent1" w:themeTint="99"/>
        <w:insideH w:val="single" w:sz="4" w:space="0" w:color="A29FC5" w:themeColor="accent1" w:themeTint="99"/>
        <w:insideV w:val="single" w:sz="4" w:space="0" w:color="A29FC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FEB" w:themeFill="accent1" w:themeFillTint="33"/>
      </w:tcPr>
    </w:tblStylePr>
    <w:tblStylePr w:type="band1Horz">
      <w:tblPr/>
      <w:tcPr>
        <w:shd w:val="clear" w:color="auto" w:fill="E0DFEB" w:themeFill="accent1" w:themeFillTint="33"/>
      </w:tcPr>
    </w:tblStylePr>
    <w:tblStylePr w:type="neCell">
      <w:tblPr/>
      <w:tcPr>
        <w:tcBorders>
          <w:bottom w:val="single" w:sz="4" w:space="0" w:color="A29FC5" w:themeColor="accent1" w:themeTint="99"/>
        </w:tcBorders>
      </w:tcPr>
    </w:tblStylePr>
    <w:tblStylePr w:type="nwCell">
      <w:tblPr/>
      <w:tcPr>
        <w:tcBorders>
          <w:bottom w:val="single" w:sz="4" w:space="0" w:color="A29FC5" w:themeColor="accent1" w:themeTint="99"/>
        </w:tcBorders>
      </w:tcPr>
    </w:tblStylePr>
    <w:tblStylePr w:type="seCell">
      <w:tblPr/>
      <w:tcPr>
        <w:tcBorders>
          <w:top w:val="single" w:sz="4" w:space="0" w:color="A29FC5" w:themeColor="accent1" w:themeTint="99"/>
        </w:tcBorders>
      </w:tcPr>
    </w:tblStylePr>
    <w:tblStylePr w:type="swCell">
      <w:tblPr/>
      <w:tcPr>
        <w:tcBorders>
          <w:top w:val="single" w:sz="4" w:space="0" w:color="A29FC5" w:themeColor="accent1" w:themeTint="99"/>
        </w:tcBorders>
      </w:tcPr>
    </w:tblStylePr>
  </w:style>
  <w:style w:type="table" w:styleId="GridTable7ColourfulAccent2">
    <w:name w:val="Grid Table 7 Colorful Accent 2"/>
    <w:basedOn w:val="TableNormal"/>
    <w:semiHidden/>
    <w:rsid w:val="003D7EDD"/>
    <w:rPr>
      <w:color w:val="5D7F62" w:themeColor="accent2" w:themeShade="BF"/>
    </w:rPr>
    <w:tblPr>
      <w:tblStyleRowBandSize w:val="1"/>
      <w:tblStyleColBandSize w:val="1"/>
      <w:tblBorders>
        <w:top w:val="single" w:sz="4" w:space="0" w:color="B4C8B7" w:themeColor="accent2" w:themeTint="99"/>
        <w:left w:val="single" w:sz="4" w:space="0" w:color="B4C8B7" w:themeColor="accent2" w:themeTint="99"/>
        <w:bottom w:val="single" w:sz="4" w:space="0" w:color="B4C8B7" w:themeColor="accent2" w:themeTint="99"/>
        <w:right w:val="single" w:sz="4" w:space="0" w:color="B4C8B7" w:themeColor="accent2" w:themeTint="99"/>
        <w:insideH w:val="single" w:sz="4" w:space="0" w:color="B4C8B7" w:themeColor="accent2" w:themeTint="99"/>
        <w:insideV w:val="single" w:sz="4" w:space="0" w:color="B4C8B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CE7" w:themeFill="accent2" w:themeFillTint="33"/>
      </w:tcPr>
    </w:tblStylePr>
    <w:tblStylePr w:type="band1Horz">
      <w:tblPr/>
      <w:tcPr>
        <w:shd w:val="clear" w:color="auto" w:fill="E6ECE7" w:themeFill="accent2" w:themeFillTint="33"/>
      </w:tcPr>
    </w:tblStylePr>
    <w:tblStylePr w:type="neCell">
      <w:tblPr/>
      <w:tcPr>
        <w:tcBorders>
          <w:bottom w:val="single" w:sz="4" w:space="0" w:color="B4C8B7" w:themeColor="accent2" w:themeTint="99"/>
        </w:tcBorders>
      </w:tcPr>
    </w:tblStylePr>
    <w:tblStylePr w:type="nwCell">
      <w:tblPr/>
      <w:tcPr>
        <w:tcBorders>
          <w:bottom w:val="single" w:sz="4" w:space="0" w:color="B4C8B7" w:themeColor="accent2" w:themeTint="99"/>
        </w:tcBorders>
      </w:tcPr>
    </w:tblStylePr>
    <w:tblStylePr w:type="seCell">
      <w:tblPr/>
      <w:tcPr>
        <w:tcBorders>
          <w:top w:val="single" w:sz="4" w:space="0" w:color="B4C8B7" w:themeColor="accent2" w:themeTint="99"/>
        </w:tcBorders>
      </w:tcPr>
    </w:tblStylePr>
    <w:tblStylePr w:type="swCell">
      <w:tblPr/>
      <w:tcPr>
        <w:tcBorders>
          <w:top w:val="single" w:sz="4" w:space="0" w:color="B4C8B7" w:themeColor="accent2" w:themeTint="99"/>
        </w:tcBorders>
      </w:tcPr>
    </w:tblStylePr>
  </w:style>
  <w:style w:type="table" w:styleId="GridTable7ColourfulAccent3">
    <w:name w:val="Grid Table 7 Colorful Accent 3"/>
    <w:basedOn w:val="TableNormal"/>
    <w:semiHidden/>
    <w:rsid w:val="003D7EDD"/>
    <w:rPr>
      <w:color w:val="B5B53A" w:themeColor="accent3" w:themeShade="BF"/>
    </w:rPr>
    <w:tblPr>
      <w:tblStyleRowBandSize w:val="1"/>
      <w:tblStyleColBandSize w:val="1"/>
      <w:tblBorders>
        <w:top w:val="single" w:sz="4" w:space="0" w:color="E3E3A8" w:themeColor="accent3" w:themeTint="99"/>
        <w:left w:val="single" w:sz="4" w:space="0" w:color="E3E3A8" w:themeColor="accent3" w:themeTint="99"/>
        <w:bottom w:val="single" w:sz="4" w:space="0" w:color="E3E3A8" w:themeColor="accent3" w:themeTint="99"/>
        <w:right w:val="single" w:sz="4" w:space="0" w:color="E3E3A8" w:themeColor="accent3" w:themeTint="99"/>
        <w:insideH w:val="single" w:sz="4" w:space="0" w:color="E3E3A8" w:themeColor="accent3" w:themeTint="99"/>
        <w:insideV w:val="single" w:sz="4" w:space="0" w:color="E3E3A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5E2" w:themeFill="accent3" w:themeFillTint="33"/>
      </w:tcPr>
    </w:tblStylePr>
    <w:tblStylePr w:type="band1Horz">
      <w:tblPr/>
      <w:tcPr>
        <w:shd w:val="clear" w:color="auto" w:fill="F5F5E2" w:themeFill="accent3" w:themeFillTint="33"/>
      </w:tcPr>
    </w:tblStylePr>
    <w:tblStylePr w:type="neCell">
      <w:tblPr/>
      <w:tcPr>
        <w:tcBorders>
          <w:bottom w:val="single" w:sz="4" w:space="0" w:color="E3E3A8" w:themeColor="accent3" w:themeTint="99"/>
        </w:tcBorders>
      </w:tcPr>
    </w:tblStylePr>
    <w:tblStylePr w:type="nwCell">
      <w:tblPr/>
      <w:tcPr>
        <w:tcBorders>
          <w:bottom w:val="single" w:sz="4" w:space="0" w:color="E3E3A8" w:themeColor="accent3" w:themeTint="99"/>
        </w:tcBorders>
      </w:tcPr>
    </w:tblStylePr>
    <w:tblStylePr w:type="seCell">
      <w:tblPr/>
      <w:tcPr>
        <w:tcBorders>
          <w:top w:val="single" w:sz="4" w:space="0" w:color="E3E3A8" w:themeColor="accent3" w:themeTint="99"/>
        </w:tcBorders>
      </w:tcPr>
    </w:tblStylePr>
    <w:tblStylePr w:type="swCell">
      <w:tblPr/>
      <w:tcPr>
        <w:tcBorders>
          <w:top w:val="single" w:sz="4" w:space="0" w:color="E3E3A8" w:themeColor="accent3" w:themeTint="99"/>
        </w:tcBorders>
      </w:tcPr>
    </w:tblStylePr>
  </w:style>
  <w:style w:type="table" w:styleId="GridTable7ColourfulAccent4">
    <w:name w:val="Grid Table 7 Colorful Accent 4"/>
    <w:basedOn w:val="TableNormal"/>
    <w:semiHidden/>
    <w:rsid w:val="003D7EDD"/>
    <w:rPr>
      <w:color w:val="2F2F2F" w:themeColor="accent4" w:themeShade="BF"/>
    </w:rPr>
    <w:tblPr>
      <w:tblStyleRowBandSize w:val="1"/>
      <w:tblStyleColBandSize w:val="1"/>
      <w:tblBorders>
        <w:top w:val="single" w:sz="4" w:space="0" w:color="8B8B8B" w:themeColor="accent4" w:themeTint="99"/>
        <w:left w:val="single" w:sz="4" w:space="0" w:color="8B8B8B" w:themeColor="accent4" w:themeTint="99"/>
        <w:bottom w:val="single" w:sz="4" w:space="0" w:color="8B8B8B" w:themeColor="accent4" w:themeTint="99"/>
        <w:right w:val="single" w:sz="4" w:space="0" w:color="8B8B8B" w:themeColor="accent4" w:themeTint="99"/>
        <w:insideH w:val="single" w:sz="4" w:space="0" w:color="8B8B8B" w:themeColor="accent4" w:themeTint="99"/>
        <w:insideV w:val="single" w:sz="4" w:space="0" w:color="8B8B8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8D8" w:themeFill="accent4" w:themeFillTint="33"/>
      </w:tcPr>
    </w:tblStylePr>
    <w:tblStylePr w:type="band1Horz">
      <w:tblPr/>
      <w:tcPr>
        <w:shd w:val="clear" w:color="auto" w:fill="D8D8D8" w:themeFill="accent4" w:themeFillTint="33"/>
      </w:tcPr>
    </w:tblStylePr>
    <w:tblStylePr w:type="neCell">
      <w:tblPr/>
      <w:tcPr>
        <w:tcBorders>
          <w:bottom w:val="single" w:sz="4" w:space="0" w:color="8B8B8B" w:themeColor="accent4" w:themeTint="99"/>
        </w:tcBorders>
      </w:tcPr>
    </w:tblStylePr>
    <w:tblStylePr w:type="nwCell">
      <w:tblPr/>
      <w:tcPr>
        <w:tcBorders>
          <w:bottom w:val="single" w:sz="4" w:space="0" w:color="8B8B8B" w:themeColor="accent4" w:themeTint="99"/>
        </w:tcBorders>
      </w:tcPr>
    </w:tblStylePr>
    <w:tblStylePr w:type="seCell">
      <w:tblPr/>
      <w:tcPr>
        <w:tcBorders>
          <w:top w:val="single" w:sz="4" w:space="0" w:color="8B8B8B" w:themeColor="accent4" w:themeTint="99"/>
        </w:tcBorders>
      </w:tcPr>
    </w:tblStylePr>
    <w:tblStylePr w:type="swCell">
      <w:tblPr/>
      <w:tcPr>
        <w:tcBorders>
          <w:top w:val="single" w:sz="4" w:space="0" w:color="8B8B8B" w:themeColor="accent4" w:themeTint="99"/>
        </w:tcBorders>
      </w:tcPr>
    </w:tblStylePr>
  </w:style>
  <w:style w:type="table" w:styleId="GridTable7ColourfulAccent5">
    <w:name w:val="Grid Table 7 Colorful Accent 5"/>
    <w:basedOn w:val="TableNormal"/>
    <w:semiHidden/>
    <w:rsid w:val="003D7EDD"/>
    <w:rPr>
      <w:color w:val="5F5F5F" w:themeColor="accent5" w:themeShade="BF"/>
    </w:r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table" w:styleId="GridTable7ColourfulAccent6">
    <w:name w:val="Grid Table 7 Colorful Accent 6"/>
    <w:basedOn w:val="TableNormal"/>
    <w:semiHidden/>
    <w:rsid w:val="003D7EDD"/>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styleId="TableGridLight">
    <w:name w:val="Grid Table Light"/>
    <w:basedOn w:val="TableNormal"/>
    <w:semiHidden/>
    <w:rsid w:val="003D7ED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martHyperlink">
    <w:name w:val="Smart Hyperlink"/>
    <w:basedOn w:val="DefaultParagraphFont"/>
    <w:uiPriority w:val="99"/>
    <w:semiHidden/>
    <w:unhideWhenUsed/>
    <w:rsid w:val="003D7EDD"/>
    <w:rPr>
      <w:rFonts w:asciiTheme="minorHAnsi" w:hAnsiTheme="minorHAnsi" w:cstheme="minorHAnsi"/>
      <w:u w:val="dotted"/>
    </w:rPr>
  </w:style>
  <w:style w:type="table" w:styleId="PlainTable1">
    <w:name w:val="Plain Table 1"/>
    <w:basedOn w:val="TableNormal"/>
    <w:semiHidden/>
    <w:rsid w:val="003D7ED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semiHidden/>
    <w:rsid w:val="003D7ED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D7ED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semiHidden/>
    <w:rsid w:val="003D7ED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semiHidden/>
    <w:rsid w:val="003D7ED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loverskrift">
    <w:name w:val="Deloverskrift"/>
    <w:basedOn w:val="Normal"/>
    <w:next w:val="Normal"/>
    <w:uiPriority w:val="8"/>
    <w:semiHidden/>
    <w:qFormat/>
    <w:rsid w:val="00F3302F"/>
    <w:pPr>
      <w:keepNext/>
      <w:spacing w:before="240" w:after="120" w:line="240" w:lineRule="atLeast"/>
      <w:jc w:val="center"/>
    </w:pPr>
    <w:rPr>
      <w:rFonts w:asciiTheme="majorHAnsi" w:hAnsiTheme="majorHAnsi"/>
      <w:caps/>
      <w:sz w:val="32"/>
      <w:szCs w:val="20"/>
    </w:rPr>
  </w:style>
  <w:style w:type="paragraph" w:styleId="ListBullet4">
    <w:name w:val="List Bullet 4"/>
    <w:basedOn w:val="Normal"/>
    <w:uiPriority w:val="42"/>
    <w:semiHidden/>
    <w:unhideWhenUsed/>
    <w:rsid w:val="003F2AA6"/>
    <w:pPr>
      <w:numPr>
        <w:numId w:val="9"/>
      </w:numPr>
      <w:contextualSpacing/>
    </w:pPr>
  </w:style>
  <w:style w:type="paragraph" w:styleId="ListBullet5">
    <w:name w:val="List Bullet 5"/>
    <w:basedOn w:val="Normal"/>
    <w:uiPriority w:val="42"/>
    <w:semiHidden/>
    <w:unhideWhenUsed/>
    <w:rsid w:val="00ED7649"/>
    <w:pPr>
      <w:numPr>
        <w:numId w:val="10"/>
      </w:numPr>
      <w:contextualSpacing/>
    </w:pPr>
  </w:style>
  <w:style w:type="paragraph" w:customStyle="1" w:styleId="EndNoteBibliography">
    <w:name w:val="EndNote Bibliography"/>
    <w:basedOn w:val="Normal"/>
    <w:link w:val="EndNoteBibliographyChar"/>
    <w:uiPriority w:val="56"/>
    <w:unhideWhenUsed/>
    <w:qFormat/>
    <w:rsid w:val="00A52EFC"/>
    <w:pPr>
      <w:keepLines/>
      <w:tabs>
        <w:tab w:val="left" w:pos="708"/>
      </w:tabs>
      <w:spacing w:line="288" w:lineRule="auto"/>
      <w:ind w:left="454" w:hanging="454"/>
    </w:pPr>
    <w:rPr>
      <w:rFonts w:asciiTheme="minorHAnsi" w:eastAsia="Times New Roman" w:hAnsiTheme="minorHAnsi" w:cs="Arial"/>
      <w:sz w:val="18"/>
      <w:szCs w:val="24"/>
    </w:rPr>
  </w:style>
  <w:style w:type="character" w:customStyle="1" w:styleId="EndNoteBibliographyChar">
    <w:name w:val="EndNote Bibliography Char"/>
    <w:link w:val="EndNoteBibliography"/>
    <w:uiPriority w:val="56"/>
    <w:rsid w:val="004F0CCD"/>
    <w:rPr>
      <w:rFonts w:asciiTheme="minorHAnsi" w:eastAsia="Times New Roman" w:hAnsiTheme="minorHAnsi" w:cs="Arial"/>
      <w:sz w:val="18"/>
      <w:szCs w:val="24"/>
      <w:lang w:val="en-GB"/>
    </w:rPr>
  </w:style>
  <w:style w:type="paragraph" w:customStyle="1" w:styleId="EndNoteBibliographyTitle">
    <w:name w:val="EndNote Bibliography Title"/>
    <w:basedOn w:val="Normal"/>
    <w:link w:val="EndNoteBibliographyTitleTegn"/>
    <w:uiPriority w:val="55"/>
    <w:semiHidden/>
    <w:rsid w:val="00954584"/>
    <w:pPr>
      <w:keepNext/>
      <w:keepLines/>
      <w:pageBreakBefore/>
      <w:suppressAutoHyphens/>
      <w:spacing w:before="600" w:after="720" w:line="252" w:lineRule="auto"/>
    </w:pPr>
    <w:rPr>
      <w:rFonts w:asciiTheme="majorHAnsi" w:eastAsia="Times New Roman" w:hAnsiTheme="majorHAnsi" w:cs="Times"/>
      <w:b/>
      <w:sz w:val="36"/>
      <w:szCs w:val="24"/>
      <w:lang w:eastAsia="nb-NO"/>
    </w:rPr>
  </w:style>
  <w:style w:type="character" w:customStyle="1" w:styleId="EndNoteBibliographyTitleTegn">
    <w:name w:val="EndNote Bibliography Title Tegn"/>
    <w:link w:val="EndNoteBibliographyTitle"/>
    <w:uiPriority w:val="55"/>
    <w:semiHidden/>
    <w:rsid w:val="004F0CCD"/>
    <w:rPr>
      <w:rFonts w:asciiTheme="majorHAnsi" w:eastAsia="Times New Roman" w:hAnsiTheme="majorHAnsi" w:cs="Times"/>
      <w:b/>
      <w:sz w:val="36"/>
      <w:szCs w:val="24"/>
      <w:lang w:val="en-GB" w:eastAsia="nb-NO"/>
    </w:rPr>
  </w:style>
  <w:style w:type="paragraph" w:customStyle="1" w:styleId="Overskrift1utennummer">
    <w:name w:val="Overskrift 1 uten nummer"/>
    <w:aliases w:val="H1 unr"/>
    <w:next w:val="Normal"/>
    <w:uiPriority w:val="10"/>
    <w:qFormat/>
    <w:rsid w:val="006B6496"/>
    <w:pPr>
      <w:keepNext/>
      <w:keepLines/>
      <w:suppressAutoHyphens/>
      <w:spacing w:before="240" w:after="240" w:line="252" w:lineRule="auto"/>
      <w:jc w:val="center"/>
      <w:outlineLvl w:val="0"/>
    </w:pPr>
    <w:rPr>
      <w:rFonts w:ascii="Times New Roman" w:eastAsiaTheme="majorEastAsia" w:hAnsi="Times New Roman" w:cstheme="minorHAnsi"/>
      <w:b/>
      <w:bCs/>
      <w:kern w:val="16"/>
      <w:sz w:val="24"/>
      <w:szCs w:val="28"/>
      <w:lang w:val="en-US"/>
    </w:rPr>
  </w:style>
  <w:style w:type="paragraph" w:styleId="List">
    <w:name w:val="List"/>
    <w:basedOn w:val="Normal"/>
    <w:uiPriority w:val="45"/>
    <w:semiHidden/>
    <w:unhideWhenUsed/>
    <w:rsid w:val="00F86A35"/>
    <w:pPr>
      <w:ind w:left="397" w:hanging="397"/>
      <w:contextualSpacing/>
    </w:pPr>
  </w:style>
  <w:style w:type="paragraph" w:styleId="ListContinue">
    <w:name w:val="List Continue"/>
    <w:basedOn w:val="Normal"/>
    <w:uiPriority w:val="45"/>
    <w:semiHidden/>
    <w:unhideWhenUsed/>
    <w:rsid w:val="00F86A35"/>
    <w:pPr>
      <w:ind w:left="397"/>
      <w:contextualSpacing/>
    </w:pPr>
  </w:style>
  <w:style w:type="paragraph" w:styleId="ListContinue2">
    <w:name w:val="List Continue 2"/>
    <w:basedOn w:val="Normal"/>
    <w:uiPriority w:val="45"/>
    <w:semiHidden/>
    <w:unhideWhenUsed/>
    <w:rsid w:val="00F86A35"/>
    <w:pPr>
      <w:ind w:left="794"/>
      <w:contextualSpacing/>
    </w:pPr>
  </w:style>
  <w:style w:type="paragraph" w:styleId="ListContinue3">
    <w:name w:val="List Continue 3"/>
    <w:basedOn w:val="Normal"/>
    <w:uiPriority w:val="45"/>
    <w:semiHidden/>
    <w:unhideWhenUsed/>
    <w:rsid w:val="00F86A35"/>
    <w:pPr>
      <w:ind w:left="1191"/>
      <w:contextualSpacing/>
    </w:pPr>
  </w:style>
  <w:style w:type="paragraph" w:styleId="ListContinue4">
    <w:name w:val="List Continue 4"/>
    <w:basedOn w:val="Normal"/>
    <w:uiPriority w:val="45"/>
    <w:semiHidden/>
    <w:unhideWhenUsed/>
    <w:rsid w:val="00F86A35"/>
    <w:pPr>
      <w:ind w:left="1644"/>
      <w:contextualSpacing/>
    </w:pPr>
  </w:style>
  <w:style w:type="paragraph" w:styleId="ListContinue5">
    <w:name w:val="List Continue 5"/>
    <w:basedOn w:val="Normal"/>
    <w:uiPriority w:val="45"/>
    <w:semiHidden/>
    <w:unhideWhenUsed/>
    <w:rsid w:val="00F86A35"/>
    <w:pPr>
      <w:ind w:left="2041"/>
      <w:contextualSpacing/>
    </w:pPr>
  </w:style>
  <w:style w:type="paragraph" w:styleId="List2">
    <w:name w:val="List 2"/>
    <w:basedOn w:val="Normal"/>
    <w:uiPriority w:val="45"/>
    <w:semiHidden/>
    <w:unhideWhenUsed/>
    <w:rsid w:val="007D79F1"/>
    <w:pPr>
      <w:ind w:left="794" w:hanging="397"/>
      <w:contextualSpacing/>
    </w:pPr>
  </w:style>
  <w:style w:type="paragraph" w:styleId="List3">
    <w:name w:val="List 3"/>
    <w:basedOn w:val="Normal"/>
    <w:uiPriority w:val="45"/>
    <w:semiHidden/>
    <w:unhideWhenUsed/>
    <w:rsid w:val="004B7E45"/>
    <w:pPr>
      <w:ind w:left="1191" w:hanging="397"/>
      <w:contextualSpacing/>
    </w:pPr>
  </w:style>
  <w:style w:type="paragraph" w:styleId="List4">
    <w:name w:val="List 4"/>
    <w:basedOn w:val="Normal"/>
    <w:uiPriority w:val="45"/>
    <w:semiHidden/>
    <w:unhideWhenUsed/>
    <w:rsid w:val="004B7E45"/>
    <w:pPr>
      <w:ind w:left="1588" w:hanging="397"/>
      <w:contextualSpacing/>
    </w:pPr>
  </w:style>
  <w:style w:type="paragraph" w:styleId="List5">
    <w:name w:val="List 5"/>
    <w:basedOn w:val="Normal"/>
    <w:uiPriority w:val="45"/>
    <w:semiHidden/>
    <w:unhideWhenUsed/>
    <w:rsid w:val="004B7E45"/>
    <w:pPr>
      <w:ind w:left="2041" w:hanging="397"/>
      <w:contextualSpacing/>
    </w:pPr>
  </w:style>
  <w:style w:type="paragraph" w:styleId="BodyTextFirstIndent">
    <w:name w:val="Body Text First Indent"/>
    <w:basedOn w:val="BodyText"/>
    <w:link w:val="BodyTextFirstIndentChar"/>
    <w:uiPriority w:val="20"/>
    <w:semiHidden/>
    <w:unhideWhenUsed/>
    <w:rsid w:val="00A719AD"/>
    <w:pPr>
      <w:ind w:firstLine="397"/>
    </w:pPr>
  </w:style>
  <w:style w:type="character" w:customStyle="1" w:styleId="BodyTextFirstIndentChar">
    <w:name w:val="Body Text First Indent Char"/>
    <w:basedOn w:val="BodyTextChar"/>
    <w:link w:val="BodyTextFirstIndent"/>
    <w:uiPriority w:val="99"/>
    <w:rsid w:val="00A719AD"/>
    <w:rPr>
      <w:rFonts w:cstheme="minorHAnsi"/>
    </w:rPr>
  </w:style>
  <w:style w:type="paragraph" w:styleId="BodyTextFirstIndent2">
    <w:name w:val="Body Text First Indent 2"/>
    <w:basedOn w:val="BodyTextIndent"/>
    <w:link w:val="BodyTextFirstIndent2Char"/>
    <w:uiPriority w:val="20"/>
    <w:semiHidden/>
    <w:unhideWhenUsed/>
    <w:rsid w:val="00A719AD"/>
    <w:pPr>
      <w:spacing w:after="0"/>
      <w:ind w:left="397" w:firstLine="397"/>
    </w:pPr>
  </w:style>
  <w:style w:type="character" w:customStyle="1" w:styleId="BodyTextFirstIndent2Char">
    <w:name w:val="Body Text First Indent 2 Char"/>
    <w:basedOn w:val="BodyTextIndentChar"/>
    <w:link w:val="BodyTextFirstIndent2"/>
    <w:uiPriority w:val="99"/>
    <w:rsid w:val="00A719AD"/>
  </w:style>
  <w:style w:type="character" w:customStyle="1" w:styleId="INNHtab">
    <w:name w:val="INNH tab"/>
    <w:uiPriority w:val="92"/>
    <w:semiHidden/>
    <w:rsid w:val="002D72CC"/>
    <w:rPr>
      <w:color w:val="404040" w:themeColor="text1" w:themeTint="BF"/>
      <w:spacing w:val="20"/>
      <w:sz w:val="14"/>
      <w:lang w:val="en-US"/>
    </w:rPr>
  </w:style>
  <w:style w:type="character" w:styleId="UnresolvedMention">
    <w:name w:val="Unresolved Mention"/>
    <w:basedOn w:val="DefaultParagraphFont"/>
    <w:uiPriority w:val="99"/>
    <w:semiHidden/>
    <w:unhideWhenUsed/>
    <w:rsid w:val="004D76AD"/>
    <w:rPr>
      <w:color w:val="605E5C"/>
      <w:shd w:val="clear" w:color="auto" w:fill="E1DFDD"/>
    </w:rPr>
  </w:style>
  <w:style w:type="paragraph" w:customStyle="1" w:styleId="Tittelkolofon">
    <w:name w:val="Tittel kolofon"/>
    <w:basedOn w:val="Title"/>
    <w:uiPriority w:val="3"/>
    <w:rsid w:val="004C6D5D"/>
    <w:pPr>
      <w:spacing w:line="288" w:lineRule="auto"/>
    </w:pPr>
    <w:rPr>
      <w:sz w:val="17"/>
    </w:rPr>
  </w:style>
  <w:style w:type="paragraph" w:customStyle="1" w:styleId="Titteltekst">
    <w:name w:val="Tittel tekst"/>
    <w:basedOn w:val="Title"/>
    <w:uiPriority w:val="2"/>
    <w:rsid w:val="0032470D"/>
    <w:pPr>
      <w:spacing w:line="312" w:lineRule="auto"/>
      <w:contextualSpacing w:val="0"/>
    </w:pPr>
    <w:rPr>
      <w:sz w:val="22"/>
    </w:rPr>
  </w:style>
  <w:style w:type="paragraph" w:customStyle="1" w:styleId="Logo">
    <w:name w:val="Logo"/>
    <w:next w:val="Normal"/>
    <w:uiPriority w:val="99"/>
    <w:semiHidden/>
    <w:rsid w:val="00977535"/>
    <w:pPr>
      <w:jc w:val="center"/>
    </w:pPr>
    <w:rPr>
      <w:sz w:val="20"/>
      <w:lang w:val="en-US"/>
    </w:rPr>
  </w:style>
  <w:style w:type="paragraph" w:customStyle="1" w:styleId="Sitatkilde">
    <w:name w:val="Sitat kilde"/>
    <w:basedOn w:val="Normal"/>
    <w:uiPriority w:val="31"/>
    <w:qFormat/>
    <w:rsid w:val="00D244BA"/>
    <w:pPr>
      <w:jc w:val="right"/>
    </w:pPr>
    <w:rPr>
      <w:sz w:val="18"/>
    </w:rPr>
  </w:style>
  <w:style w:type="paragraph" w:customStyle="1" w:styleId="Litteratur">
    <w:name w:val="Litteratur"/>
    <w:basedOn w:val="Normal"/>
    <w:uiPriority w:val="53"/>
    <w:qFormat/>
    <w:rsid w:val="00E20B02"/>
    <w:pPr>
      <w:spacing w:line="288" w:lineRule="auto"/>
      <w:ind w:left="454" w:hanging="454"/>
      <w:jc w:val="left"/>
    </w:pPr>
    <w:rPr>
      <w:sz w:val="18"/>
    </w:rPr>
  </w:style>
  <w:style w:type="character" w:styleId="SmartLink">
    <w:name w:val="Smart Link"/>
    <w:basedOn w:val="DefaultParagraphFont"/>
    <w:uiPriority w:val="99"/>
    <w:semiHidden/>
    <w:unhideWhenUsed/>
    <w:rsid w:val="004F0F8C"/>
    <w:rPr>
      <w:color w:val="013AFE" w:themeColor="hyperlink"/>
      <w:u w:val="single"/>
      <w:shd w:val="clear" w:color="auto" w:fill="E1DFDD"/>
    </w:rPr>
  </w:style>
  <w:style w:type="paragraph" w:customStyle="1" w:styleId="Overskriftartikkel1">
    <w:name w:val="Overskrift artikkel 1"/>
    <w:aliases w:val="Art 1"/>
    <w:next w:val="Normal"/>
    <w:uiPriority w:val="15"/>
    <w:qFormat/>
    <w:rsid w:val="00AC7993"/>
    <w:pPr>
      <w:keepNext/>
      <w:keepLines/>
      <w:numPr>
        <w:numId w:val="26"/>
      </w:numPr>
      <w:suppressAutoHyphens/>
      <w:spacing w:before="600" w:after="200" w:line="252" w:lineRule="auto"/>
      <w:outlineLvl w:val="1"/>
    </w:pPr>
    <w:rPr>
      <w:rFonts w:asciiTheme="majorHAnsi" w:eastAsiaTheme="majorEastAsia" w:hAnsiTheme="majorHAnsi" w:cstheme="minorHAnsi"/>
      <w:b/>
      <w:bCs/>
      <w:kern w:val="16"/>
      <w:sz w:val="30"/>
      <w:szCs w:val="28"/>
      <w:lang w:eastAsia="nb-NO"/>
    </w:rPr>
  </w:style>
  <w:style w:type="paragraph" w:customStyle="1" w:styleId="Overskriftartikkel2">
    <w:name w:val="Overskrift artikkel 2"/>
    <w:aliases w:val="Art 2"/>
    <w:basedOn w:val="Overskriftartikkel1"/>
    <w:next w:val="Normal"/>
    <w:uiPriority w:val="15"/>
    <w:qFormat/>
    <w:rsid w:val="001E0ADB"/>
    <w:pPr>
      <w:numPr>
        <w:ilvl w:val="1"/>
      </w:numPr>
      <w:spacing w:before="320" w:after="40"/>
      <w:outlineLvl w:val="2"/>
    </w:pPr>
    <w:rPr>
      <w:sz w:val="22"/>
    </w:rPr>
  </w:style>
  <w:style w:type="paragraph" w:customStyle="1" w:styleId="Overskriftartikkel3">
    <w:name w:val="Overskrift artikkel 3"/>
    <w:aliases w:val="Art 3"/>
    <w:basedOn w:val="Overskriftartikkel2"/>
    <w:next w:val="Normal"/>
    <w:uiPriority w:val="15"/>
    <w:qFormat/>
    <w:rsid w:val="001E0ADB"/>
    <w:pPr>
      <w:numPr>
        <w:ilvl w:val="2"/>
      </w:numPr>
      <w:outlineLvl w:val="3"/>
    </w:pPr>
    <w:rPr>
      <w:sz w:val="21"/>
    </w:rPr>
  </w:style>
  <w:style w:type="paragraph" w:customStyle="1" w:styleId="Overskriftartikkel4">
    <w:name w:val="Overskrift artikkel 4"/>
    <w:aliases w:val="Art 4"/>
    <w:basedOn w:val="Overskriftartikkel3"/>
    <w:next w:val="Normal"/>
    <w:uiPriority w:val="15"/>
    <w:semiHidden/>
    <w:rsid w:val="00660C4A"/>
    <w:pPr>
      <w:numPr>
        <w:ilvl w:val="0"/>
        <w:numId w:val="0"/>
      </w:numPr>
    </w:pPr>
  </w:style>
  <w:style w:type="paragraph" w:customStyle="1" w:styleId="Overskriftartikkel5">
    <w:name w:val="Overskrift artikkel 5"/>
    <w:aliases w:val="Art 5"/>
    <w:basedOn w:val="Overskriftartikkel4"/>
    <w:next w:val="Normal"/>
    <w:uiPriority w:val="15"/>
    <w:semiHidden/>
    <w:rsid w:val="00660C4A"/>
    <w:pPr>
      <w:outlineLvl w:val="4"/>
    </w:pPr>
    <w:rPr>
      <w:b w:val="0"/>
    </w:rPr>
  </w:style>
  <w:style w:type="paragraph" w:styleId="Revision">
    <w:name w:val="Revision"/>
    <w:hidden/>
    <w:uiPriority w:val="99"/>
    <w:semiHidden/>
    <w:rsid w:val="00735B05"/>
    <w:rPr>
      <w:sz w:val="20"/>
      <w:lang w:val="en-US"/>
    </w:rPr>
  </w:style>
  <w:style w:type="paragraph" w:customStyle="1" w:styleId="Body">
    <w:name w:val="Body"/>
    <w:rsid w:val="00E84957"/>
    <w:pPr>
      <w:pBdr>
        <w:top w:val="nil"/>
        <w:left w:val="nil"/>
        <w:bottom w:val="nil"/>
        <w:right w:val="nil"/>
        <w:between w:val="nil"/>
        <w:bar w:val="nil"/>
      </w:pBdr>
      <w:spacing w:after="160"/>
      <w:jc w:val="both"/>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character" w:customStyle="1" w:styleId="apple-converted-space">
    <w:name w:val="apple-converted-space"/>
    <w:basedOn w:val="DefaultParagraphFont"/>
    <w:rsid w:val="00037A64"/>
  </w:style>
  <w:style w:type="numbering" w:customStyle="1" w:styleId="CurrentList1">
    <w:name w:val="Current List1"/>
    <w:uiPriority w:val="99"/>
    <w:rsid w:val="009C31E8"/>
    <w:pPr>
      <w:numPr>
        <w:numId w:val="43"/>
      </w:numPr>
    </w:pPr>
  </w:style>
  <w:style w:type="paragraph" w:customStyle="1" w:styleId="Articletitle">
    <w:name w:val="Article_title"/>
    <w:basedOn w:val="Heading2"/>
    <w:uiPriority w:val="21"/>
    <w:qFormat/>
    <w:rsid w:val="005A0504"/>
    <w:pPr>
      <w:jc w:val="center"/>
    </w:pPr>
  </w:style>
  <w:style w:type="paragraph" w:customStyle="1" w:styleId="Tabletext">
    <w:name w:val="Tabletext"/>
    <w:basedOn w:val="Normal"/>
    <w:uiPriority w:val="21"/>
    <w:qFormat/>
    <w:rsid w:val="007A6E04"/>
    <w:pPr>
      <w:spacing w:before="0" w:line="240" w:lineRule="auto"/>
    </w:pPr>
    <w:rPr>
      <w:rFonts w:cs="Arial"/>
      <w:sz w:val="16"/>
      <w:szCs w:val="16"/>
    </w:rPr>
  </w:style>
  <w:style w:type="numbering" w:customStyle="1" w:styleId="CurrentList2">
    <w:name w:val="Current List2"/>
    <w:uiPriority w:val="99"/>
    <w:rsid w:val="005A0504"/>
    <w:pPr>
      <w:numPr>
        <w:numId w:val="44"/>
      </w:numPr>
    </w:pPr>
  </w:style>
  <w:style w:type="numbering" w:customStyle="1" w:styleId="CurrentList3">
    <w:name w:val="Current List3"/>
    <w:uiPriority w:val="99"/>
    <w:rsid w:val="00E2385A"/>
    <w:pPr>
      <w:numPr>
        <w:numId w:val="45"/>
      </w:numPr>
    </w:pPr>
  </w:style>
  <w:style w:type="numbering" w:customStyle="1" w:styleId="ImportedStyle1">
    <w:name w:val="Imported Style 1"/>
    <w:rsid w:val="009F1EA6"/>
    <w:pPr>
      <w:numPr>
        <w:numId w:val="49"/>
      </w:numPr>
    </w:pPr>
  </w:style>
  <w:style w:type="numbering" w:customStyle="1" w:styleId="CurrentList4">
    <w:name w:val="Current List4"/>
    <w:uiPriority w:val="99"/>
    <w:rsid w:val="005C56CF"/>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739">
      <w:bodyDiv w:val="1"/>
      <w:marLeft w:val="0"/>
      <w:marRight w:val="0"/>
      <w:marTop w:val="0"/>
      <w:marBottom w:val="0"/>
      <w:divBdr>
        <w:top w:val="none" w:sz="0" w:space="0" w:color="auto"/>
        <w:left w:val="none" w:sz="0" w:space="0" w:color="auto"/>
        <w:bottom w:val="none" w:sz="0" w:space="0" w:color="auto"/>
        <w:right w:val="none" w:sz="0" w:space="0" w:color="auto"/>
      </w:divBdr>
    </w:div>
    <w:div w:id="11997823">
      <w:bodyDiv w:val="1"/>
      <w:marLeft w:val="0"/>
      <w:marRight w:val="0"/>
      <w:marTop w:val="0"/>
      <w:marBottom w:val="0"/>
      <w:divBdr>
        <w:top w:val="none" w:sz="0" w:space="0" w:color="auto"/>
        <w:left w:val="none" w:sz="0" w:space="0" w:color="auto"/>
        <w:bottom w:val="none" w:sz="0" w:space="0" w:color="auto"/>
        <w:right w:val="none" w:sz="0" w:space="0" w:color="auto"/>
      </w:divBdr>
    </w:div>
    <w:div w:id="137113543">
      <w:bodyDiv w:val="1"/>
      <w:marLeft w:val="0"/>
      <w:marRight w:val="0"/>
      <w:marTop w:val="0"/>
      <w:marBottom w:val="0"/>
      <w:divBdr>
        <w:top w:val="none" w:sz="0" w:space="0" w:color="auto"/>
        <w:left w:val="none" w:sz="0" w:space="0" w:color="auto"/>
        <w:bottom w:val="none" w:sz="0" w:space="0" w:color="auto"/>
        <w:right w:val="none" w:sz="0" w:space="0" w:color="auto"/>
      </w:divBdr>
    </w:div>
    <w:div w:id="479923385">
      <w:bodyDiv w:val="1"/>
      <w:marLeft w:val="0"/>
      <w:marRight w:val="0"/>
      <w:marTop w:val="0"/>
      <w:marBottom w:val="0"/>
      <w:divBdr>
        <w:top w:val="none" w:sz="0" w:space="0" w:color="auto"/>
        <w:left w:val="none" w:sz="0" w:space="0" w:color="auto"/>
        <w:bottom w:val="none" w:sz="0" w:space="0" w:color="auto"/>
        <w:right w:val="none" w:sz="0" w:space="0" w:color="auto"/>
      </w:divBdr>
    </w:div>
    <w:div w:id="703136837">
      <w:bodyDiv w:val="1"/>
      <w:marLeft w:val="0"/>
      <w:marRight w:val="0"/>
      <w:marTop w:val="0"/>
      <w:marBottom w:val="0"/>
      <w:divBdr>
        <w:top w:val="none" w:sz="0" w:space="0" w:color="auto"/>
        <w:left w:val="none" w:sz="0" w:space="0" w:color="auto"/>
        <w:bottom w:val="none" w:sz="0" w:space="0" w:color="auto"/>
        <w:right w:val="none" w:sz="0" w:space="0" w:color="auto"/>
      </w:divBdr>
    </w:div>
    <w:div w:id="1006518957">
      <w:bodyDiv w:val="1"/>
      <w:marLeft w:val="0"/>
      <w:marRight w:val="0"/>
      <w:marTop w:val="0"/>
      <w:marBottom w:val="0"/>
      <w:divBdr>
        <w:top w:val="none" w:sz="0" w:space="0" w:color="auto"/>
        <w:left w:val="none" w:sz="0" w:space="0" w:color="auto"/>
        <w:bottom w:val="none" w:sz="0" w:space="0" w:color="auto"/>
        <w:right w:val="none" w:sz="0" w:space="0" w:color="auto"/>
      </w:divBdr>
    </w:div>
    <w:div w:id="1035084378">
      <w:bodyDiv w:val="1"/>
      <w:marLeft w:val="0"/>
      <w:marRight w:val="0"/>
      <w:marTop w:val="0"/>
      <w:marBottom w:val="0"/>
      <w:divBdr>
        <w:top w:val="none" w:sz="0" w:space="0" w:color="auto"/>
        <w:left w:val="none" w:sz="0" w:space="0" w:color="auto"/>
        <w:bottom w:val="none" w:sz="0" w:space="0" w:color="auto"/>
        <w:right w:val="none" w:sz="0" w:space="0" w:color="auto"/>
      </w:divBdr>
    </w:div>
    <w:div w:id="1277758355">
      <w:bodyDiv w:val="1"/>
      <w:marLeft w:val="0"/>
      <w:marRight w:val="0"/>
      <w:marTop w:val="0"/>
      <w:marBottom w:val="0"/>
      <w:divBdr>
        <w:top w:val="none" w:sz="0" w:space="0" w:color="auto"/>
        <w:left w:val="none" w:sz="0" w:space="0" w:color="auto"/>
        <w:bottom w:val="none" w:sz="0" w:space="0" w:color="auto"/>
        <w:right w:val="none" w:sz="0" w:space="0" w:color="auto"/>
      </w:divBdr>
      <w:divsChild>
        <w:div w:id="352922759">
          <w:marLeft w:val="0"/>
          <w:marRight w:val="0"/>
          <w:marTop w:val="0"/>
          <w:marBottom w:val="0"/>
          <w:divBdr>
            <w:top w:val="none" w:sz="0" w:space="0" w:color="auto"/>
            <w:left w:val="none" w:sz="0" w:space="0" w:color="auto"/>
            <w:bottom w:val="none" w:sz="0" w:space="0" w:color="auto"/>
            <w:right w:val="none" w:sz="0" w:space="0" w:color="auto"/>
          </w:divBdr>
          <w:divsChild>
            <w:div w:id="673847295">
              <w:marLeft w:val="0"/>
              <w:marRight w:val="0"/>
              <w:marTop w:val="0"/>
              <w:marBottom w:val="0"/>
              <w:divBdr>
                <w:top w:val="none" w:sz="0" w:space="0" w:color="auto"/>
                <w:left w:val="none" w:sz="0" w:space="0" w:color="auto"/>
                <w:bottom w:val="none" w:sz="0" w:space="0" w:color="auto"/>
                <w:right w:val="none" w:sz="0" w:space="0" w:color="auto"/>
              </w:divBdr>
              <w:divsChild>
                <w:div w:id="61552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86115">
      <w:bodyDiv w:val="1"/>
      <w:marLeft w:val="0"/>
      <w:marRight w:val="0"/>
      <w:marTop w:val="0"/>
      <w:marBottom w:val="0"/>
      <w:divBdr>
        <w:top w:val="none" w:sz="0" w:space="0" w:color="auto"/>
        <w:left w:val="none" w:sz="0" w:space="0" w:color="auto"/>
        <w:bottom w:val="none" w:sz="0" w:space="0" w:color="auto"/>
        <w:right w:val="none" w:sz="0" w:space="0" w:color="auto"/>
      </w:divBdr>
      <w:divsChild>
        <w:div w:id="293288992">
          <w:marLeft w:val="0"/>
          <w:marRight w:val="0"/>
          <w:marTop w:val="0"/>
          <w:marBottom w:val="0"/>
          <w:divBdr>
            <w:top w:val="none" w:sz="0" w:space="0" w:color="auto"/>
            <w:left w:val="none" w:sz="0" w:space="0" w:color="auto"/>
            <w:bottom w:val="none" w:sz="0" w:space="0" w:color="auto"/>
            <w:right w:val="none" w:sz="0" w:space="0" w:color="auto"/>
          </w:divBdr>
        </w:div>
        <w:div w:id="1067413454">
          <w:marLeft w:val="0"/>
          <w:marRight w:val="0"/>
          <w:marTop w:val="0"/>
          <w:marBottom w:val="0"/>
          <w:divBdr>
            <w:top w:val="none" w:sz="0" w:space="0" w:color="auto"/>
            <w:left w:val="none" w:sz="0" w:space="0" w:color="auto"/>
            <w:bottom w:val="none" w:sz="0" w:space="0" w:color="auto"/>
            <w:right w:val="none" w:sz="0" w:space="0" w:color="auto"/>
          </w:divBdr>
        </w:div>
      </w:divsChild>
    </w:div>
    <w:div w:id="1545405479">
      <w:bodyDiv w:val="1"/>
      <w:marLeft w:val="0"/>
      <w:marRight w:val="0"/>
      <w:marTop w:val="0"/>
      <w:marBottom w:val="0"/>
      <w:divBdr>
        <w:top w:val="none" w:sz="0" w:space="0" w:color="auto"/>
        <w:left w:val="none" w:sz="0" w:space="0" w:color="auto"/>
        <w:bottom w:val="none" w:sz="0" w:space="0" w:color="auto"/>
        <w:right w:val="none" w:sz="0" w:space="0" w:color="auto"/>
      </w:divBdr>
    </w:div>
    <w:div w:id="1619027619">
      <w:bodyDiv w:val="1"/>
      <w:marLeft w:val="0"/>
      <w:marRight w:val="0"/>
      <w:marTop w:val="0"/>
      <w:marBottom w:val="0"/>
      <w:divBdr>
        <w:top w:val="none" w:sz="0" w:space="0" w:color="auto"/>
        <w:left w:val="none" w:sz="0" w:space="0" w:color="auto"/>
        <w:bottom w:val="none" w:sz="0" w:space="0" w:color="auto"/>
        <w:right w:val="none" w:sz="0" w:space="0" w:color="auto"/>
      </w:divBdr>
      <w:divsChild>
        <w:div w:id="457066807">
          <w:marLeft w:val="0"/>
          <w:marRight w:val="0"/>
          <w:marTop w:val="0"/>
          <w:marBottom w:val="0"/>
          <w:divBdr>
            <w:top w:val="none" w:sz="0" w:space="0" w:color="auto"/>
            <w:left w:val="none" w:sz="0" w:space="0" w:color="auto"/>
            <w:bottom w:val="none" w:sz="0" w:space="0" w:color="auto"/>
            <w:right w:val="none" w:sz="0" w:space="0" w:color="auto"/>
          </w:divBdr>
          <w:divsChild>
            <w:div w:id="2002613010">
              <w:marLeft w:val="0"/>
              <w:marRight w:val="0"/>
              <w:marTop w:val="0"/>
              <w:marBottom w:val="0"/>
              <w:divBdr>
                <w:top w:val="none" w:sz="0" w:space="0" w:color="auto"/>
                <w:left w:val="none" w:sz="0" w:space="0" w:color="auto"/>
                <w:bottom w:val="none" w:sz="0" w:space="0" w:color="auto"/>
                <w:right w:val="none" w:sz="0" w:space="0" w:color="auto"/>
              </w:divBdr>
              <w:divsChild>
                <w:div w:id="1424033081">
                  <w:marLeft w:val="0"/>
                  <w:marRight w:val="0"/>
                  <w:marTop w:val="0"/>
                  <w:marBottom w:val="0"/>
                  <w:divBdr>
                    <w:top w:val="none" w:sz="0" w:space="0" w:color="auto"/>
                    <w:left w:val="none" w:sz="0" w:space="0" w:color="auto"/>
                    <w:bottom w:val="none" w:sz="0" w:space="0" w:color="auto"/>
                    <w:right w:val="none" w:sz="0" w:space="0" w:color="auto"/>
                  </w:divBdr>
                  <w:divsChild>
                    <w:div w:id="37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589974">
      <w:bodyDiv w:val="1"/>
      <w:marLeft w:val="0"/>
      <w:marRight w:val="0"/>
      <w:marTop w:val="0"/>
      <w:marBottom w:val="0"/>
      <w:divBdr>
        <w:top w:val="none" w:sz="0" w:space="0" w:color="auto"/>
        <w:left w:val="none" w:sz="0" w:space="0" w:color="auto"/>
        <w:bottom w:val="none" w:sz="0" w:space="0" w:color="auto"/>
        <w:right w:val="none" w:sz="0" w:space="0" w:color="auto"/>
      </w:divBdr>
      <w:divsChild>
        <w:div w:id="1005015592">
          <w:marLeft w:val="0"/>
          <w:marRight w:val="0"/>
          <w:marTop w:val="0"/>
          <w:marBottom w:val="0"/>
          <w:divBdr>
            <w:top w:val="none" w:sz="0" w:space="0" w:color="auto"/>
            <w:left w:val="none" w:sz="0" w:space="0" w:color="auto"/>
            <w:bottom w:val="none" w:sz="0" w:space="0" w:color="auto"/>
            <w:right w:val="none" w:sz="0" w:space="0" w:color="auto"/>
          </w:divBdr>
          <w:divsChild>
            <w:div w:id="590623405">
              <w:marLeft w:val="0"/>
              <w:marRight w:val="0"/>
              <w:marTop w:val="0"/>
              <w:marBottom w:val="0"/>
              <w:divBdr>
                <w:top w:val="none" w:sz="0" w:space="0" w:color="auto"/>
                <w:left w:val="none" w:sz="0" w:space="0" w:color="auto"/>
                <w:bottom w:val="none" w:sz="0" w:space="0" w:color="auto"/>
                <w:right w:val="none" w:sz="0" w:space="0" w:color="auto"/>
              </w:divBdr>
              <w:divsChild>
                <w:div w:id="2057580475">
                  <w:marLeft w:val="0"/>
                  <w:marRight w:val="0"/>
                  <w:marTop w:val="0"/>
                  <w:marBottom w:val="0"/>
                  <w:divBdr>
                    <w:top w:val="none" w:sz="0" w:space="0" w:color="auto"/>
                    <w:left w:val="none" w:sz="0" w:space="0" w:color="auto"/>
                    <w:bottom w:val="none" w:sz="0" w:space="0" w:color="auto"/>
                    <w:right w:val="none" w:sz="0" w:space="0" w:color="auto"/>
                  </w:divBdr>
                  <w:divsChild>
                    <w:div w:id="58002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28647">
      <w:bodyDiv w:val="1"/>
      <w:marLeft w:val="0"/>
      <w:marRight w:val="0"/>
      <w:marTop w:val="0"/>
      <w:marBottom w:val="0"/>
      <w:divBdr>
        <w:top w:val="none" w:sz="0" w:space="0" w:color="auto"/>
        <w:left w:val="none" w:sz="0" w:space="0" w:color="auto"/>
        <w:bottom w:val="none" w:sz="0" w:space="0" w:color="auto"/>
        <w:right w:val="none" w:sz="0" w:space="0" w:color="auto"/>
      </w:divBdr>
    </w:div>
    <w:div w:id="183163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omr/Desktop/thesis_backup/art.dotx" TargetMode="External"/></Relationships>
</file>

<file path=word/theme/theme1.xml><?xml version="1.0" encoding="utf-8"?>
<a:theme xmlns:a="http://schemas.openxmlformats.org/drawingml/2006/main" name="Office-tema">
  <a:themeElements>
    <a:clrScheme name="NMBU Kappe">
      <a:dk1>
        <a:sysClr val="windowText" lastClr="000000"/>
      </a:dk1>
      <a:lt1>
        <a:sysClr val="window" lastClr="FFFFFF"/>
      </a:lt1>
      <a:dk2>
        <a:srgbClr val="003C34"/>
      </a:dk2>
      <a:lt2>
        <a:srgbClr val="BFD0C1"/>
      </a:lt2>
      <a:accent1>
        <a:srgbClr val="66609E"/>
      </a:accent1>
      <a:accent2>
        <a:srgbClr val="83A488"/>
      </a:accent2>
      <a:accent3>
        <a:srgbClr val="D1D16F"/>
      </a:accent3>
      <a:accent4>
        <a:srgbClr val="3F3F3F"/>
      </a:accent4>
      <a:accent5>
        <a:srgbClr val="7F7F7F"/>
      </a:accent5>
      <a:accent6>
        <a:srgbClr val="BFBFBF"/>
      </a:accent6>
      <a:hlink>
        <a:srgbClr val="013AFE"/>
      </a:hlink>
      <a:folHlink>
        <a:srgbClr val="504A7B"/>
      </a:folHlink>
    </a:clrScheme>
    <a:fontScheme name="NMBU Kappe">
      <a:majorFont>
        <a:latin typeface="Arial"/>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7D5523-C57A-C242-9865-42B639D5199D}">
  <we:reference id="wa104382081" version="1.55.1.0" store="en-GB" storeType="OMEX"/>
  <we:alternateReferences>
    <we:reference id="wa104382081" version="1.55.1.0" store="" storeType="OMEX"/>
  </we:alternateReferences>
  <we:properties>
    <we:property name="MENDELEY_CITATIONS" value="[{&quot;citationID&quot;:&quot;MENDELEY_CITATION_d4399914-280c-4754-a336-8abd811f6a29&quot;,&quot;properties&quot;:{&quot;noteIndex&quot;:0},&quot;isEdited&quot;:false,&quot;manualOverride&quot;:{&quot;isManuallyOverridden&quot;:true,&quot;citeprocText&quot;:&quot;(Lillemo and Dieseth, 2011)&quot;,&quot;manualOverrideText&quot;:&quot;Lillemo and Dieseth (2011)&quot;},&quot;citationTag&quot;:&quot;MENDELEY_CITATION_v3_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&quot;,&quot;citationItems&quot;:[{&quot;id&quot;:&quot;1fdd7c56-4a48-3024-b292-50fdffbcd34c&quot;,&quot;itemData&quot;:{&quot;type&quot;:&quot;article-journal&quot;,&quot;id&quot;:&quot;1fdd7c56-4a48-3024-b292-50fdffbcd34c&quot;,&quot;title&quot;:&quot;Wheat breeding in Norway&quot;,&quot;author&quot;:[{&quot;family&quot;:&quot;Lillemo&quot;,&quot;given&quot;:&quot;Morten&quot;,&quot;parse-names&quot;:false,&quot;dropping-particle&quot;:&quot;&quot;,&quot;non-dropping-particle&quot;:&quot;&quot;},{&quot;family&quot;:&quot;Dieseth&quot;,&quot;given&quot;:&quot;Jon Arne&quot;,&quot;parse-names&quot;:false,&quot;dropping-particle&quot;:&quot;&quot;,&quot;non-dropping-particle&quot;:&quot;&quot;}],&quot;container-title&quot;:&quot;World Wheat Book, Volume 2&quot;,&quot;ISBN&quot;:&quot;978-2-7430-1102-4&quot;,&quot;issued&quot;:{&quot;date-parts&quot;:[[2011]]},&quot;page&quot;:&quot;45-75&quot;,&quot;issue&quot;:&quot;1432&quot;,&quot;container-title-short&quot;:&quot;&quot;},&quot;isTemporary&quot;:false}]},{&quot;citationID&quot;:&quot;MENDELEY_CITATION_d5609d63-937b-4f57-b127-6867a10fd994&quot;,&quot;properties&quot;:{&quot;noteIndex&quot;:0},&quot;isEdited&quot;:false,&quot;manualOverride&quot;:{&quot;isManuallyOverridden&quot;:true,&quot;citeprocText&quot;:&quot;(Abbate &lt;i&gt;et al.&lt;/i&gt;, 1998)&quot;,&quot;manualOverrideText&quot;:&quot;Abbate et al., 1998&quot;},&quot;citationTag&quot;:&quot;MENDELEY_CITATION_v3_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&quot;,&quot;citationItems&quot;:[{&quot;id&quot;:&quot;647ea8c4-8ba9-3f8e-a77d-9c626f7f8d64&quot;,&quot;itemData&quot;:{&quot;type&quot;:&quot;article-journal&quot;,&quot;id&quot;:&quot;647ea8c4-8ba9-3f8e-a77d-9c626f7f8d64&quot;,&quot;title&quot;:&quot;Grain yield increase in recent Argentine wheat cultivars&quot;,&quot;author&quot;:[{&quot;family&quot;:&quot;Abbate&quot;,&quot;given&quot;:&quot;P. E.&quot;,&quot;parse-names&quot;:false,&quot;dropping-particle&quot;:&quot;&quot;,&quot;non-dropping-particle&quot;:&quot;&quot;},{&quot;family&quot;:&quot;Andrade&quot;,&quot;given&quot;:&quot;F. H.&quot;,&quot;parse-names&quot;:false,&quot;dropping-particle&quot;:&quot;&quot;,&quot;non-dropping-particle&quot;:&quot;&quot;},{&quot;family&quot;:&quot;Lázaro&quot;,&quot;given&quot;:&quot;L.&quot;,&quot;parse-names&quot;:false,&quot;dropping-particle&quot;:&quot;&quot;,&quot;non-dropping-particle&quot;:&quot;&quot;},{&quot;family&quot;:&quot;Bariffi&quot;,&quot;given&quot;:&quot;J. H.&quot;,&quot;parse-names&quot;:false,&quot;dropping-particle&quot;:&quot;&quot;,&quot;non-dropping-particle&quot;:&quot;&quot;},{&quot;family&quot;:&quot;Berardocco&quot;,&quot;given&quot;:&quot;H. G.&quot;,&quot;parse-names&quot;:false,&quot;dropping-particle&quot;:&quot;&quot;,&quot;non-dropping-particle&quot;:&quot;&quot;},{&quot;family&quot;:&quot;Inza&quot;,&quot;given&quot;:&quot;V. H.&quot;,&quot;parse-names&quot;:false,&quot;dropping-particle&quot;:&quot;&quot;,&quot;non-dropping-particle&quot;:&quot;&quot;},{&quot;family&quot;:&quot;Marturano&quot;,&quot;given&quot;:&quot;F.&quot;,&quot;parse-names&quot;:false,&quot;dropping-particle&quot;:&quot;&quot;,&quot;non-dropping-particle&quot;:&quot;&quot;}],&quot;container-title&quot;:&quot;Crop Science&quot;,&quot;container-title-short&quot;:&quot;Crop Sci&quot;,&quot;DOI&quot;:&quot;10.2135/cropsci1998.0011183X003800050015x&quot;,&quot;ISSN&quot;:&quot;0011183X&quot;,&quot;issued&quot;:{&quot;date-parts&quot;:[[1998]]},&quot;page&quot;:&quot;1203-1209&quot;,&quot;abstract&quot;:&quot;This study analyzes differences in potential yield among six semi-dwarf awned spring bread wheat (Triticum aestivum L.) cultivars recently selected in Argentina. Yield was considered as the product of number of grain per square meter (NG) and weight per grain. The NG was analyzed in terms of (i) duration of the inflorescence growth period (excluding grains), (it) crop growth rate during that period, (iii) partitioning of crop dry matter to spikes during the same period, and (iv) grain/spike weight ratio (i.e., number of grains per gram of spike). The data were obtained from two field experiments in the Province of Buenos Aires. Grain yield (range: 453-689 g m -2 ) was related more to NG (range: 13.3-21.3 x 10 3 grain m -2 ) than to weight per grain. Duration of spike growth period was the same (27 d) for all cultivars. During this period, intercepted photosynthetically active radiation, radiation-use efficiency (mean: 2.7 0.28 g MJ -1 ), and crop growth rate (mean: 26 ± 2.5 g (m-2 d-t)) were similar for all the cultivars examined. Differences among cultivars in partitioning to spikes (ranges: 28-34%) were significant. The NG, however, was not related to partitioning to the spike. There were clear differences among cultivars in the grain/spike weight ratio (range: 61-106 grain g -1 ); NG was more closely related to this ratio (r = 0.96, P &lt; 0.01) than to dry weight of spikes at the end of their growth period (r = -0.30). Increments in potential yield by means of high grain/spike weight ratio were not previously reported and may be a path to future potential yield improvements.&quot;,&quot;issue&quot;:&quot;5&quot;,&quot;volume&quot;:&quot;38&quot;},&quot;isTemporary&quot;:false}]},{&quot;citationID&quot;:&quot;MENDELEY_CITATION_30f7abf9-e29d-4394-9621-5988e3c7da21&quot;,&quot;properties&quot;:{&quot;noteIndex&quot;:0},&quot;isEdited&quot;:false,&quot;manualOverride&quot;:{&quot;isManuallyOverridden&quot;:true,&quot;citeprocText&quot;:&quot;(Achilli, Roncallo and Echenique, 2022)&quot;,&quot;manualOverrideText&quot;:&quot;Achilli, Roncallo and Echenique, 2022&quot;},&quot;citationTag&quot;:&quot;MENDELEY_CITATION_v3_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&quot;,&quot;citationItems&quot;:[{&quot;id&quot;:&quot;e1f9a1da-5131-3a56-b0e0-f9d113141f8d&quot;,&quot;itemData&quot;:{&quot;type&quot;:&quot;article-journal&quot;,&quot;id&quot;:&quot;e1f9a1da-5131-3a56-b0e0-f9d113141f8d&quot;,&quot;title&quot;:&quot;Genetic Gains in Grain Yield and Agronomic Traits of Argentinian Durum Wheat from 1934 to 2015&quot;,&quot;author&quot;:[{&quot;family&quot;:&quot;Achilli&quot;,&quot;given&quot;:&quot;Ana Laura&quot;,&quot;parse-names&quot;:false,&quot;dropping-particle&quot;:&quot;&quot;,&quot;non-dropping-particle&quot;:&quot;&quot;},{&quot;family&quot;:&quot;Roncallo&quot;,&quot;given&quot;:&quot;Pablo Federico&quot;,&quot;parse-names&quot;:false,&quot;dropping-particle&quot;:&quot;&quot;,&quot;non-dropping-particle&quot;:&quot;&quot;},{&quot;family&quot;:&quot;Echenique&quot;,&quot;given&quot;:&quot;Viviana&quot;,&quot;parse-names&quot;:false,&quot;dropping-particle&quot;:&quot;&quot;,&quot;non-dropping-particle&quot;:&quot;&quot;}],&quot;container-title&quot;:&quot;Agronomy&quot;,&quot;DOI&quot;:&quot;10.3390/agronomy12092151&quot;,&quot;ISSN&quot;:&quot;20734395&quot;,&quot;issued&quot;:{&quot;date-parts&quot;:[[2022,9,1]]},&quot;abstract&quot;:&quot;Understanding the basis of genetic gains in grain yield and yield-related traits is essential for designing future breeding strategies that lead to the development of higher-yielding wheat cultivars. The objectives of this study were to assess the changes in grain yield achieved by durum wheat breeding in Argentina and to identify the agronomic traits associated with these changes. To this end, a wide set of Argentinian cultivars was analyzed in three field trials. A significant linear trend (R2 = 0.55) was observed between the grain yield and the cultivar’s release year, with an increase of 26.94 kg ha−1 yr−1 from 1934 to 2015. The harvest index and grain number were key traits that explained the increases in grain yield. The number of grains per plant increased with the cultivar’s release year, while the thousand kernel weight remained unchanged. The grain yield showed an increase of 51% when comparing old cultivars (&lt;1980) with intermediate ones (1980–1999), whereas the increase between intermediate and modern cultivars (2000+) was only 16%. Thus, the genetic gains were mostly associated with the incorporation of semi-dwarfism into the germplasm in the 1980s, with low genetic gains after that.&quot;,&quot;publisher&quot;:&quot;MDPI&quot;,&quot;issue&quot;:&quot;9&quot;,&quot;volume&quot;:&quot;12&quot;,&quot;container-title-short&quot;:&quot;&quot;},&quot;isTemporary&quot;:false}]},{&quot;citationID&quot;:&quot;MENDELEY_CITATION_74fade99-85ab-4e89-8ab3-543a127f17a0&quot;,&quot;properties&quot;:{&quot;noteIndex&quot;:0},&quot;isEdited&quot;:false,&quot;manualOverride&quot;:{&quot;isManuallyOverridden&quot;:true,&quot;citeprocText&quot;:&quot;(Tian &lt;i&gt;et al.&lt;/i&gt;, 2011)&quot;,&quot;manualOverrideText&quot;:&quot;Tian et al., 2011&quot;},&quot;citationTag&quot;:&quot;MENDELEY_CITATION_v3_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&quot;,&quot;citationItems&quot;:[{&quot;id&quot;:&quot;8a9f2699-06e6-38f8-b846-5c29b101aa72&quot;,&quot;itemData&quot;:{&quot;type&quot;:&quot;article-journal&quot;,&quot;id&quot;:&quot;8a9f2699-06e6-38f8-b846-5c29b101aa72&quot;,&quot;title&quot;:&quot;Effects of genetic improvements on grain yield and agronomic traits of winter wheat in the Yangtze River Basin of China&quot;,&quot;author&quot;:[{&quot;family&quot;:&quot;Tian&quot;,&quot;given&quot;:&quot;Zhongwei&quot;,&quot;parse-names&quot;:false,&quot;dropping-particle&quot;:&quot;&quot;,&quot;non-dropping-particle&quot;:&quot;&quot;},{&quot;family&quot;:&quot;Jing&quot;,&quot;given&quot;:&quot;Qi&quot;,&quot;parse-names&quot;:false,&quot;dropping-particle&quot;:&quot;&quot;,&quot;non-dropping-particle&quot;:&quot;&quot;},{&quot;family&quot;:&quot;Dai&quot;,&quot;given&quot;:&quot;Tingbo&quot;,&quot;parse-names&quot;:false,&quot;dropping-particle&quot;:&quot;&quot;,&quot;non-dropping-particle&quot;:&quot;&quot;},{&quot;family&quot;:&quot;Jiang&quot;,&quot;given&quot;:&quot;Dong&quot;,&quot;parse-names&quot;:false,&quot;dropping-particle&quot;:&quot;&quot;,&quot;non-dropping-particle&quot;:&quot;&quot;},{&quot;family&quot;:&quot;Cao&quot;,&quot;given&quot;:&quot;Weixing&quot;,&quot;parse-names&quot;:false,&quot;dropping-particle&quot;:&quot;&quot;,&quot;non-dropping-particle&quot;:&quot;&quot;}],&quot;container-title&quot;:&quot;Field Crops Research&quot;,&quot;container-title-short&quot;:&quot;Field Crops Res&quot;,&quot;DOI&quot;:&quot;10.1016/j.fcr.2011.07.012&quot;,&quot;ISSN&quot;:&quot;03784290&quot;,&quot;issued&quot;:{&quot;date-parts&quot;:[[2011,12,20]]},&quot;page&quot;:&quot;417-425&quot;,&quot;abstract&quot;:&quot;Wheat is an important food crop worldwide. Genetic improvements have contributed much to wheat production since the 1960s. Verifying the evolution of agronomic traits and the physiological basis of grain yield will facilitate breeders and agronomists in developing new wheat cultivars, with the aim of stable and high yields. Thirty-five wheat cultivars, bred or widely planted in the Yangtze River Basin from 1950 to 2005, were grown in field experiments under three N rates (0, 112.5, and 225kgNha-1) from 2006 to 2009 in Nanjing, China. Wheat grain yield, kernels per spike, 1000-kernel weight (TKW), and harvest index (HI) increased linearly with cultivar development from the 1950s to the 2000s, whereas spikes per unit land decreased significantly with cultivar development during the same period, and stabilized with further genetic improvements in cultivars. Grain yield, kernels per spike, and TKW differed with N rate and with cultivar. Grain yield, spikes per unit land, and kernels per spike increased significantly with increasing N fertilizer, but TKW and HI decreased. Cultivar height decreased with cultivar development from the 1950s to the 1980s, and remained relatively stable in subsequent cultivars. The proportion of the length of the top internode to total plant height increased with cultivar development from the 1950s to the 1980s and thereafter fell, while the length of the basal internode (BI) maintained a shortening trend. Leaf area per culm, leaf area index (LAI), net photosynthetic rate (Pn), and photosynthetic activity duration (PAD) of the flag leaf increased with cultivar development. Leaf area, LAI, and Pn increased significantly with increasing N fertilizer, while PAD did not. Single spike yield increased linearly with genetic development in cultivars, and these increases mainly resulted from increasing kernel number and weight, which were closely related to source size and cultivar. Grain yield was positively correlated to leaf area, LAI, PnMax, PAD, and single spike yield; single spike yield was positively correlated to leaf area, LAI, PnMax, and PAD, suggesting that grain yield improvements were mainly associated with improvements in the source (leaf area, LAI, Pn, PAD, etc.) and sink (single spike yield). Sink-source ratios increased with genetic development of cultivars, suggesting that productivity per leaf improved and that sink-source relationships have reached close to optimum in the Yangtze River Basin. Furthermore, breeding for high yield should be related to improvement in kernels per spike and TKW per unit land and increased sink-source ratios with a feasible LAI, and N fertilizer management should be considered during breeding for higher yields. © 2011 Elsevier B.V.&quot;,&quot;issue&quot;:&quot;3&quot;,&quot;volume&quot;:&quot;124&quot;},&quot;isTemporary&quot;:false}]},{&quot;citationID&quot;:&quot;MENDELEY_CITATION_166fe160-966a-4c11-8da3-7ab2e8c144d3&quot;,&quot;properties&quot;:{&quot;noteIndex&quot;:0},&quot;isEdited&quot;:false,&quot;manualOverride&quot;:{&quot;isManuallyOverridden&quot;:true,&quot;citeprocText&quot;:&quot;(Yao &lt;i&gt;et al.&lt;/i&gt;, 2019)&quot;,&quot;manualOverrideText&quot;:&quot;Yao et al., 2019&quot;},&quot;citationTag&quot;:&quot;MENDELEY_CITATION_v3_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&quot;,&quot;citationItems&quot;:[{&quot;id&quot;:&quot;9d7cd598-0f0b-3787-8d1c-7b4ca0932f76&quot;,&quot;itemData&quot;:{&quot;type&quot;:&quot;article-journal&quot;,&quot;id&quot;:&quot;9d7cd598-0f0b-3787-8d1c-7b4ca0932f76&quot;,&quot;title&quot;:&quot;Genetic gains in grain yield and physiological traits of winter wheat in Hebei Province of China, from 1964 to 2007&quot;,&quot;author&quot;:[{&quot;family&quot;:&quot;Yao&quot;,&quot;given&quot;:&quot;Yanrong&quot;,&quot;parse-names&quot;:false,&quot;dropping-particle&quot;:&quot;&quot;,&quot;non-dropping-particle&quot;:&quot;&quot;},{&quot;family&quot;:&quot;Lv&quot;,&quot;given&quot;:&quot;Lihua&quot;,&quot;parse-names&quot;:false,&quot;dropping-particle&quot;:&quot;&quot;,&quot;non-dropping-particle&quot;:&quot;&quot;},{&quot;family&quot;:&quot;Zhang&quot;,&quot;given&quot;:&quot;Lihua&quot;,&quot;parse-names&quot;:false,&quot;dropping-particle&quot;:&quot;&quot;,&quot;non-dropping-particle&quot;:&quot;&quot;},{&quot;family&quot;:&quot;Yao&quot;,&quot;given&quot;:&quot;Haipo&quot;,&quot;parse-names&quot;:false,&quot;dropping-particle&quot;:&quot;&quot;,&quot;non-dropping-particle&quot;:&quot;&quot;},{&quot;family&quot;:&quot;Dong&quot;,&quot;given&quot;:&quot;Zhiqiang&quot;,&quot;parse-names&quot;:false,&quot;dropping-particle&quot;:&quot;&quot;,&quot;non-dropping-particle&quot;:&quot;&quot;},{&quot;family&quot;:&quot;Zhang&quot;,&quot;given&quot;:&quot;Jingting&quot;,&quot;parse-names&quot;:false,&quot;dropping-particle&quot;:&quot;&quot;,&quot;non-dropping-particle&quot;:&quot;&quot;},{&quot;family&quot;:&quot;Ji&quot;,&quot;given&quot;:&quot;Junjie&quot;,&quot;parse-names&quot;:false,&quot;dropping-particle&quot;:&quot;&quot;,&quot;non-dropping-particle&quot;:&quot;&quot;},{&quot;family&quot;:&quot;Jia&quot;,&quot;given&quot;:&quot;Xiuling&quot;,&quot;parse-names&quot;:false,&quot;dropping-particle&quot;:&quot;&quot;,&quot;non-dropping-particle&quot;:&quot;&quot;},{&quot;family&quot;:&quot;Wang&quot;,&quot;given&quot;:&quot;Huijun&quot;,&quot;parse-names&quot;:false,&quot;dropping-particle&quot;:&quot;&quot;,&quot;non-dropping-particle&quot;:&quot;&quot;}],&quot;container-title&quot;:&quot;Field Crops Research&quot;,&quot;container-title-short&quot;:&quot;Field Crops Res&quot;,&quot;DOI&quot;:&quot;10.1016/j.fcr.2019.03.011&quot;,&quot;ISSN&quot;:&quot;03784290&quot;,&quot;URL&quot;:&quot;https://doi.org/10.1016/j.fcr.2019.03.011&quot;,&quot;issued&quot;:{&quot;date-parts&quot;:[[2019]]},&quot;page&quot;:&quot;114-123&quot;,&quot;abstract&quot;:&quot;Understanding the key characteristics associated with genetic progress is essential to future wheat breeding strategies. Our objectives were to investigate the genetic progress in grain yield (GY) and key characteristics in wheat (Triticum aestivumL.) cultivars released from 1964 to 2007 in Hebei province, China. Field experiments including 9 milestone cultivars were conducted during three growing seasons (2010–2011, 2011–2012, and 2012–2013) at Shijiazhuang of Hebei. Grain yield is significantly increased by the linear rate of 47.4 kg ha−1 yr−1 or 0.717% (R 2 = 0.909, P &lt; 0.001) and mainly attributed to the increase of harvest index (HI) (r = 0.927, P &lt; 0.01), kernels per spike (Skernel) (r = 0.919, P &lt; 0.01) and thousand kernel weight (TKW) (r = 0.869, P &lt; 0.01). Aboveground biomass (AGBM) has also important contribution to genetic gain in yield before 1997 (r = 0.838, P &lt; 0.05). Although there is decline tendency in spikes m−2 due to decreased maximum tiller numbers (Mtiller) and increased percentage of ear-bearing tiller (ET%) after 70 s, changes of spikes m−2 have no significant effect on yield improvement. Grain yield has positive correlation with kernels m-2 (r = 0.767, P &lt; 0.05) in spite of slower increasing rate of kernels m−2 after 1970s. Genetic gain of GY has close relation with decreased plant height (PH) (r = −0.811, P &lt; 0.01), and PH of stone cultivars after 1970s were 70–80 cm which was optimum for grain yield. Days to heading (DH), days to anthesis (DA) and days to maturity (DM) of stone cultivars have no significant correlation with genetic gain. The significant HI increase mainly results from a significant increase in TKW (r = 0.811, P &lt; 0.01) and Skernel (r = 0.919, P &lt; 0.01). The increased TKW is positively associated with the maximum filling rate (Rmax) (r = 0.720, p &lt; 0.05), average filling rate (Ra) (r = 0.836, p &lt; 0.01), water-soluble carbohydrate (WSC) at anthesis in stem (WSC0) (r = 0.820, p &lt; 0.05), Stem WSC 10 d after anthesis (WSC10) (r = 0.861, p &lt; 0.01) and chlorophyll content (Chl) (r = 0.783, p &lt; 0.05). Thus the physiological traits of Chl of flag leaf, stem WSC and high filling rate can be used to select criterions for further improving yield potential.&quot;,&quot;publisher&quot;:&quot;Elsevier&quot;,&quot;issue&quot;:&quot;March&quot;,&quot;volume&quot;:&quot;239&quot;},&quot;isTemporary&quot;:false}]},{&quot;citationID&quot;:&quot;MENDELEY_CITATION_9b842e33-f570-4437-a983-5f380889b404&quot;,&quot;properties&quot;:{&quot;noteIndex&quot;:0},&quot;isEdited&quot;:false,&quot;manualOverride&quot;:{&quot;isManuallyOverridden&quot;:true,&quot;citeprocText&quot;:&quot;(Flohr &lt;i&gt;et al.&lt;/i&gt;, 2018)&quot;,&quot;manualOverrideText&quot;:&quot;Flohr et al., 2018&quot;},&quot;citationTag&quot;:&quot;MENDELEY_CITATION_v3_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&quot;,&quot;citationItems&quot;:[{&quot;id&quot;:&quot;7463bbab-806e-30fd-a2a4-88b1f2539c1f&quot;,&quot;itemData&quot;:{&quot;type&quot;:&quot;article&quot;,&quot;id&quot;:&quot;7463bbab-806e-30fd-a2a4-88b1f2539c1f&quot;,&quot;title&quot;:&quot;Genetic gains in NSW wheat cultivars from 1901 to 2014 as revealed from synchronous flowering during the optimum period&quot;,&quot;author&quot;:[{&quot;family&quot;:&quot;Flohr&quot;,&quot;given&quot;:&quot;B. M.&quot;,&quot;parse-names&quot;:false,&quot;dropping-particle&quot;:&quot;&quot;,&quot;non-dropping-particle&quot;:&quot;&quot;},{&quot;family&quot;:&quot;Hunt&quot;,&quot;given&quot;:&quot;J. R.&quot;,&quot;parse-names&quot;:false,&quot;dropping-particle&quot;:&quot;&quot;,&quot;non-dropping-particle&quot;:&quot;&quot;},{&quot;family&quot;:&quot;Kirkegaard&quot;,&quot;given&quot;:&quot;J. A.&quot;,&quot;parse-names&quot;:false,&quot;dropping-particle&quot;:&quot;&quot;,&quot;non-dropping-particle&quot;:&quot;&quot;},{&quot;family&quot;:&quot;Evans&quot;,&quot;given&quot;:&quot;J. R.&quot;,&quot;parse-names&quot;:false,&quot;dropping-particle&quot;:&quot;&quot;,&quot;non-dropping-particle&quot;:&quot;&quot;},{&quot;family&quot;:&quot;Swan&quot;,&quot;given&quot;:&quot;A.&quot;,&quot;parse-names&quot;:false,&quot;dropping-particle&quot;:&quot;&quot;,&quot;non-dropping-particle&quot;:&quot;&quot;},{&quot;family&quot;:&quot;Rheinheimer&quot;,&quot;given&quot;:&quot;B.&quot;,&quot;parse-names&quot;:false,&quot;dropping-particle&quot;:&quot;&quot;,&quot;non-dropping-particle&quot;:&quot;&quot;}],&quot;container-title&quot;:&quot;European Journal of Agronomy&quot;,&quot;DOI&quot;:&quot;10.1016/j.eja.2018.03.009&quot;,&quot;ISSN&quot;:&quot;11610301&quot;,&quot;issued&quot;:{&quot;date-parts&quot;:[[2018]]},&quot;page&quot;:&quot;1-13&quot;,&quot;abstract&quot;:&quot;Quantifying historic increases in water-limited potential yield (PYw) achieved through breeding provides insight into associated changes in physiology and can assist with future cultivar improvement. We compared PYw of bread wheat cultivars popular in southern New South Wales released between 1901 and 2014. In both 2015 and 2016, cultivars were sown at multiple sowing dates to allow comparisons to be made at a consistent optimal flowering date (early October), and thus control for the large differences in life cycle duration. Seasonal conditions were close to average in 2015 and extremely favorable in 2016. In both, grain yield increased across the historic period studied at 26 kg/ha per annum, regardless of whether a common sowing date or flowering date was used. Yield gain was not linear, and there was a period of rapid yield increase during the middle of the 20th century, that culminated with the release of semi-dwarf cultivars. Yield gain was relatively slower from the 1980s until the present day, possibly due to selection for grain quality traits (grain size) at the expense of grain number. Historic yield increases were not associated with earlier flowering, but with an interplay between greater grain number/m2 and greater grain weight which was the result of increased partitioning of assimilates to spikes, and greater number of grains per unit spike weight (fruiting efficiency). Greater partitioning to the spike in modern cultivars was associated with reduced dry matter (DM) production prior to flowering. Modern cultivars have a less stable flowering time across sowing dates, and shorter life cycle, but improved partitioning in modern cultivars appeared decoupled from shorter developmental phases prior to flowering. The performance of the novel vernalisation sensitive cultivar Longsword showed that future yield gain may be achieved through the combination of early sowing and slow development, increased DM production and superior partitioning to grain.&quot;,&quot;volume&quot;:&quot;98&quot;,&quot;container-title-short&quot;:&quot;&quot;},&quot;isTemporary&quot;:false}]},{&quot;citationID&quot;:&quot;MENDELEY_CITATION_e23c40f1-04fb-4169-a447-3951d77947ab&quot;,&quot;properties&quot;:{&quot;noteIndex&quot;:0},&quot;isEdited&quot;:false,&quot;manualOverride&quot;:{&quot;isManuallyOverridden&quot;:true,&quot;citeprocText&quot;:&quot;(Cargnin, de Souza and Fronza, 2008)&quot;,&quot;manualOverrideText&quot;:&quot;Cargnin, de Souza and Fronza, 2008&quot;},&quot;citationTag&quot;:&quot;MENDELEY_CITATION_v3_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&quot;,&quot;citationItems&quot;:[{&quot;id&quot;:&quot;1a3fa426-f1d2-3c3d-b1e9-85b3753520a0&quot;,&quot;itemData&quot;:{&quot;type&quot;:&quot;article-journal&quot;,&quot;id&quot;:&quot;1a3fa426-f1d2-3c3d-b1e9-85b3753520a0&quot;,&quot;title&quot;:&quot;Progress in breeding of irrigated wheat for the Cerrado region of Brazil&quot;,&quot;author&quot;:[{&quot;family&quot;:&quot;Cargnin&quot;,&quot;given&quot;:&quot;Adeliano&quot;,&quot;parse-names&quot;:false,&quot;dropping-particle&quot;:&quot;&quot;,&quot;non-dropping-particle&quot;:&quot;&quot;},{&quot;family&quot;:&quot;Souza&quot;,&quot;given&quot;:&quot;Moacil Alves&quot;,&quot;parse-names&quot;:false,&quot;dropping-particle&quot;:&quot;&quot;,&quot;non-dropping-particle&quot;:&quot;de&quot;},{&quot;family&quot;:&quot;Fronza&quot;,&quot;given&quot;:&quot;Vanoli&quot;,&quot;parse-names&quot;:false,&quot;dropping-particle&quot;:&quot;&quot;,&quot;non-dropping-particle&quot;:&quot;&quot;}],&quot;container-title&quot;:&quot;Crop Breeding and Applied Biotechnology&quot;,&quot;DOI&quot;:&quot;10.12702/1984-7033.v08n01a06&quot;,&quot;ISSN&quot;:&quot;15187853&quot;,&quot;issued&quot;:{&quot;date-parts&quot;:[[2008]]},&quot;page&quot;:&quot;39-46&quot;,&quot;abstract&quot;:&quot;This study aimed to quantify the progress obtained by breeding programs of irrigated wheat in the state of Minas Gerais, Brazil, from 1976 to 2005. The efficiency of the programs was evaluated based on yield data obtained in Value for Cultivation and Use (VCU) trials. The genetic and environmental progress was estimated by the methodology of Vencovsky et al. The mean annual progress rate from 1976 to 2005 in mean yield was estimated to be 48 kg ha-1 yr-1 (1.84% per year). Environmental and technological improvements were important for the increased yield during the study period, accounting for 32.8% of the total gain. Over the years, 33% of the genotypes used in the improvement programs of irrigated wheat were replaced.&quot;,&quot;publisher&quot;:&quot;Brazilian Society of Plant Breeding&quot;,&quot;issue&quot;:&quot;1&quot;,&quot;volume&quot;:&quot;8&quot;,&quot;container-title-short&quot;:&quot;&quot;},&quot;isTemporary&quot;:false}]},{&quot;citationID&quot;:&quot;MENDELEY_CITATION_a3567e89-7273-4bf1-9e40-49d613a98f1f&quot;,&quot;properties&quot;:{&quot;noteIndex&quot;:0},&quot;isEdited&quot;:false,&quot;manualOverride&quot;:{&quot;isManuallyOverridden&quot;:true,&quot;citeprocText&quot;:&quot;(So &lt;i&gt;et al.&lt;/i&gt;, 2022)&quot;,&quot;manualOverrideText&quot;:&quot;So et al., 2022&quot;},&quot;citationTag&quot;:&quot;MENDELEY_CITATION_v3_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&quot;,&quot;citationItems&quot;:[{&quot;id&quot;:&quot;addaaba7-a5be-36bb-81db-15ec015ecad7&quot;,&quot;itemData&quot;:{&quot;type&quot;:&quot;article-journal&quot;,&quot;id&quot;:&quot;addaaba7-a5be-36bb-81db-15ec015ecad7&quot;,&quot;title&quot;:&quot;Genetics, not environment, contributed to winter wheat yield gains in Ontario, Canada&quot;,&quot;author&quot;:[{&quot;family&quot;:&quot;So&quot;,&quot;given&quot;:&quot;Delvin&quot;,&quot;parse-names&quot;:false,&quot;dropping-particle&quot;:&quot;&quot;,&quot;non-dropping-particle&quot;:&quot;&quot;},{&quot;family&quot;:&quot;Smith&quot;,&quot;given&quot;:&quot;Alexandra&quot;,&quot;parse-names&quot;:false,&quot;dropping-particle&quot;:&quot;&quot;,&quot;non-dropping-particle&quot;:&quot;&quot;},{&quot;family&quot;:&quot;Sparry&quot;,&quot;given&quot;:&quot;Ellen&quot;,&quot;parse-names&quot;:false,&quot;dropping-particle&quot;:&quot;&quot;,&quot;non-dropping-particle&quot;:&quot;&quot;},{&quot;family&quot;:&quot;Lukens&quot;,&quot;given&quot;:&quot;Lewis&quot;,&quot;parse-names&quot;:false,&quot;dropping-particle&quot;:&quot;&quot;,&quot;non-dropping-particle&quot;:&quot;&quot;}],&quot;container-title&quot;:&quot;Theoretical and Applied Genetics&quot;,&quot;DOI&quot;:&quot;10.1007/s00122-022-04082-3&quot;,&quot;ISSN&quot;:&quot;14322242&quot;,&quot;PMID&quot;:&quot;35348822&quot;,&quot;issued&quot;:{&quot;date-parts&quot;:[[2022,6,1]]},&quot;page&quot;:&quot;1893-1908&quot;,&quot;abstract&quot;:&quot;Key message: Changes in entries’ market classes and genetic improvements within classes—not environmental changes—enhanced yields over thirty-one years of wheat trials. Correlations between yields and ancestries drove genomic prediction accuracies. Abstract: Increasing crop yields is important for enhancing farmers’ livelihoods, meeting market demands, and reducing the environmental impact of agriculture. We analyzed the yield trends of Ontario winter wheat variety trials between 1988 and 2018. Over this period, wheat yields steadily increased by 38 kg ha−1 yr−1, or 0.68% yr−1 relative to the mean. While fungicide treatment of trials contributed a one-time 670 kg ha−1 yield increase, yields were otherwise unaffected by long-term changes in agronomic practice, climate, or other non-genetic factors. Genetic improvement entirely accounted for yield improvement. Market class changes over the 31 year span accounted for some yield improvement. More importantly, genetic improvement occurred within each market class. Entry yield estimates calculated from genomic prediction models strongly correlated with field estimated yields with a mean r of 0.68. Genomic prediction accuracies were high because yields differed across genetically distinct subpopulations. Despite environmental changes, genetic improvement will likely increase Ontario winter wheat yields into the future.&quot;,&quot;publisher&quot;:&quot;Springer Science and Business Media Deutschland GmbH&quot;,&quot;issue&quot;:&quot;6&quot;,&quot;volume&quot;:&quot;135&quot;,&quot;container-title-short&quot;:&quot;&quot;},&quot;isTemporary&quot;:false}]},{&quot;citationID&quot;:&quot;MENDELEY_CITATION_b0a94806-48a5-4d70-bd24-595fa07bde79&quot;,&quot;properties&quot;:{&quot;noteIndex&quot;:0},&quot;isEdited&quot;:false,&quot;manualOverride&quot;:{&quot;isManuallyOverridden&quot;:true,&quot;citeprocText&quot;:&quot;(del Pozo &lt;i&gt;et al.&lt;/i&gt;, 2022)&quot;,&quot;manualOverrideText&quot;:&quot;del Pozo et al., 2022&quot;},&quot;citationTag&quot;:&quot;MENDELEY_CITATION_v3_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&quot;,&quot;citationItems&quot;:[{&quot;id&quot;:&quot;68a5ed9b-9f54-35d7-999a-16dcb66bcaa7&quot;,&quot;itemData&quot;:{&quot;type&quot;:&quot;article-journal&quot;,&quot;id&quot;:&quot;68a5ed9b-9f54-35d7-999a-16dcb66bcaa7&quot;,&quot;title&quot;:&quot;Genetic Yield Gains and Changes in Morphophysiological-Related Traits of Winter Wheat in Southern Chilean High-Yielding Environments&quot;,&quot;author&quot;:[{&quot;family&quot;:&quot;Pozo&quot;,&quot;given&quot;:&quot;Alejandro&quot;,&quot;parse-names&quot;:false,&quot;dropping-particle&quot;:&quot;&quot;,&quot;non-dropping-particle&quot;:&quot;del&quot;},{&quot;family&quot;:&quot;Jobet&quot;,&quot;given&quot;:&quot;Claudio&quot;,&quot;parse-names&quot;:false,&quot;dropping-particle&quot;:&quot;&quot;,&quot;non-dropping-particle&quot;:&quot;&quot;},{&quot;family&quot;:&quot;Matus&quot;,&quot;given&quot;:&quot;Iván&quot;,&quot;parse-names&quot;:false,&quot;dropping-particle&quot;:&quot;&quot;,&quot;non-dropping-particle&quot;:&quot;&quot;},{&quot;family&quot;:&quot;Méndez-Espinoza&quot;,&quot;given&quot;:&quot;Ana María&quot;,&quot;parse-names&quot;:false,&quot;dropping-particle&quot;:&quot;&quot;,&quot;non-dropping-particle&quot;:&quot;&quot;},{&quot;family&quot;:&quot;Garriga&quot;,&quot;given&quot;:&quot;Miguel&quot;,&quot;parse-names&quot;:false,&quot;dropping-particle&quot;:&quot;&quot;,&quot;non-dropping-particle&quot;:&quot;&quot;},{&quot;family&quot;:&quot;Castillo&quot;,&quot;given&quot;:&quot;Dalma&quot;,&quot;parse-names&quot;:false,&quot;dropping-particle&quot;:&quot;&quot;,&quot;non-dropping-particle&quot;:&quot;&quot;},{&quot;family&quot;:&quot;Elazab&quot;,&quot;given&quot;:&quot;Abdelhalim&quot;,&quot;parse-names&quot;:false,&quot;dropping-particle&quot;:&quot;&quot;,&quot;non-dropping-particle&quot;:&quot;&quot;}],&quot;container-title&quot;:&quot;Frontiers in Plant Science&quot;,&quot;container-title-short&quot;:&quot;Front Plant Sci&quot;,&quot;DOI&quot;:&quot;10.3389/fpls.2021.732988&quot;,&quot;ISSN&quot;:&quot;1664462X&quot;,&quot;issued&quot;:{&quot;date-parts&quot;:[[2022,1,3]]},&quot;abstract&quot;:&quot;Both the temperate-humid zone and the southern part of the Mediterranean climate region of Chile are characterized by high wheat productivity. Study objectives were to analyze the yield potential, yield progress, and genetic progress of the winter bread wheat (Triticum aestivum L.) cultivars and changes in agronomic and morphophysiological traits during the past 60 years. Thus, two field experiments: (a) yield potential and (b) yield genetic progress trials were conducted in high-yielding environments of central-southern Chile during the 2018/2019 and 2019/2020 seasons. In addition, yield progress was analyzed using yield historical data of a high-yielding environment from 1957 to 2017. Potential yield trials showed that, at the most favorable sites, grain yield reached ∼20.46 Mg ha–1. The prolonged growing and grain filling period, mild temperatures in December-January, ample water availability, and favorable soil conditions explain this high-potential yield. Yield progress analysis indicated that average grain yield increased from 2.70 Mg ha–1 in 1959 to 12.90 Mg ha–1 in 2017, with a 128.8 kg ha–1 per-year increase due to favorable soil and climatic conditions. For genetic progress trials, genetic gain in grain yield from 1965 to 2019 was 70.20 kg ha–1 (0.49%) per year, representing around 55% of the yield progress. Results revealed that the genetic gains in grain yield were related to increases in biomass partitioning toward reproductive organs, without significant increases in Shoot DW production. In addition, reducing trends in the NDVI, the fraction of intercepted PAR, the intercepted PAR (form emergence to heading), and the RGB-derived vegetation indices with the year of cultivar release were detected. These decreases could be due to the erectophile leaf habit, which enhanced photosynthetic activity, and thus grain yield increased. Also, senescence of bottom canopy leaves (starting from booting) could be involved by decreasing the ability of spectral and RGB-derived vegetation indices to capture the characteristics of green biomass after the booting stage. Contrary, a positive correlation was detected for intercepted PAR from heading to maturity, which could be due to a stay-green mechanism, supported by the trend of positive correlations of Chlorophyll content with the year of cultivar release.&quot;,&quot;publisher&quot;:&quot;Frontiers Media S.A.&quot;,&quot;volume&quot;:&quot;12&quot;},&quot;isTemporary&quot;:false}]},{&quot;citationID&quot;:&quot;MENDELEY_CITATION_71701f58-e22b-4024-9615-3add9576fda4&quot;,&quot;properties&quot;:{&quot;noteIndex&quot;:0},&quot;isEdited&quot;:false,&quot;manualOverride&quot;:{&quot;isManuallyOverridden&quot;:true,&quot;citeprocText&quot;:&quot;(Manès &lt;i&gt;et al.&lt;/i&gt;, 2012)&quot;,&quot;manualOverrideText&quot;:&quot;Manès et al., 2012&quot;},&quot;citationTag&quot;:&quot;MENDELEY_CITATION_v3_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&quot;,&quot;citationItems&quot;:[{&quot;id&quot;:&quot;e2901cb2-7359-32c5-a37d-1605f883d746&quot;,&quot;itemData&quot;:{&quot;type&quot;:&quot;article-journal&quot;,&quot;id&quot;:&quot;e2901cb2-7359-32c5-a37d-1605f883d746&quot;,&quot;title&quot;:&quot;Genetic yield gains of the CIMMYT International semi-arid wheat yield trials from 1994 to 2010&quot;,&quot;author&quot;:[{&quot;family&quot;:&quot;Manès&quot;,&quot;given&quot;:&quot;Y.&quot;,&quot;parse-names&quot;:false,&quot;dropping-particle&quot;:&quot;&quot;,&quot;non-dropping-particle&quot;:&quot;&quot;},{&quot;family&quot;:&quot;Gomez&quot;,&quot;given&quot;:&quot;H. F.&quot;,&quot;parse-names&quot;:false,&quot;dropping-particle&quot;:&quot;&quot;,&quot;non-dropping-particle&quot;:&quot;&quot;},{&quot;family&quot;:&quot;Puhl&quot;,&quot;given&quot;:&quot;L.&quot;,&quot;parse-names&quot;:false,&quot;dropping-particle&quot;:&quot;&quot;,&quot;non-dropping-particle&quot;:&quot;&quot;},{&quot;family&quot;:&quot;Reynolds&quot;,&quot;given&quot;:&quot;M.&quot;,&quot;parse-names&quot;:false,&quot;dropping-particle&quot;:&quot;&quot;,&quot;non-dropping-particle&quot;:&quot;&quot;},{&quot;family&quot;:&quot;Braun&quot;,&quot;given&quot;:&quot;H. J.&quot;,&quot;parse-names&quot;:false,&quot;dropping-particle&quot;:&quot;&quot;,&quot;non-dropping-particle&quot;:&quot;&quot;},{&quot;family&quot;:&quot;Trethowan&quot;,&quot;given&quot;:&quot;R.&quot;,&quot;parse-names&quot;:false,&quot;dropping-particle&quot;:&quot;&quot;,&quot;non-dropping-particle&quot;:&quot;&quot;}],&quot;container-title&quot;:&quot;Crop Science&quot;,&quot;container-title-short&quot;:&quot;Crop Sci&quot;,&quot;DOI&quot;:&quot;10.2135/cropsci2011.10.0574&quot;,&quot;ISSN&quot;:&quot;0011183X&quot;,&quot;issued&quot;:{&quot;date-parts&quot;:[[2012,7]]},&quot;page&quot;:&quot;1543-1552&quot;,&quot;abstract&quot;:&quot;Genetic progress for yield has been assessed globally in the semi-arid wheat yield trials (SAWYTs) of the International Maize and Wheat Improvement Center (CIMMYT) over a 17-yr period. Grain yield expressed as a percentage of the long-term check cultivar Dharwar Dry has increased at approximately 1% yr-1 between 1994 and 2010. In real terms, yield has been increased at a rate of 31 kg ha-1 yr-1. The rate of yield increase in high-yielding environments was twice that of low-yielding environments. The average yield of low-yielding sites are significantly correlated with the average yield of high-yielding sites (p &lt; 0.001), and many of the highest-yielding lines of the various SAWYT performed well at both low- and high-yielding sites. The key parents Attila and Pastor were consistently high yielding in several of the early SAWYT. In later trials their derivatives were also high yielding. The line Vorobey, developed by crossing Pastor with a synthetic derivative, showed outstanding yield in SAWYT 11 and 12. The performance of CIMMYT lines compared to local check cultivars was relatively stable over time. A success rate was calculated as the ratio of the number of sites where a given line is superior to the local check divided by the total number of sites. On average, the success rate of the 10% best lines was 61% in low-yielding sites and 62% in high-yielding sites. © Crop Science Society of America.&quot;,&quot;issue&quot;:&quot;4&quot;,&quot;volume&quot;:&quot;52&quot;},&quot;isTemporary&quot;:false}]},{&quot;citationID&quot;:&quot;MENDELEY_CITATION_e976d2e2-5ca0-4938-acd7-5d8e966165fa&quot;,&quot;properties&quot;:{&quot;noteIndex&quot;:0},&quot;isEdited&quot;:false,&quot;manualOverride&quot;:{&quot;isManuallyOverridden&quot;:true,&quot;citeprocText&quot;:&quot;(Sharma &lt;i&gt;et al.&lt;/i&gt;, 2012)&quot;,&quot;manualOverrideText&quot;:&quot;Sharma et al., 2012&quot;},&quot;citationTag&quot;:&quot;MENDELEY_CITATION_v3_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&quot;,&quot;citationItems&quot;:[{&quot;id&quot;:&quot;191442d8-5078-385c-a26b-a94890039206&quot;,&quot;itemData&quot;:{&quot;type&quot;:&quot;article-journal&quot;,&quot;id&quot;:&quot;191442d8-5078-385c-a26b-a94890039206&quot;,&quot;title&quot;:&quot;Genetic gains for grain yield in CIMMYT spring bread wheat across international environments&quot;,&quot;author&quot;:[{&quot;family&quot;:&quot;Sharma&quot;,&quot;given&quot;:&quot;R. C.&quot;,&quot;parse-names&quot;:false,&quot;dropping-particle&quot;:&quot;&quot;,&quot;non-dropping-particle&quot;:&quot;&quot;},{&quot;family&quot;:&quot;Crossa&quot;,&quot;given&quot;:&quot;J.&quot;,&quot;parse-names&quot;:false,&quot;dropping-particle&quot;:&quot;&quot;,&quot;non-dropping-particle&quot;:&quot;&quot;},{&quot;family&quot;:&quot;Velu&quot;,&quot;given&quot;:&quot;G.&quot;,&quot;parse-names&quot;:false,&quot;dropping-particle&quot;:&quot;&quot;,&quot;non-dropping-particle&quot;:&quot;&quot;},{&quot;family&quot;:&quot;Huerta-Espino&quot;,&quot;given&quot;:&quot;J.&quot;,&quot;parse-names&quot;:false,&quot;dropping-particle&quot;:&quot;&quot;,&quot;non-dropping-particle&quot;:&quot;&quot;},{&quot;family&quot;:&quot;Vargas&quot;,&quot;given&quot;:&quot;M.&quot;,&quot;parse-names&quot;:false,&quot;dropping-particle&quot;:&quot;&quot;,&quot;non-dropping-particle&quot;:&quot;&quot;},{&quot;family&quot;:&quot;Payne&quot;,&quot;given&quot;:&quot;T. S.&quot;,&quot;parse-names&quot;:false,&quot;dropping-particle&quot;:&quot;&quot;,&quot;non-dropping-particle&quot;:&quot;&quot;},{&quot;family&quot;:&quot;Singh&quot;,&quot;given&quot;:&quot;R. P.&quot;,&quot;parse-names&quot;:false,&quot;dropping-particle&quot;:&quot;&quot;,&quot;non-dropping-particle&quot;:&quot;&quot;}],&quot;container-title&quot;:&quot;Crop Science&quot;,&quot;container-title-short&quot;:&quot;Crop Sci&quot;,&quot;DOI&quot;:&quot;10.2135/cropsci2011.12.0634&quot;,&quot;ISSN&quot;:&quot;0011183X&quot;,&quot;issued&quot;:{&quot;date-parts&quot;:[[2012,7]]},&quot;page&quot;:&quot;1522-1533&quot;,&quot;abstract&quot;:&quot;The Global Wheat Program of the International Maize and Wheat Improvement Center (CIMMYT) develops and distributes improved germplasm targeted toward various wheat growing regions of developing world. The objective of our study was to quantify the genetic yield gains in CIMMYT's spring bread wheat (Triticum aestivum L.) in the Elite Spring Wheat Yield Trial (ESWYT) distributed over the past 15 yr (1995-2009) as determined by the performance of entries across 919 environments in 69 countries. To determine the annual genetic gains, differences in mean yields of the five highest yielding entries from mean trial yield and mean yield of the widely grown international check 'Attila' were regressed over 15 yr of ESWYT testing. Across locations in all countries, mean yields of the five highest yielding entries showed an annual gain of 27.8 kg ha-1 (0.65%) compared to Attila. Annual yield gains in megaenvironment 1 (ME1) (optimally irrigated), ME2 (high rainfall), Egypt, India, and Pakistan were 27.4 (0.55%), 21.4 (0.62%), 111.6 (1.13%), 32.5 (0.83%), and 18.5 kg ha-1 (0.5%), respectively. These results demonstrate continuous genetic yield gains in the elite spring bread wheat lines developed and distributed by CIMMYT and the positive outcomes achieved through breeding and the international exchange of elite spring wheat germplasm that have benefited national programs throughout the world. © Crop Science Society of America.&quot;,&quot;issue&quot;:&quot;4&quot;,&quot;volume&quot;:&quot;52&quot;},&quot;isTemporary&quot;:false}]},{&quot;citationID&quot;:&quot;MENDELEY_CITATION_02b22e0f-059b-4799-b578-9338b1b694b9&quot;,&quot;properties&quot;:{&quot;noteIndex&quot;:0},&quot;isEdited&quot;:false,&quot;manualOverride&quot;:{&quot;isManuallyOverridden&quot;:true,&quot;citeprocText&quot;:&quot;(Lopes &lt;i&gt;et al.&lt;/i&gt;, 2012)&quot;,&quot;manualOverrideText&quot;:&quot;Lopes et al., 2012&quot;},&quot;citationTag&quot;:&quot;MENDELEY_CITATION_v3_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&quot;,&quot;citationItems&quot;:[{&quot;id&quot;:&quot;f015ce1a-c945-3650-99f0-fccb436ed19a&quot;,&quot;itemData&quot;:{&quot;type&quot;:&quot;article-journal&quot;,&quot;id&quot;:&quot;f015ce1a-c945-3650-99f0-fccb436ed19a&quot;,&quot;title&quot;:&quot;Genetic yield gains and changes in associated traits of CIMMYT spring bread wheat in a \&quot;Historic\&quot; set representing 30 years of breeding&quot;,&quot;author&quot;:[{&quot;family&quot;:&quot;Lopes&quot;,&quot;given&quot;:&quot;M. S.&quot;,&quot;parse-names&quot;:false,&quot;dropping-particle&quot;:&quot;&quot;,&quot;non-dropping-particle&quot;:&quot;&quot;},{&quot;family&quot;:&quot;Reynolds&quot;,&quot;given&quot;:&quot;M. P.&quot;,&quot;parse-names&quot;:false,&quot;dropping-particle&quot;:&quot;&quot;,&quot;non-dropping-particle&quot;:&quot;&quot;},{&quot;family&quot;:&quot;Manes&quot;,&quot;given&quot;:&quot;Y.&quot;,&quot;parse-names&quot;:false,&quot;dropping-particle&quot;:&quot;&quot;,&quot;non-dropping-particle&quot;:&quot;&quot;},{&quot;family&quot;:&quot;Singh&quot;,&quot;given&quot;:&quot;R. P.&quot;,&quot;parse-names&quot;:false,&quot;dropping-particle&quot;:&quot;&quot;,&quot;non-dropping-particle&quot;:&quot;&quot;},{&quot;family&quot;:&quot;Crossa&quot;,&quot;given&quot;:&quot;J.&quot;,&quot;parse-names&quot;:false,&quot;dropping-particle&quot;:&quot;&quot;,&quot;non-dropping-particle&quot;:&quot;&quot;},{&quot;family&quot;:&quot;Braun&quot;,&quot;given&quot;:&quot;H. J.&quot;,&quot;parse-names&quot;:false,&quot;dropping-particle&quot;:&quot;&quot;,&quot;non-dropping-particle&quot;:&quot;&quot;}],&quot;container-title&quot;:&quot;Crop Science&quot;,&quot;container-title-short&quot;:&quot;Crop Sci&quot;,&quot;DOI&quot;:&quot;10.2135/cropsci2011.09.0467&quot;,&quot;ISSN&quot;:&quot;0011183X&quot;,&quot;issued&quot;:{&quot;date-parts&quot;:[[2012,5]]},&quot;page&quot;:&quot;1123-1131&quot;,&quot;abstract&quot;:&quot;The genetic yield progress of 26 spring wheat (Triticum aestivum L.) advanced lines released by the International Maize and Wheat Improvement Centre (CIMMYT) in the period from 1977 to 2008 was evaluated in the selection environment in Mexico as well as at a set of target environments in Asia and Africa. In Mexico, grain yield progress was significantly linear and about 0.7% yr -1 and yield was associated with fewer days to heading, cooler canopy temperature at grain filling, and increased stay-green and thousand kernel weight. These results suggested that changes in the former traits at least partially explain the yield progress. When genetic yield progress was measured in subsets of sites in Asia and Africa grouped into high, intermediate, and low yielding, the genetic yield progress was 0.9, 0.7, and 0.5% yr -1, respectively. We conclude that there is no evidence that genetic gains to increase yield have slowed down in wheat lines released by CIMMYT. © Crop Science Society of America.&quot;,&quot;issue&quot;:&quot;3&quot;,&quot;volume&quot;:&quot;52&quot;},&quot;isTemporary&quot;:false}]},{&quot;citationID&quot;:&quot;MENDELEY_CITATION_3c0640e6-6355-4551-bdc0-be65fa31ef59&quot;,&quot;properties&quot;:{&quot;noteIndex&quot;:0},&quot;isEdited&quot;:false,&quot;manualOverride&quot;:{&quot;isManuallyOverridden&quot;:true,&quot;citeprocText&quot;:&quot;(Sharma &lt;i&gt;et al.&lt;/i&gt;, 2022)&quot;,&quot;manualOverrideText&quot;:&quot;Sharma et al., 2022&quot;},&quot;citationTag&quot;:&quot;MENDELEY_CITATION_v3_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&quot;,&quot;citationItems&quot;:[{&quot;id&quot;:&quot;b4fef5df-8d8a-3472-820a-478ff0ea2f76&quot;,&quot;itemData&quot;:{&quot;type&quot;:&quot;article-journal&quot;,&quot;id&quot;:&quot;b4fef5df-8d8a-3472-820a-478ff0ea2f76&quot;,&quot;title&quot;:&quot;Plant breeding increases spring wheat yield potential in Afghanistan&quot;,&quot;author&quot;:[{&quot;family&quot;:&quot;Sharma&quot;,&quot;given&quot;:&quot;Rajiv&quot;,&quot;parse-names&quot;:false,&quot;dropping-particle&quot;:&quot;&quot;,&quot;non-dropping-particle&quot;:&quot;&quot;},{&quot;family&quot;:&quot;Crossa&quot;,&quot;given&quot;:&quot;Jose&quot;,&quot;parse-names&quot;:false,&quot;dropping-particle&quot;:&quot;&quot;,&quot;non-dropping-particle&quot;:&quot;&quot;},{&quot;family&quot;:&quot;Ataei&quot;,&quot;given&quot;:&quot;Najibeh&quot;,&quot;parse-names&quot;:false,&quot;dropping-particle&quot;:&quot;&quot;,&quot;non-dropping-particle&quot;:&quot;&quot;},{&quot;family&quot;:&quot;Lodin&quot;,&quot;given&quot;:&quot;Raqib&quot;,&quot;parse-names&quot;:false,&quot;dropping-particle&quot;:&quot;&quot;,&quot;non-dropping-particle&quot;:&quot;&quot;},{&quot;family&quot;:&quot;Joshi&quot;,&quot;given&quot;:&quot;Arun K.&quot;,&quot;parse-names&quot;:false,&quot;dropping-particle&quot;:&quot;&quot;,&quot;non-dropping-particle&quot;:&quot;&quot;},{&quot;family&quot;:&quot;Vargas&quot;,&quot;given&quot;:&quot;Mateo&quot;,&quot;parse-names&quot;:false,&quot;dropping-particle&quot;:&quot;&quot;,&quot;non-dropping-particle&quot;:&quot;&quot;},{&quot;family&quot;:&quot;Braun&quot;,&quot;given&quot;:&quot;Hans J.&quot;,&quot;parse-names&quot;:false,&quot;dropping-particle&quot;:&quot;&quot;,&quot;non-dropping-particle&quot;:&quot;&quot;},{&quot;family&quot;:&quot;Singh&quot;,&quot;given&quot;:&quot;Ravi P.&quot;,&quot;parse-names&quot;:false,&quot;dropping-particle&quot;:&quot;&quot;,&quot;non-dropping-particle&quot;:&quot;&quot;},{&quot;family&quot;:&quot;Bentley&quot;,&quot;given&quot;:&quot;A. R.&quot;,&quot;parse-names&quot;:false,&quot;dropping-particle&quot;:&quot;&quot;,&quot;non-dropping-particle&quot;:&quot;&quot;}],&quot;container-title&quot;:&quot;Crop Science&quot;,&quot;container-title-short&quot;:&quot;Crop Sci&quot;,&quot;DOI&quot;:&quot;10.1002/csc2.20653&quot;,&quot;ISSN&quot;:&quot;14350653&quot;,&quot;issued&quot;:{&quot;date-parts&quot;:[[2022,1,1]]},&quot;page&quot;:&quot;167-177&quot;,&quot;abstract&quot;:&quot;Wheat (Triticum aestivum L.) is an essential food security crop in Afghanistan. To determine the contribution of wheat breeding to increasing productivity, we analyzed data obtained from 192 trials conducted over 11 locations from 2002–2003 to 2015–2016. Using this data, we estimated annual genetic gains for grain yield, days to heading and plant height over the 14-yr period. We used best linear unbiased estimates to measure genetic gains across CIMMYT Elite Spring Wheat Yield Trials per se and for the top 5 and top 10% performing genotypes relative to checks. Mean realized genetic gain for grain yield was 115 kg ha–1 yr−1, whereas the top 10 genotypes achieved annual yield gains of 123 kg ha–1. The continually replaced local check. s also contributed an annual genetic gain for yield of 107 kg ha–1. The associated adaptive traits days to heading and plant height varied in their response over time with the top 10 yielding genotypes having a 1.82 d annual reduction in heading date while plant height increased by 0.77 cm yr−1 for the same set of genotypes. Results show that continual breeding improvements confer yield gains, contributing to increasing Afghan wheat productivity. This has wider relevance for demonstrating the value of continued investment in public sector plant breeding supporting wheat production and food security in Central Asia.&quot;,&quot;publisher&quot;:&quot;John Wiley and Sons Inc&quot;,&quot;issue&quot;:&quot;1&quot;,&quot;volume&quot;:&quot;62&quot;},&quot;isTemporary&quot;:false}]},{&quot;citationID&quot;:&quot;MENDELEY_CITATION_ecefe380-c2e0-415e-9ab2-bb88d5ef3ac6&quot;,&quot;properties&quot;:{&quot;noteIndex&quot;:0},&quot;isEdited&quot;:false,&quot;manualOverride&quot;:{&quot;isManuallyOverridden&quot;:true,&quot;citeprocText&quot;:&quot;(Trethowan, van Ginkel and Rajaram, 2002)&quot;,&quot;manualOverrideText&quot;:&quot;Trethowan et al., 2002&quot;},&quot;citationTag&quot;:&quot;MENDELEY_CITATION_v3_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&quot;,&quot;citationItems&quot;:[{&quot;id&quot;:&quot;b54765bf-29d9-34ff-b24c-7aa6957673ab&quot;,&quot;itemData&quot;:{&quot;type&quot;:&quot;article-journal&quot;,&quot;id&quot;:&quot;b54765bf-29d9-34ff-b24c-7aa6957673ab&quot;,&quot;title&quot;:&quot;Progress in breeding wheat for yield and adaptation in global drought affected environments&quot;,&quot;author&quot;:[{&quot;family&quot;:&quot;Trethowan&quot;,&quot;given&quot;:&quot;Richard M.&quot;,&quot;parse-names&quot;:false,&quot;dropping-particle&quot;:&quot;&quot;,&quot;non-dropping-particle&quot;:&quot;&quot;},{&quot;family&quot;:&quot;Ginkel&quot;,&quot;given&quot;:&quot;Maarten&quot;,&quot;parse-names&quot;:false,&quot;dropping-particle&quot;:&quot;&quot;,&quot;non-dropping-particle&quot;:&quot;van&quot;},{&quot;family&quot;:&quot;Rajaram&quot;,&quot;given&quot;:&quot;Sanjaya&quot;,&quot;parse-names&quot;:false,&quot;dropping-particle&quot;:&quot;&quot;,&quot;non-dropping-particle&quot;:&quot;&quot;}],&quot;container-title&quot;:&quot;Crop Science&quot;,&quot;container-title-short&quot;:&quot;Crop Sci&quot;,&quot;DOI&quot;:&quot;10.2135/cropsci2002.1441&quot;,&quot;ISSN&quot;:&quot;0011183X&quot;,&quot;issued&quot;:{&quot;date-parts&quot;:[[2002]]},&quot;page&quot;:&quot;1441-1446&quot;,&quot;abstract&quot;:&quot;The impact of wheat (Triticum aestivum L.) germplasm from the International Maize and Wheat Improvement Center (CIMMYT) in the highly productive environments of the developing world has been significant. However, 55% of the area sown to wheat in these countries is periodically affected by drought and the impact of CIMMYT germplasm on productivity in these areas is not clear. Our objective was to measure rates of yield improvement for the period 1979 through 1998 using yield data from CIMMYT's Elite Spring Wheat Trial (ESWYT) and Semi-Arid Wheat Yield Trial (SAWYT). The mean yield of the five highest yielding entries from each site was expressed as a percent of the trial mean (%TM). The trial mean yield (TM) and the mean yield of locally adapted check cultivars (LC) were used to provide estimates of the productivity of each environment. Measuring rates of progress by means of %TM, TM, and LC were favored to the use of mean yield alone as variable annual rainfall and subsequent fluctuations in productivity influence yield in dry environments. Yearly rates of progress were determined by measuring change in %TM and change in TM. In environments yielding less than 4 Mg ha-1 the respective increases in %TM and TM for SAWYT were 4.38 and 0.09% yr-1. The equivalent rates for ESWYT were 0.34 and 0.19% yr-1. In environments yielding 4 Mg ha-1 or more the respective rates of progress in %TM and TM for SAWYT were 0.85 and 2.87% yr-1 compared with 0.26 and 0.494% yr-1 observed in the ESWYT. Comparisons of %TM, TM, and LC for representative locations in Mexico, Argentina, Syria, and Portugal demonstrated progress in %TM ranging from highly significant to stable, regardless of local fluctuations in productivity.&quot;,&quot;publisher&quot;:&quot;Crop Science Society of America&quot;,&quot;issue&quot;:&quot;5&quot;,&quot;volume&quot;:&quot;42&quot;},&quot;isTemporary&quot;:false}]},{&quot;citationID&quot;:&quot;MENDELEY_CITATION_fcaeaecb-c1ad-4310-b5fe-2a02cae13bbd&quot;,&quot;properties&quot;:{&quot;noteIndex&quot;:0},&quot;isEdited&quot;:false,&quot;manualOverride&quot;:{&quot;isManuallyOverridden&quot;:true,&quot;citeprocText&quot;:&quot;(Brisson &lt;i&gt;et al.&lt;/i&gt;, 2010)&quot;,&quot;manualOverrideText&quot;:&quot;Brisson et al., 2010&quot;},&quot;citationTag&quot;:&quot;MENDELEY_CITATION_v3_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&quot;,&quot;citationItems&quot;:[{&quot;id&quot;:&quot;ef2574d3-85c6-34c7-9833-4eccca8486fe&quot;,&quot;itemData&quot;:{&quot;type&quot;:&quot;article-journal&quot;,&quot;id&quot;:&quot;ef2574d3-85c6-34c7-9833-4eccca8486fe&quot;,&quot;title&quot;:&quot;Why are wheat yields stagnating in Europe? A comprehensive data analysis for France&quot;,&quot;author&quot;:[{&quot;family&quot;:&quot;Brisson&quot;,&quot;given&quot;:&quot;Nadine&quot;,&quot;parse-names&quot;:false,&quot;dropping-particle&quot;:&quot;&quot;,&quot;non-dropping-particle&quot;:&quot;&quot;},{&quot;family&quot;:&quot;Gate&quot;,&quot;given&quot;:&quot;Philippe&quot;,&quot;parse-names&quot;:false,&quot;dropping-particle&quot;:&quot;&quot;,&quot;non-dropping-particle&quot;:&quot;&quot;},{&quot;family&quot;:&quot;Gouache&quot;,&quot;given&quot;:&quot;David&quot;,&quot;parse-names&quot;:false,&quot;dropping-particle&quot;:&quot;&quot;,&quot;non-dropping-particle&quot;:&quot;&quot;},{&quot;family&quot;:&quot;Charmet&quot;,&quot;given&quot;:&quot;Gilles&quot;,&quot;parse-names&quot;:false,&quot;dropping-particle&quot;:&quot;&quot;,&quot;non-dropping-particle&quot;:&quot;&quot;},{&quot;family&quot;:&quot;Oury&quot;,&quot;given&quot;:&quot;François Xavier&quot;,&quot;parse-names&quot;:false,&quot;dropping-particle&quot;:&quot;&quot;,&quot;non-dropping-particle&quot;:&quot;&quot;},{&quot;family&quot;:&quot;Huard&quot;,&quot;given&quot;:&quot;Frédéric&quot;,&quot;parse-names&quot;:false,&quot;dropping-particle&quot;:&quot;&quot;,&quot;non-dropping-particle&quot;:&quot;&quot;}],&quot;container-title&quot;:&quot;Field Crops Research&quot;,&quot;container-title-short&quot;:&quot;Field Crops Res&quot;,&quot;DOI&quot;:&quot;10.1016/j.fcr.2010.07.012&quot;,&quot;ISSN&quot;:&quot;03784290&quot;,&quot;issued&quot;:{&quot;date-parts&quot;:[[2010,10]]},&quot;page&quot;:&quot;201-212&quot;,&quot;abstract&quot;:&quot;The last two decades are witnessing a decline in the growth trend of cereal yields in many European countries. The present study analyses yield trends in France using various sources of data: national and regional statistics, scattered trials, results of agroclimatic models using climatic data. Effects in genetic changes through breeding, agronomy and climate are investigated as possible causes. Our results show that genetic progress has not declined but it was partly counteracted, from 1990 on, by climate change which in general is unfavorable to cereal yields in temperate climates because of heat stress during grain filling and drought during stem elongation. We cannot however, from the decade beginning in 2000, rule out agronomic causes, related to policy and economy, in particular the decline of legumes in the cereal rotations, replaced by oilseed rape and to a lesser extent the decrease in nitrogen fertilization. © 2010 Elsevier B.V.&quot;,&quot;issue&quot;:&quot;1&quot;,&quot;volume&quot;:&quot;119&quot;},&quot;isTemporary&quot;:false}]},{&quot;citationID&quot;:&quot;MENDELEY_CITATION_684f60e5-a786-40c0-9e30-a8c07b4c9c78&quot;,&quot;properties&quot;:{&quot;noteIndex&quot;:0},&quot;isEdited&quot;:false,&quot;manualOverride&quot;:{&quot;isManuallyOverridden&quot;:true,&quot;citeprocText&quot;:&quot;(Ahrends &lt;i&gt;et al.&lt;/i&gt;, 2018)&quot;,&quot;manualOverrideText&quot;:&quot;Ahrends et al., 2018&quot;},&quot;citationTag&quot;:&quot;MENDELEY_CITATION_v3_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&quot;,&quot;citationItems&quot;:[{&quot;id&quot;:&quot;db0da780-e293-3d27-9fea-5ea27470195f&quot;,&quot;itemData&quot;:{&quot;type&quot;:&quot;article-journal&quot;,&quot;id&quot;:&quot;db0da780-e293-3d27-9fea-5ea27470195f&quot;,&quot;title&quot;:&quot;Genetic yield gains of winter wheat in Germany over more than 100 years (1895-2007) under contrasting fertilizer applications&quot;,&quot;author&quot;:[{&quot;family&quot;:&quot;Ahrends&quot;,&quot;given&quot;:&quot;H. E.&quot;,&quot;parse-names&quot;:false,&quot;dropping-particle&quot;:&quot;&quot;,&quot;non-dropping-particle&quot;:&quot;&quot;},{&quot;family&quot;:&quot;Eugster&quot;,&quot;given&quot;:&quot;W.&quot;,&quot;parse-names&quot;:false,&quot;dropping-particle&quot;:&quot;&quot;,&quot;non-dropping-particle&quot;:&quot;&quot;},{&quot;family&quot;:&quot;Gaiser&quot;,&quot;given&quot;:&quot;T.&quot;,&quot;parse-names&quot;:false,&quot;dropping-particle&quot;:&quot;&quot;,&quot;non-dropping-particle&quot;:&quot;&quot;},{&quot;family&quot;:&quot;Rueda-Ayala&quot;,&quot;given&quot;:&quot;V.&quot;,&quot;parse-names&quot;:false,&quot;dropping-particle&quot;:&quot;&quot;,&quot;non-dropping-particle&quot;:&quot;&quot;},{&quot;family&quot;:&quot;Hüging&quot;,&quot;given&quot;:&quot;H.&quot;,&quot;parse-names&quot;:false,&quot;dropping-particle&quot;:&quot;&quot;,&quot;non-dropping-particle&quot;:&quot;&quot;},{&quot;family&quot;:&quot;Ewert&quot;,&quot;given&quot;:&quot;F.&quot;,&quot;parse-names&quot;:false,&quot;dropping-particle&quot;:&quot;&quot;,&quot;non-dropping-particle&quot;:&quot;&quot;},{&quot;family&quot;:&quot;Siebert&quot;,&quot;given&quot;:&quot;S.&quot;,&quot;parse-names&quot;:false,&quot;dropping-particle&quot;:&quot;&quot;,&quot;non-dropping-particle&quot;:&quot;&quot;}],&quot;container-title&quot;:&quot;Environmental Research Letters&quot;,&quot;DOI&quot;:&quot;10.1088/1748-9326/aade12&quot;,&quot;ISSN&quot;:&quot;17489326&quot;,&quot;issued&quot;:{&quot;date-parts&quot;:[[2018]]},&quot;abstract&quot;:&quot;For highly productive regions such as Germany, the increase of wheat grain yields observed throughout the 20th century is largely attributed to the progress in crop breeding and agronomic management. However, several studies indicate a strong variability of the genetic contribution across locations that further varies with experimental design and variety selection. It is therefore still unclear to which extent management conditions have promoted the realization of the breeding progress in Germany over the last 100+ years. We established a side-by-side cultivation experiment over two seasons (2014/2015 and 2015/2016) including 16 winter wheat varieties released in Germany between 1895 and 2007. The varieties were grown using 24 different long-term fertilization treatments established since 1904 (Dikopshof, Germany). Averaged over all cultivars and treatments mean yields of 6.88 t ha-1 and 5.15 t ha-1 were estimated in 2015 and 2016, respectively. A linear mixed effects analysis was performed to study the treatment-specific relation between grain yields and year of variety release. Results indicate a linear increase in grain yields ranging from 0.025 to 0.032 t ha-1 yr-1 (0.304 to 0.387% yr-1) in plots that were treated with combined synthetic-organic fertilizers without signs of a leveling-off. Yields from low or unfertilized plots do not show a significant progress in yield. Responsiveness of mean yields to fertilizer management increases with year of release and indicates small yield penalties under very low nutrient supply. Results highlight the need to consider the importance of long-term soil fertilization management for the realization of genetic gains and the value of long-term fertilization experiments to study interactions between genetic potential and management.&quot;,&quot;publisher&quot;:&quot;IOP Publishing&quot;,&quot;issue&quot;:&quot;10&quot;,&quot;volume&quot;:&quot;13&quot;,&quot;container-title-short&quot;:&quot;&quot;},&quot;isTemporary&quot;:false}]},{&quot;citationID&quot;:&quot;MENDELEY_CITATION_eedc925c-982d-4f61-a90c-f2f5a1a6dadf&quot;,&quot;properties&quot;:{&quot;noteIndex&quot;:0},&quot;isEdited&quot;:false,&quot;manualOverride&quot;:{&quot;isManuallyOverridden&quot;:true,&quot;citeprocText&quot;:&quot;(Akin &lt;i&gt;et al.&lt;/i&gt;, 2017)&quot;,&quot;manualOverrideText&quot;:&quot;Akin et al., 2017&quot;},&quot;citationTag&quot;:&quot;MENDELEY_CITATION_v3_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&quot;,&quot;citationItems&quot;:[{&quot;id&quot;:&quot;d5040c2e-bc58-3317-ad27-fa97d2d89caa&quot;,&quot;itemData&quot;:{&quot;type&quot;:&quot;article-journal&quot;,&quot;id&quot;:&quot;d5040c2e-bc58-3317-ad27-fa97d2d89caa&quot;,&quot;title&quot;:&quot;Genetic gains in grain yield in spring wheat in Turkey&quot;,&quot;author&quot;:[{&quot;family&quot;:&quot;Akin&quot;,&quot;given&quot;:&quot;Beyhan&quot;,&quot;parse-names&quot;:false,&quot;dropping-particle&quot;:&quot;&quot;,&quot;non-dropping-particle&quot;:&quot;&quot;},{&quot;family&quot;:&quot;Sohail&quot;,&quot;given&quot;:&quot;Quahir&quot;,&quot;parse-names&quot;:false,&quot;dropping-particle&quot;:&quot;&quot;,&quot;non-dropping-particle&quot;:&quot;&quot;},{&quot;family&quot;:&quot;Ünsal&quot;,&quot;given&quot;:&quot;Rıza&quot;,&quot;parse-names&quot;:false,&quot;dropping-particle&quot;:&quot;&quot;,&quot;non-dropping-particle&quot;:&quot;&quot;},{&quot;family&quot;:&quot;Dınçer&quot;,&quot;given&quot;:&quot;Nazım&quot;,&quot;parse-names&quot;:false,&quot;dropping-particle&quot;:&quot;&quot;,&quot;non-dropping-particle&quot;:&quot;&quot;},{&quot;family&quot;:&quot;Demır&quot;,&quot;given&quot;:&quot;Lütfü&quot;,&quot;parse-names&quot;:false,&quot;dropping-particle&quot;:&quot;&quot;,&quot;non-dropping-particle&quot;:&quot;&quot;},{&quot;family&quot;:&quot;Geren&quot;,&quot;given&quot;:&quot;Hatice&quot;,&quot;parse-names&quot;:false,&quot;dropping-particle&quot;:&quot;&quot;,&quot;non-dropping-particle&quot;:&quot;&quot;},{&quot;family&quot;:&quot;Sevım&quot;,&quot;given&quot;:&quot;İsmail&quot;,&quot;parse-names&quot;:false,&quot;dropping-particle&quot;:&quot;&quot;,&quot;non-dropping-particle&quot;:&quot;&quot;},{&quot;family&quot;:&quot;Orhan&quot;,&quot;given&quot;:&quot;Şinasi&quot;,&quot;parse-names&quot;:false,&quot;dropping-particle&quot;:&quot;&quot;,&quot;non-dropping-particle&quot;:&quot;&quot;},{&quot;family&quot;:&quot;Yaktubay&quot;,&quot;given&quot;:&quot;Sadiye&quot;,&quot;parse-names&quot;:false,&quot;dropping-particle&quot;:&quot;&quot;,&quot;non-dropping-particle&quot;:&quot;&quot;},{&quot;family&quot;:&quot;Morgounov&quot;,&quot;given&quot;:&quot;Alexey&quot;,&quot;parse-names&quot;:false,&quot;dropping-particle&quot;:&quot;&quot;,&quot;non-dropping-particle&quot;:&quot;&quot;}],&quot;container-title&quot;:&quot;Turkish Journal of Agriculture and Forestry&quot;,&quot;DOI&quot;:&quot;10.3906/tar-1611-50&quot;,&quot;ISSN&quot;:&quot;13036173&quot;,&quot;issued&quot;:{&quot;date-parts&quot;:[[2017]]},&quot;page&quot;:&quot;103-112&quot;,&quot;abstract&quot;:&quot;Genetic gain for grain yield was evaluated in 35 Turkish spring wheat varieties released between 1964 and 2010. The germplasm comprised varieties developed by the East Mediterranean Agricultural Research Institute (ARI) in Adana, the Maize Research Station in Adapazari, and Aegean ARI in Izmir. Out of 34 varieties studied, 24 were selected from CIMMYT germplasm. The trials were conducted during 2009-2013 at the same three sites. Average yearly genetic gain for all varieties was 30.9 kg/ha or 0.62%. The top five highest yielding varieties were all released after 1998: Ziyabey, Menemen, and Meta (Izmir), and Karatopak and Ceyhan (Adana). Plant height had a clear tendency to decrease over time. Genetic gain in yield was associated with genetic gains in harvest index (0.51%), the number of spikes/m2 (0.29%), and the number of grains/spike (0.26%). Kernel size and biomass did not change over time and represent traits to be explored in the future. The newest varieties combined higher yield with yield stability. Resistance to leaf rust contributed greatly to yield genetic gain. Turkish breeders made a substantial impact on national grain supply and food security. Future breeding strategies shall combine the utilization of CIMMYT germplasm, a diverse modern gene pool, and genetic resources in an integrated national breeding program.&quot;,&quot;issue&quot;:&quot;2&quot;,&quot;volume&quot;:&quot;41&quot;,&quot;container-title-short&quot;:&quot;&quot;},&quot;isTemporary&quot;:false}]},{&quot;citationID&quot;:&quot;MENDELEY_CITATION_5749848f-1ba1-4757-99b7-b381c4295473&quot;,&quot;properties&quot;:{&quot;noteIndex&quot;:0},&quot;isEdited&quot;:false,&quot;manualOverride&quot;:{&quot;isManuallyOverridden&quot;:true,&quot;citeprocText&quot;:&quot;(Shearman &lt;i&gt;et al.&lt;/i&gt;, 2005)&quot;,&quot;manualOverrideText&quot;:&quot;Shearman et al., 2005&quot;},&quot;citationTag&quot;:&quot;MENDELEY_CITATION_v3_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&quot;,&quot;citationItems&quot;:[{&quot;id&quot;:&quot;baf7d30b-1a76-3992-9a25-71ab9d99c1a6&quot;,&quot;itemData&quot;:{&quot;type&quot;:&quot;article-journal&quot;,&quot;id&quot;:&quot;baf7d30b-1a76-3992-9a25-71ab9d99c1a6&quot;,&quot;title&quot;:&quot;Physiological processes associated with wheat yield progress in the UK&quot;,&quot;author&quot;:[{&quot;family&quot;:&quot;Shearman&quot;,&quot;given&quot;:&quot;V. J.&quot;,&quot;parse-names&quot;:false,&quot;dropping-particle&quot;:&quot;&quot;,&quot;non-dropping-particle&quot;:&quot;&quot;},{&quot;family&quot;:&quot;Sylvester-Bradley&quot;,&quot;given&quot;:&quot;R.&quot;,&quot;parse-names&quot;:false,&quot;dropping-particle&quot;:&quot;&quot;,&quot;non-dropping-particle&quot;:&quot;&quot;},{&quot;family&quot;:&quot;Scott&quot;,&quot;given&quot;:&quot;R. K.&quot;,&quot;parse-names&quot;:false,&quot;dropping-particle&quot;:&quot;&quot;,&quot;non-dropping-particle&quot;:&quot;&quot;},{&quot;family&quot;:&quot;Foulkes&quot;,&quot;given&quot;:&quot;M. J.&quot;,&quot;parse-names&quot;:false,&quot;dropping-particle&quot;:&quot;&quot;,&quot;non-dropping-particle&quot;:&quot;&quot;}],&quot;container-title&quot;:&quot;Crop Science&quot;,&quot;container-title-short&quot;:&quot;Crop Sci&quot;,&quot;DOI&quot;:&quot;10.2135/cropsci2005.0175&quot;,&quot;ISSN&quot;:&quot;0011183X&quot;,&quot;issued&quot;:{&quot;date-parts&quot;:[[2005]]},&quot;page&quot;:&quot;175-185&quot;,&quot;abstract&quot;:&quot;Knowledge of the changes in physiological traits associated with genetic gains in yield potential is essential to improve understanding of yield-limiting factors and to inform future breeding strategies. Our objective was to identify physiological traits associated with genetic gains in grain yield of winter wheat (Triticum aestivum L.) in the UK. The growth and development of eight representative cultivars introduced from 1972 to 1995 (one tall rht-D1b cultivar and seven RHt-D1b, formerly RhT2, semidwarf cultivars) was examined in Field experiments at Sutton Boningfon in 1996-1997, 1997-1998, and 1998-1999. A linear genetic gain in grain yield of 0.12 Mg ha-1 yr-1 (1.2% yr-1) was positively correlated with both harvest index (HI) and aboveground biomass; a quadratic function fitted to the data showed that progress in HI was most apparent during the earlier phase of the 23-yr period, whereas biomass contributed most since about 1983. There was a linear increase across time of 217 grains m-2 yr-1, but no change in grain weight. Significant genetic changes across time and correlations with grain yield were also found for preanthesis radiation-use efficiency (RUE, 0.012 g MJ-1 yr-1) and water soluble carbohydrate (WSC) content of stems and leaf sheaths at anthesis (4.6 g m-2 yr-1). Our results suggest that recent genetic gains in grain yield have been based on a combination of improved growth rate in the preanthesis period, which has driven increases in number of grains per square meter, and a larger source for grain filling through increases in stem soluble carbohydrate reserves.&quot;,&quot;issue&quot;:&quot;1&quot;,&quot;volume&quot;:&quot;45&quot;},&quot;isTemporary&quot;:false}]},{&quot;citationID&quot;:&quot;MENDELEY_CITATION_666ca0b0-3d39-4024-a6b3-18fa4dd4e1e4&quot;,&quot;properties&quot;:{&quot;noteIndex&quot;:0},&quot;isEdited&quot;:false,&quot;manualOverride&quot;:{&quot;isManuallyOverridden&quot;:true,&quot;citeprocText&quot;:&quot;(Yadav &lt;i&gt;et al.&lt;/i&gt;, 2021)&quot;,&quot;manualOverrideText&quot;:&quot;Yadav et al., 2021&quot;},&quot;citationTag&quot;:&quot;MENDELEY_CITATION_v3_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&quot;,&quot;citationItems&quot;:[{&quot;id&quot;:&quot;1af261bd-b023-388f-af1b-7ffd79932dd0&quot;,&quot;itemData&quot;:{&quot;type&quot;:&quot;article-journal&quot;,&quot;id&quot;:&quot;1af261bd-b023-388f-af1b-7ffd79932dd0&quot;,&quot;title&quot;:&quot;Genetic Gain in Yield and Associated Changes in Agronomic Traits in Wheat Cultivars Developed Between 1900 and 2016 for Irrigated Ecosystems of Northwestern Plain Zone of India&quot;,&quot;author&quot;:[{&quot;family&quot;:&quot;Yadav&quot;,&quot;given&quot;:&quot;Rajbir&quot;,&quot;parse-names&quot;:false,&quot;dropping-particle&quot;:&quot;&quot;,&quot;non-dropping-particle&quot;:&quot;&quot;},{&quot;family&quot;:&quot;Gupta&quot;,&quot;given&quot;:&quot;Soma&quot;,&quot;parse-names&quot;:false,&quot;dropping-particle&quot;:&quot;&quot;,&quot;non-dropping-particle&quot;:&quot;&quot;},{&quot;family&quot;:&quot;Gaikwad&quot;,&quot;given&quot;:&quot;Kiran B.&quot;,&quot;parse-names&quot;:false,&quot;dropping-particle&quot;:&quot;&quot;,&quot;non-dropping-particle&quot;:&quot;&quot;},{&quot;family&quot;:&quot;Bainsla&quot;,&quot;given&quot;:&quot;Naresh Kumar&quot;,&quot;parse-names&quot;:false,&quot;dropping-particle&quot;:&quot;&quot;,&quot;non-dropping-particle&quot;:&quot;&quot;},{&quot;family&quot;:&quot;Kumar&quot;,&quot;given&quot;:&quot;Manjeet&quot;,&quot;parse-names&quot;:false,&quot;dropping-particle&quot;:&quot;&quot;,&quot;non-dropping-particle&quot;:&quot;&quot;},{&quot;family&quot;:&quot;Babu&quot;,&quot;given&quot;:&quot;Prashanth&quot;,&quot;parse-names&quot;:false,&quot;dropping-particle&quot;:&quot;&quot;,&quot;non-dropping-particle&quot;:&quot;&quot;},{&quot;family&quot;:&quot;Ansari&quot;,&quot;given&quot;:&quot;Rihan&quot;,&quot;parse-names&quot;:false,&quot;dropping-particle&quot;:&quot;&quot;,&quot;non-dropping-particle&quot;:&quot;&quot;},{&quot;family&quot;:&quot;Dhar&quot;,&quot;given&quot;:&quot;Narain&quot;,&quot;parse-names&quot;:false,&quot;dropping-particle&quot;:&quot;&quot;,&quot;non-dropping-particle&quot;:&quot;&quot;},{&quot;family&quot;:&quot;Dharmateja&quot;,&quot;given&quot;:&quot;Palaparthi&quot;,&quot;parse-names&quot;:false,&quot;dropping-particle&quot;:&quot;&quot;,&quot;non-dropping-particle&quot;:&quot;&quot;},{&quot;family&quot;:&quot;Prasad&quot;,&quot;given&quot;:&quot;Rajender&quot;,&quot;parse-names&quot;:false,&quot;dropping-particle&quot;:&quot;&quot;,&quot;non-dropping-particle&quot;:&quot;&quot;}],&quot;container-title&quot;:&quot;Frontiers in Plant Science&quot;,&quot;container-title-short&quot;:&quot;Front Plant Sci&quot;,&quot;DOI&quot;:&quot;10.3389/fpls.2021.719394&quot;,&quot;ISSN&quot;:&quot;1664462X&quot;,&quot;issued&quot;:{&quot;date-parts&quot;:[[2021,9,23]]},&quot;abstract&quot;:&quot;Knowledge about the yield gain over the years due to associated changes in the yield component traits is essential for a critical understanding of yield-limiting factors. To estimate genetic gain in grain yield (GY) and component agronomic traits of wheat varieties released between 1900 and 2016 for northwestern plain zone (NWPZ) of India and to identify agronomic and/or genetic basis of the realized gains, two sets of wheat varieties comprising mega varieties and two recently developed varieties were evaluated under timely sown, tilled, and early sown conservation agriculture (CA) conditions for four consecutive years under irrigated conditions. The average annual genetic gain in GY since 1,905 under timely sown irrigated conditions was found to be 0.544% yr−1 over the average of all varieties and 0.822% yr−1 (24.27 kg ha−1 yr−1) over the first released variety, NP4. The realized mean yield increased from 2,950 kg ha−1 of the variety NP4 released in 1,905–5,649 kg ha−1 of HD3086 released in 2014. Regression analysis revealed a linear reduction in height and peduncle length (PL) over the years with a simultaneous and linear increase in biomass at the rate of 43.9 kg ha−1 yr−1 or relatively at 0.368% yr−1 mainly because of delayed heading and increased crop duration. Regression analysis showed no linear trend for tiller number and thousand-grain weight (TGW). Though harvest index (HI) was found to linearly increase relatively at the rate of 0.198% per annum, polynomial regression improved the fitness of data with the indication of no increase in HI since 1982. Interestingly, genetic gain evaluation under early sown CA conditions for 4 years showed similar relative gain (RG) [a relative improvement in varieties across breeding periods (BP)] (0.544% yr−1) but with a higher absolute value (29.28 kg ha−1 yr−1). Major mega varieties like Kalyan Sona, HD2009, PBW 343, HD2967, and HD3086, which occupied a comparatively larger area, were found highly plastic to the improvements in the production environment under timely sown conditions.&quot;,&quot;publisher&quot;:&quot;Frontiers Media S.A.&quot;,&quot;volume&quot;:&quot;12&quot;},&quot;isTemporary&quot;:false}]},{&quot;citationID&quot;:&quot;MENDELEY_CITATION_f1ee1b13-cab5-47e2-b1f8-213a1c3452b6&quot;,&quot;properties&quot;:{&quot;noteIndex&quot;:0},&quot;isEdited&quot;:false,&quot;manualOverride&quot;:{&quot;isManuallyOverridden&quot;:true,&quot;citeprocText&quot;:&quot;(Waddington &lt;i&gt;et al.&lt;/i&gt;, 1986)&quot;,&quot;manualOverrideText&quot;:&quot;Waddington et al., 1986&quot;},&quot;citationTag&quot;:&quot;MENDELEY_CITATION_v3_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&quot;,&quot;citationItems&quot;:[{&quot;id&quot;:&quot;8ce8644f-b822-30ab-9c0a-a69ba0abb917&quot;,&quot;itemData&quot;:{&quot;type&quot;:&quot;article-journal&quot;,&quot;id&quot;:&quot;8ce8644f-b822-30ab-9c0a-a69ba0abb917&quot;,&quot;title&quot;:&quot; Improvement in the Yield Potential of Bread Wheat Adapted to Northwest Mexico 1 &quot;,&quot;author&quot;:[{&quot;family&quot;:&quot;Waddington&quot;,&quot;given&quot;:&quot;S. R.&quot;,&quot;parse-names&quot;:false,&quot;dropping-particle&quot;:&quot;&quot;,&quot;non-dropping-particle&quot;:&quot;&quot;},{&quot;family&quot;:&quot;Ransom&quot;,&quot;given&quot;:&quot;J. K.&quot;,&quot;parse-names&quot;:false,&quot;dropping-particle&quot;:&quot;&quot;,&quot;non-dropping-particle&quot;:&quot;&quot;},{&quot;family&quot;:&quot;Osmanzai&quot;,&quot;given&quot;:&quot;M.&quot;,&quot;parse-names&quot;:false,&quot;dropping-particle&quot;:&quot;&quot;,&quot;non-dropping-particle&quot;:&quot;&quot;},{&quot;family&quot;:&quot;Saunders&quot;,&quot;given&quot;:&quot;D. A.&quot;,&quot;parse-names&quot;:false,&quot;dropping-particle&quot;:&quot;&quot;,&quot;non-dropping-particle&quot;:&quot;&quot;}],&quot;container-title&quot;:&quot;Crop Science&quot;,&quot;container-title-short&quot;:&quot;Crop Sci&quot;,&quot;DOI&quot;:&quot;10.2135/cropsci1986.0011183x002600040012x&quot;,&quot;ISSN&quot;:&quot;0011-183X&quot;,&quot;issued&quot;:{&quot;date-parts&quot;:[[1986,7]]},&quot;page&quot;:&quot;698-703&quot;,&quot;abstract&quot;:&quot;Abstract Two trials were conducted at the Mexican National Institute of Agricultural Research (INIA) experimental station, Yaqui Valley, Sonora, Mexico, to determine the genetic yield potential of bread wheat (Triticum aestivum L.) cultivars released in northwest Mexico over the period from 1950 to 1982, with emphasis on progress since 1970. Nonlimiting levels of fertility and moisture, a preventative pest and disease program, and netting to prevent lodging were used. Grain yield, yield components, and rates of phytomass production and grain filling were determined. Yield data on selected genotypes grown in 4 yrs of the International Spring Wheat Yield Nursery (ISWYN) at the same station were also examined. The grain yield potential of cultivars, successively released since 1950, has risen at an estimated (from a regression slope) average of 59 kg/ha/yr of release, or about 1.1%/yr. Although yield potential may have plateaued in the early 1970s, cultivars released since 1979, i.e., modern genotypes (e.g., 'Ciano 79', 'Genaro 81', 'Glennson 81', and 'Seri 82') have improved yield potential at an estimated rate similar to that prior to 1970. Improvements in grain yield were associated with increases in grain number per unit area (r = 0.74, P &lt; 0.01), which has risen by about 34% in modern genotypes compared to pre-1970 cultivars, and grain number per spike (r = 0.51, P&lt;0.05). The 1000-grain weight, was reduced slightly in the modern high grain number cultivars (r = -0.76, P&lt;0.01). Harvest indices for modern genotypes were lower than those of the landmark cultivar 'Yecora 70', but the modern genotypes had, on average, 16% greater phytomass than pre-1970 cultivars. However, only 43% of the variation in grain yield was attributable to phytomass. The improvements in yield potential are mainly the result of empirical selection for grain yield. Indications were that rates of grain filling and phytomass production in modern genotypes were similar to those in Yecora 70. The higher grain yield and phytomass in modern genotypes compared to Yecora 70 was probably due to the formation and survival of a larger grain sink (more grains/m2) and greater C assimilation during a longer preanthesis phase.&quot;,&quot;publisher&quot;:&quot;Wiley&quot;,&quot;issue&quot;:&quot;4&quot;,&quot;volume&quot;:&quot;26&quot;},&quot;isTemporary&quot;:false}]},{&quot;citationID&quot;:&quot;MENDELEY_CITATION_66682173-4506-4ce6-bf73-9c768174eba9&quot;,&quot;properties&quot;:{&quot;noteIndex&quot;:0},&quot;isEdited&quot;:false,&quot;manualOverride&quot;:{&quot;isManuallyOverridden&quot;:true,&quot;citeprocText&quot;:&quot;(Sayre, Rajaram and Fischer, 1997)&quot;,&quot;manualOverrideText&quot;:&quot;Sayre, Rajaram and Fischer, 1997&quot;},&quot;citationTag&quot;:&quot;MENDELEY_CITATION_v3_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&quot;,&quot;citationItems&quot;:[{&quot;id&quot;:&quot;13c818f4-f786-346c-971e-d39d8efffa03&quot;,&quot;itemData&quot;:{&quot;type&quot;:&quot;article-journal&quot;,&quot;id&quot;:&quot;13c818f4-f786-346c-971e-d39d8efffa03&quot;,&quot;title&quot;:&quot;Yield potential progress in short bread wheats in northwest Mexico&quot;,&quot;author&quot;:[{&quot;family&quot;:&quot;Sayre&quot;,&quot;given&quot;:&quot;K. D.&quot;,&quot;parse-names&quot;:false,&quot;dropping-particle&quot;:&quot;&quot;,&quot;non-dropping-particle&quot;:&quot;&quot;},{&quot;family&quot;:&quot;Rajaram&quot;,&quot;given&quot;:&quot;S.&quot;,&quot;parse-names&quot;:false,&quot;dropping-particle&quot;:&quot;&quot;,&quot;non-dropping-particle&quot;:&quot;&quot;},{&quot;family&quot;:&quot;Fischer&quot;,&quot;given&quot;:&quot;R. A.&quot;,&quot;parse-names&quot;:false,&quot;dropping-particle&quot;:&quot;&quot;,&quot;non-dropping-particle&quot;:&quot;&quot;}],&quot;container-title&quot;:&quot;Crop Science&quot;,&quot;container-title-short&quot;:&quot;Crop Sci&quot;,&quot;DOI&quot;:&quot;10.2135/cropsci1997.0011183X003700010006x&quot;,&quot;ISSN&quot;:&quot;0011183X&quot;,&quot;issued&quot;:{&quot;date-parts&quot;:[[1997]]},&quot;page&quot;:&quot;36-42&quot;,&quot;abstract&quot;:&quot;Germplasm from the spring wheat (Triticum aestivum L.) breeding program at the International Center for Improvement of Maize and Wheat (CIMMYT) has had a major impact on the yield of irrigated spring wheats in most developing countries in the past 30 yr. The rate and nature of yield potential progress in this germplasm was measured comparing eight outstanding short cultivars released in northwest Mexico between 1962 and 1988. They were grown under irrigation and optimal management, including disease and lodging protection, in each of six winter growing seasons (1989-1990 to 1994-1995) at the CIANO (Centro de Investigaciones Agricolas del Noroeste) experiment station in Sonora, Mexico. There were highly significant effects of cultivar on grain yield, and, although cultivar x year interaction was significant, there were few significant crossover interactions between pairs of genotypes and years in the grain yield data set. Yield averaged across the 6 yr increased linearly from 6680 kg ha-1 for the earliest cultivar, Pitic 62, to 8475 kg ha-1 for Bacanora 88, the latest. The rate of progress against year of release was 67 kg ha-1 yr-1 (r = 0.99, P &lt; 0.001), or 0.88% per year. Grain yield progress was correlated with kernel number per square meter (r = 0.84, P &lt; 0.01) and harvest index (r = 0.81, P &lt; 0.02), but not with total biomass production, kernel weight, days to anthesis, spikes per square meter, or kernels per spike. Thus linear progress in yield within short germplasm has continued at least until the late 1980s, and the yield components studied did not indicate any clear direction for future progress, apart from that suggested by the strong relationships between grain yield and harvest index and grain yield and kernels per square meter, as has been seen in most studies of yield progress in cereals.&quot;,&quot;publisher&quot;:&quot;Crop Science Society of America&quot;,&quot;issue&quot;:&quot;1&quot;,&quot;volume&quot;:&quot;37&quot;},&quot;isTemporary&quot;:false}]},{&quot;citationID&quot;:&quot;MENDELEY_CITATION_1d03913a-d166-4b2f-b954-6c911c895340&quot;,&quot;properties&quot;:{&quot;noteIndex&quot;:0},&quot;isEdited&quot;:false,&quot;manualOverride&quot;:{&quot;isManuallyOverridden&quot;:true,&quot;citeprocText&quot;:&quot;(Aisawi &lt;i&gt;et al.&lt;/i&gt;, 2015)&quot;,&quot;manualOverrideText&quot;:&quot;Aisawi et al., 2015&quot;},&quot;citationTag&quot;:&quot;MENDELEY_CITATION_v3_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&quot;,&quot;citationItems&quot;:[{&quot;id&quot;:&quot;8949b51e-f387-3522-b842-89e64ba37361&quot;,&quot;itemData&quot;:{&quot;type&quot;:&quot;article-journal&quot;,&quot;id&quot;:&quot;8949b51e-f387-3522-b842-89e64ba37361&quot;,&quot;title&quot;:&quot;The physiological basis of the genetic progress in yield potential of CIMMYT spring wheat cultivars from 1966 to 2009&quot;,&quot;author&quot;:[{&quot;family&quot;:&quot;Aisawi&quot;,&quot;given&quot;:&quot;K. A.B.&quot;,&quot;parse-names&quot;:false,&quot;dropping-particle&quot;:&quot;&quot;,&quot;non-dropping-particle&quot;:&quot;&quot;},{&quot;family&quot;:&quot;Reynolds&quot;,&quot;given&quot;:&quot;M. P.&quot;,&quot;parse-names&quot;:false,&quot;dropping-particle&quot;:&quot;&quot;,&quot;non-dropping-particle&quot;:&quot;&quot;},{&quot;family&quot;:&quot;Singh&quot;,&quot;given&quot;:&quot;R. P.&quot;,&quot;parse-names&quot;:false,&quot;dropping-particle&quot;:&quot;&quot;,&quot;non-dropping-particle&quot;:&quot;&quot;},{&quot;family&quot;:&quot;Foulkes&quot;,&quot;given&quot;:&quot;M. J.&quot;,&quot;parse-names&quot;:false,&quot;dropping-particle&quot;:&quot;&quot;,&quot;non-dropping-particle&quot;:&quot;&quot;}],&quot;container-title&quot;:&quot;Crop Science&quot;,&quot;container-title-short&quot;:&quot;Crop Sci&quot;,&quot;DOI&quot;:&quot;10.2135/cropsci2014.09.0601&quot;,&quot;ISSN&quot;:&quot;14350653&quot;,&quot;issued&quot;:{&quot;date-parts&quot;:[[2015]]},&quot;page&quot;:&quot;1749-1764&quot;,&quot;abstract&quot;:&quot;Our objective was to investigate the physiological basis of genetic progress in grain yield in CIMMYT spring wheat (Triticum aestivum L.) cultivars developed from 1966 to 2009 in irrigated, high-potential conditions. Field experiments were conducted during three growing seasons in northwest Mexico (2008–2009, 2009–2010, and 2010–2011) examining 12 historic CIMMYT semidwarf spring wheat cultivars released from 1966 to 2009. The linear rate of genetic gain in grain yield was 30 kg ha−1 yr&lt;sup&gt;−1&lt;/sup&gt; (0.59% yr&lt;sup&gt;−1&lt;/sup&gt;; R&lt;sup&gt;2&lt;/sup&gt; = 0.58, P = 0.01). Grain yield progress was associated with increased aboveground dry matter (AGDM) at harvest (R&lt;sup&gt;2&lt;/sup&gt; = 0.80, P &lt; 0.001) and heavier grain weight (R&lt;sup&gt;2&lt;/sup&gt; = 0.46, P &lt; 0.05). There was a positive linear association between AGDM and plant height (R&lt;sup&gt;2&lt;/sup&gt; = 0.43, P &lt; 0.05) and between grain weight and the date of complete canopy senescence (CCS) among the 12 cultivars (R&lt;sup&gt;2&lt;/sup&gt; = 0.36, P &lt; 0.05). There was no change in grains per square meter or harvest index (HI) with year of release (YoR). Grain weight was positively associated with potential grain weight (PGW), and PGW, in turn, was positively associated with rachis length per spikelet among the cultivars. Overall spike dry matter (DM) per square meter at anthesis (GS61) +7 d did not change with YoR. There was a trend for a linear increase in AGDM of fertile shoots (expressed as g m&lt;sup&gt;−2&lt;/sup&gt;) at GS61 +7 d with YoR, but this was counteracted by spike partitioning decreasing overall during the 43-yr period from 0.25 to 0.23. There was a linear increase in preanthesis flag-leaf stomatal conductance with YoR (P &lt; 0.05). There was no change in grain growth response to a degraining treatment imposed at GS61 +14 d (mean grain weight response +5.5%) indicating that the degree of source limitation to grain growth appeared to be small and unchanged in the older and modern cultivars. Generally, these results indicated that the rate of genetic progress in CIMMYT spring wheat has slowed but has not plateaued in recent decades, while genetic gains were associated with increase in both potential and final grain weight.&quot;,&quot;issue&quot;:&quot;4&quot;,&quot;volume&quot;:&quot;55&quot;},&quot;isTemporary&quot;:false}]},{&quot;citationID&quot;:&quot;MENDELEY_CITATION_a971a1ab-f86f-4efe-be9a-d814a4853390&quot;,&quot;properties&quot;:{&quot;noteIndex&quot;:0},&quot;isEdited&quot;:false,&quot;manualOverride&quot;:{&quot;isManuallyOverridden&quot;:true,&quot;citeprocText&quot;:&quot;(Peltonen-Sainio, Jauhiainen and Laurila, 2009)&quot;,&quot;manualOverrideText&quot;:&quot;Peltonen-Sainio, Jauhiainen and Laurila, 2009&quot;},&quot;citationTag&quot;:&quot;MENDELEY_CITATION_v3_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&quot;,&quot;citationItems&quot;:[{&quot;id&quot;:&quot;045d19c4-0134-3c05-9b33-e3d5214ff0bf&quot;,&quot;itemData&quot;:{&quot;type&quot;:&quot;article-journal&quot;,&quot;id&quot;:&quot;045d19c4-0134-3c05-9b33-e3d5214ff0bf&quot;,&quot;title&quot;:&quot;Cereal yield trends in northern European conditions: Changes in yield potential and its realisation&quot;,&quot;author&quot;:[{&quot;family&quot;:&quot;Peltonen-Sainio&quot;,&quot;given&quot;:&quot;Pirjo&quot;,&quot;parse-names&quot;:false,&quot;dropping-particle&quot;:&quot;&quot;,&quot;non-dropping-particle&quot;:&quot;&quot;},{&quot;family&quot;:&quot;Jauhiainen&quot;,&quot;given&quot;:&quot;Lauri&quot;,&quot;parse-names&quot;:false,&quot;dropping-particle&quot;:&quot;&quot;,&quot;non-dropping-particle&quot;:&quot;&quot;},{&quot;family&quot;:&quot;Laurila&quot;,&quot;given&quot;:&quot;Ilkka P.&quot;,&quot;parse-names&quot;:false,&quot;dropping-particle&quot;:&quot;&quot;,&quot;non-dropping-particle&quot;:&quot;&quot;}],&quot;container-title&quot;:&quot;Field Crops Research&quot;,&quot;container-title-short&quot;:&quot;Field Crops Res&quot;,&quot;DOI&quot;:&quot;10.1016/j.fcr.2008.07.007&quot;,&quot;ISSN&quot;:&quot;03784290&quot;,&quot;issued&quot;:{&quot;date-parts&quot;:[[2009,1,5]]},&quot;page&quot;:&quot;85-90&quot;,&quot;abstract&quot;:&quot;In recent decades there has been steady reduction in the rate of increase in cereal yields worldwide. This paper aims to (1) characterise the changes in yield trends of spring (barley, oat and wheat) and winter cereals (rye and wheat) grown in Finland and (2) distinguish between plant breeding achievements and other potential contributors to changes in national yield trends and differences among crops. In this work we used long-term datasets from FAO (FAOSTAT, 2007) (1960-2005) and results from multi-location MTT Official Variety Trials (1970-2005). A mixed model technique was used to divide the yield trends in variety trials into two components: genetic improvements and environmental changes. All trends were characterised using 5 years moving averages. The study period was divided into three agronomically relevant sub-periods: (1) in 1960-1980 agriculture was mechanised and improved basic agricultural practices largely introduced, (2) in 1981-1994 intensified crop management practices were increasingly applied and (3) in 1995-2005 Finland had joined the European Union, which resulted in altered agricultural policies and markets. Plant breeding has successfully increased genetic yield potential of all cereal crops without any indication of reduced rates of improvement. Since 1995 the Finnish national yield trends declined for all crops except wheat, for which the trend levelled-off. The main reasons for this are: cereal production has become less intensive because of (1) application of an environmental programme aimed at increasing the sustainability of agriculture by reducing the environmental load it represents and (2) markedly decreased economic incentives to produce intensively as producer prices for cereals decreased and input prices remained unchanged. National yield trends did not decline because of lack of genetic improvement in yield potential. It is likely that future cereals yield trends will again respond to increasing demand for food, feed, biofuel production and global climate change. © 2008 Elsevier B.V. All rights reserved.&quot;,&quot;issue&quot;:&quot;1&quot;,&quot;volume&quot;:&quot;110&quot;},&quot;isTemporary&quot;:false}]},{&quot;citationID&quot;:&quot;MENDELEY_CITATION_048ea73b-ee9c-4273-ac58-c96a3cfaa86b&quot;,&quot;properties&quot;:{&quot;noteIndex&quot;:0},&quot;isEdited&quot;:false,&quot;manualOverride&quot;:{&quot;isManuallyOverridden&quot;:true,&quot;citeprocText&quot;:&quot;(Dube &lt;i&gt;et al.&lt;/i&gt;, 2019)&quot;,&quot;manualOverrideText&quot;:&quot;Dube et al., 2019&quot;},&quot;citationTag&quot;:&quot;MENDELEY_CITATION_v3_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&quot;,&quot;citationItems&quot;:[{&quot;id&quot;:&quot;dd781ecd-6558-342e-b636-a7827ef93396&quot;,&quot;itemData&quot;:{&quot;type&quot;:&quot;article-journal&quot;,&quot;id&quot;:&quot;dd781ecd-6558-342e-b636-a7827ef93396&quot;,&quot;title&quot;:&quot;Genetic progress of spring wheat grain yield in various production regions of South Africa&quot;,&quot;author&quot;:[{&quot;family&quot;:&quot;Dube&quot;,&quot;given&quot;:&quot;Ernest&quot;,&quot;parse-names&quot;:false,&quot;dropping-particle&quot;:&quot;&quot;,&quot;non-dropping-particle&quot;:&quot;&quot;},{&quot;family&quot;:&quot;Kilian&quot;,&quot;given&quot;:&quot;Willem&quot;,&quot;parse-names&quot;:false,&quot;dropping-particle&quot;:&quot;&quot;,&quot;non-dropping-particle&quot;:&quot;&quot;},{&quot;family&quot;:&quot;Mwadzingeni&quot;,&quot;given&quot;:&quot;Learnmore&quot;,&quot;parse-names&quot;:false,&quot;dropping-particle&quot;:&quot;&quot;,&quot;non-dropping-particle&quot;:&quot;&quot;},{&quot;family&quot;:&quot;Sosibo&quot;,&quot;given&quot;:&quot;Nondumiso Z.&quot;,&quot;parse-names&quot;:false,&quot;dropping-particle&quot;:&quot;&quot;,&quot;non-dropping-particle&quot;:&quot;&quot;},{&quot;family&quot;:&quot;Barnard&quot;,&quot;given&quot;:&quot;Annelie&quot;,&quot;parse-names&quot;:false,&quot;dropping-particle&quot;:&quot;&quot;,&quot;non-dropping-particle&quot;:&quot;&quot;},{&quot;family&quot;:&quot;Tsilo&quot;,&quot;given&quot;:&quot;Toi J.&quot;,&quot;parse-names&quot;:false,&quot;dropping-particle&quot;:&quot;&quot;,&quot;non-dropping-particle&quot;:&quot;&quot;}],&quot;container-title&quot;:&quot;South African Journal of Plant and Soil&quot;,&quot;DOI&quot;:&quot;10.1080/02571862.2018.1469793&quot;,&quot;ISSN&quot;:&quot;02571862&quot;,&quot;issued&quot;:{&quot;date-parts&quot;:[[2019,1,1]]},&quot;page&quot;:&quot;33-39&quot;,&quot;abstract&quot;:&quot;Successful wheat production depends on several informed production decisions, including availing stable and high yielding cultivars. Periodic evaluation of the genetic gains in grain yield is a means of determining the effectiveness of current breeding efforts in increasing wheat productivity. Data collected from the Agricultural Research Council's Small Grain National Wheat Cultivar Evaluation program (NWCEP) over the period from 1998 to 2013 were used to estimate genetic gains in grain yield of irrigated spring wheat in South Africa. Compared with three control cultivars (ʻSST 822', ʻSST 876' and ʻKariega'), the estimated genetic gain in grain yield potential in the Eastern Highveld was approximately 0.82% y −1 for all entries and 1.17% y −1 for the highest yielding entries. In the Cooler Central areas, the genetic gain was 0.40% y −1 for all entries. In the Warmer Northern areas and KwaZulu-Natal province, there was yield stagnation over the years. Strong positive correlations of yield and hectolitre mass were observed, suggesting that much of the genetic yield gains over the period were achieved through increase in seed density. However, prospects of improving genetic yield gains in the country are high through the recently implemented end-point royalty system.&quot;,&quot;publisher&quot;:&quot;Taylor and Francis Ltd.&quot;,&quot;issue&quot;:&quot;1&quot;,&quot;volume&quot;:&quot;36&quot;,&quot;container-title-short&quot;:&quot;&quot;},&quot;isTemporary&quot;:false}]},{&quot;citationID&quot;:&quot;MENDELEY_CITATION_530549af-e2ff-4811-bef7-6427417d0271&quot;,&quot;properties&quot;:{&quot;noteIndex&quot;:0},&quot;isEdited&quot;:false,&quot;manualOverride&quot;:{&quot;isManuallyOverridden&quot;:true,&quot;citeprocText&quot;:&quot;(Voss-Fels &lt;i&gt;et al.&lt;/i&gt;, 2019)&quot;,&quot;manualOverrideText&quot;:&quot;Voss-Fels et al., 2019&quot;},&quot;citationTag&quot;:&quot;MENDELEY_CITATION_v3_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&quot;,&quot;citationItems&quot;:[{&quot;id&quot;:&quot;2b435a57-81a9-3ed6-a6e6-8769f0190443&quot;,&quot;itemData&quot;:{&quot;type&quot;:&quot;article-journal&quot;,&quot;id&quot;:&quot;2b435a57-81a9-3ed6-a6e6-8769f0190443&quot;,&quot;title&quot;:&quot;Breeding improves wheat productivity under contrasting agrochemical input levels&quot;,&quot;author&quot;:[{&quot;family&quot;:&quot;Voss-Fels&quot;,&quot;given&quot;:&quot;Kai P.&quot;,&quot;parse-names&quot;:false,&quot;dropping-particle&quot;:&quot;&quot;,&quot;non-dropping-particle&quot;:&quot;&quot;},{&quot;family&quot;:&quot;Stahl&quot;,&quot;given&quot;:&quot;Andreas&quot;,&quot;parse-names&quot;:false,&quot;dropping-particle&quot;:&quot;&quot;,&quot;non-dropping-particle&quot;:&quot;&quot;},{&quot;family&quot;:&quot;Wittkop&quot;,&quot;given&quot;:&quot;Benjamin&quot;,&quot;parse-names&quot;:false,&quot;dropping-particle&quot;:&quot;&quot;,&quot;non-dropping-particle&quot;:&quot;&quot;},{&quot;family&quot;:&quot;Lichthardt&quot;,&quot;given&quot;:&quot;Carolin&quot;,&quot;parse-names&quot;:false,&quot;dropping-particle&quot;:&quot;&quot;,&quot;non-dropping-particle&quot;:&quot;&quot;},{&quot;family&quot;:&quot;Nagler&quot;,&quot;given&quot;:&quot;Sabrina&quot;,&quot;parse-names&quot;:false,&quot;dropping-particle&quot;:&quot;&quot;,&quot;non-dropping-particle&quot;:&quot;&quot;},{&quot;family&quot;:&quot;Rose&quot;,&quot;given&quot;:&quot;Till&quot;,&quot;parse-names&quot;:false,&quot;dropping-particle&quot;:&quot;&quot;,&quot;non-dropping-particle&quot;:&quot;&quot;},{&quot;family&quot;:&quot;Chen&quot;,&quot;given&quot;:&quot;Tsu Wei&quot;,&quot;parse-names&quot;:false,&quot;dropping-particle&quot;:&quot;&quot;,&quot;non-dropping-particle&quot;:&quot;&quot;},{&quot;family&quot;:&quot;Zetzsche&quot;,&quot;given&quot;:&quot;Holger&quot;,&quot;parse-names&quot;:false,&quot;dropping-particle&quot;:&quot;&quot;,&quot;non-dropping-particle&quot;:&quot;&quot;},{&quot;family&quot;:&quot;Seddig&quot;,&quot;given&quot;:&quot;Sylvia&quot;,&quot;parse-names&quot;:false,&quot;dropping-particle&quot;:&quot;&quot;,&quot;non-dropping-particle&quot;:&quot;&quot;},{&quot;family&quot;:&quot;Majid Baig&quot;,&quot;given&quot;:&quot;Mirza&quot;,&quot;parse-names&quot;:false,&quot;dropping-particle&quot;:&quot;&quot;,&quot;non-dropping-particle&quot;:&quot;&quot;},{&quot;family&quot;:&quot;Ballvora&quot;,&quot;given&quot;:&quot;Agim&quot;,&quot;parse-names&quot;:false,&quot;dropping-particle&quot;:&quot;&quot;,&quot;non-dropping-particle&quot;:&quot;&quot;},{&quot;family&quot;:&quot;Frisch&quot;,&quot;given&quot;:&quot;Matthias&quot;,&quot;parse-names&quot;:false,&quot;dropping-particle&quot;:&quot;&quot;,&quot;non-dropping-particle&quot;:&quot;&quot;},{&quot;family&quot;:&quot;Ross&quot;,&quot;given&quot;:&quot;Elizabeth&quot;,&quot;parse-names&quot;:false,&quot;dropping-particle&quot;:&quot;&quot;,&quot;non-dropping-particle&quot;:&quot;&quot;},{&quot;family&quot;:&quot;Hayes&quot;,&quot;given&quot;:&quot;Ben J.&quot;,&quot;parse-names&quot;:false,&quot;dropping-particle&quot;:&quot;&quot;,&quot;non-dropping-particle&quot;:&quot;&quot;},{&quot;family&quot;:&quot;Hayden&quot;,&quot;given&quot;:&quot;Matthew J.&quot;,&quot;parse-names&quot;:false,&quot;dropping-particle&quot;:&quot;&quot;,&quot;non-dropping-particle&quot;:&quot;&quot;},{&quot;family&quot;:&quot;Ordon&quot;,&quot;given&quot;:&quot;Frank&quot;,&quot;parse-names&quot;:false,&quot;dropping-particle&quot;:&quot;&quot;,&quot;non-dropping-particle&quot;:&quot;&quot;},{&quot;family&quot;:&quot;Leon&quot;,&quot;given&quot;:&quot;Jens&quot;,&quot;parse-names&quot;:false,&quot;dropping-particle&quot;:&quot;&quot;,&quot;non-dropping-particle&quot;:&quot;&quot;},{&quot;family&quot;:&quot;Kage&quot;,&quot;given&quot;:&quot;Henning&quot;,&quot;parse-names&quot;:false,&quot;dropping-particle&quot;:&quot;&quot;,&quot;non-dropping-particle&quot;:&quot;&quot;},{&quot;family&quot;:&quot;Friedt&quot;,&quot;given&quot;:&quot;Wolfgang&quot;,&quot;parse-names&quot;:false,&quot;dropping-particle&quot;:&quot;&quot;,&quot;non-dropping-particle&quot;:&quot;&quot;},{&quot;family&quot;:&quot;Stützel&quot;,&quot;given&quot;:&quot;Hartmut&quot;,&quot;parse-names&quot;:false,&quot;dropping-particle&quot;:&quot;&quot;,&quot;non-dropping-particle&quot;:&quot;&quot;},{&quot;family&quot;:&quot;Snowdon&quot;,&quot;given&quot;:&quot;Rod J.&quot;,&quot;parse-names&quot;:false,&quot;dropping-particle&quot;:&quot;&quot;,&quot;non-dropping-particle&quot;:&quot;&quot;}],&quot;container-title&quot;:&quot;Nature Plants&quot;,&quot;container-title-short&quot;:&quot;Nat Plants&quot;,&quot;DOI&quot;:&quot;10.1038/s41477-019-0445-5&quot;,&quot;ISSN&quot;:&quot;20550278&quot;,&quot;issued&quot;:{&quot;date-parts&quot;:[[2019]]},&quot;page&quot;:&quot;706-714&quot;,&quot;abstract&quot;:&quot;The world cropping area for wheat exceeds that of any other crop, and high grain yields in intensive wheat cropping systems are essential for global food security. Breeding has raised yields dramatically in high-input production systems; however, selection under optimal growth conditions is widely believed to diminish the adaptive capacity of cultivars to less optimal cropping environments. Here, we demonstrate, in a large-scale study spanning five decades of wheat breeding progress in western Europe, where grain yields are among the highest worldwide, that breeding for high performance in fact enhances cultivar performance not only under optimal production conditions but also in production systems with reduced agrochemical inputs. New cultivars incrementally accumulated genetic variants conferring favourable effects on key yield parameters, disease resistance, nutrient use efficiency, photosynthetic efficiency and grain quality. Combining beneficial, genome-wide haplotypes could help breeders to more efficiently exploit available genetic variation, optimizing future yield potential in more sustainable production systems.&quot;,&quot;issue&quot;:&quot;7&quot;,&quot;volume&quot;:&quot;5&quot;},&quot;isTemporary&quot;:false}]},{&quot;citationID&quot;:&quot;MENDELEY_CITATION_195d6a4d-4ae3-4a8d-8415-89842fff3a7d&quot;,&quot;properties&quot;:{&quot;noteIndex&quot;:0},&quot;isEdited&quot;:false,&quot;manualOverride&quot;:{&quot;isManuallyOverridden&quot;:true,&quot;citeprocText&quot;:&quot;(Kang, no date)&quot;,&quot;manualOverrideText&quot;:&quot;(Kang, 2002)&quot;},&quot;citationTag&quot;:&quot;MENDELEY_CITATION_v3_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&quot;,&quot;citationItems&quot;:[{&quot;id&quot;:&quot;ed0fb458-f5e2-3499-9c74-90adb3bd92e8&quot;,&quot;itemData&quot;:{&quot;type&quot;:&quot;report&quot;,&quot;id&quot;:&quot;ed0fb458-f5e2-3499-9c74-90adb3bd92e8&quot;,&quot;title&quot;:&quot;5 Genotype-Environment Interaction: Progress and Prospects&quot;,&quot;author&quot;:[{&quot;family&quot;:&quot;Kang&quot;,&quot;given&quot;:&quot;Manjit S&quot;,&quot;parse-names&quot;:false,&quot;dropping-particle&quot;:&quot;&quot;,&quot;non-dropping-particle&quot;:&quot;&quot;}],&quot;container-title-short&quot;:&quot;&quot;},&quot;isTemporary&quot;:false}]},{&quot;citationID&quot;:&quot;MENDELEY_CITATION_c50e9a58-6d9d-42f4-a972-9da4241fa66f&quot;,&quot;properties&quot;:{&quot;noteIndex&quot;:0},&quot;isEdited&quot;:false,&quot;manualOverride&quot;:{&quot;isManuallyOverridden&quot;:false,&quot;citeprocText&quot;:&quot;(Kusmec, de Leon and Schnable, 2018)&quot;,&quot;manualOverrideText&quot;:&quot;&quot;},&quot;citationTag&quot;:&quot;MENDELEY_CITATION_v3_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&quot;,&quot;citationItems&quot;:[{&quot;id&quot;:&quot;8902887e-2498-34f8-9fb5-692336fbd99f&quot;,&quot;itemData&quot;:{&quot;type&quot;:&quot;article-journal&quot;,&quot;id&quot;:&quot;8902887e-2498-34f8-9fb5-692336fbd99f&quot;,&quot;title&quot;:&quot;Harnessing phenotypic plasticity to improve maize yields&quot;,&quot;author&quot;:[{&quot;family&quot;:&quot;Kusmec&quot;,&quot;given&quot;:&quot;Aaron&quot;,&quot;parse-names&quot;:false,&quot;dropping-particle&quot;:&quot;&quot;,&quot;non-dropping-particle&quot;:&quot;&quot;},{&quot;family&quot;:&quot;Leon&quot;,&quot;given&quot;:&quot;Natalia&quot;,&quot;parse-names&quot;:false,&quot;dropping-particle&quot;:&quot;&quot;,&quot;non-dropping-particle&quot;:&quot;de&quot;},{&quot;family&quot;:&quot;Schnable&quot;,&quot;given&quot;:&quot;Patrick S.&quot;,&quot;parse-names&quot;:false,&quot;dropping-particle&quot;:&quot;&quot;,&quot;non-dropping-particle&quot;:&quot;&quot;}],&quot;container-title&quot;:&quot;Frontiers in Plant Science&quot;,&quot;container-title-short&quot;:&quot;Front Plant Sci&quot;,&quot;DOI&quot;:&quot;10.3389/fpls.2018.01377&quot;,&quot;ISSN&quot;:&quot;1664462X&quot;,&quot;issued&quot;:{&quot;date-parts&quot;:[[2018,9,19]]},&quot;abstract&quot;:&quot;Plants can produce different phenotypes when exposed to different environments. Understanding the genetic basis of these plastic responses is crucial for crop breeding efforts. We discuss two recent studies that suggest that yield plasticity in maize has been under selection but is controlled by different genes than yield.&quot;,&quot;publisher&quot;:&quot;Frontiers Media S.A.&quot;,&quot;volume&quot;:&quot;9&quot;},&quot;isTemporary&quot;:false}]},{&quot;citationID&quot;:&quot;MENDELEY_CITATION_9af55277-d897-4042-9cc2-404fea5d8968&quot;,&quot;properties&quot;:{&quot;noteIndex&quot;:0},&quot;isEdited&quot;:false,&quot;manualOverride&quot;:{&quot;isManuallyOverridden&quot;:true,&quot;citeprocText&quot;:&quot;(Alahmad &lt;i&gt;et al.&lt;/i&gt;, 2022)&quot;,&quot;manualOverrideText&quot;:&quot;Alahmad et al. (2022)&quot;},&quot;citationTag&quot;:&quot;MENDELEY_CITATION_v3_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&quot;,&quot;citationItems&quot;:[{&quot;id&quot;:&quot;fc83413e-a9f6-38fb-b9e7-228ad7253fff&quot;,&quot;itemData&quot;:{&quot;type&quot;:&quot;chapter&quot;,&quot;id&quot;:&quot;fc83413e-a9f6-38fb-b9e7-228ad7253fff&quot;,&quot;title&quot;:&quot;Accelerating Breeding Cycles&quot;,&quot;author&quot;:[{&quot;family&quot;:&quot;Alahmad&quot;,&quot;given&quot;:&quot;Samir&quot;,&quot;parse-names&quot;:false,&quot;dropping-particle&quot;:&quot;&quot;,&quot;non-dropping-particle&quot;:&quot;&quot;},{&quot;family&quot;:&quot;Rambla&quot;,&quot;given&quot;:&quot;Charlotte&quot;,&quot;parse-names&quot;:false,&quot;dropping-particle&quot;:&quot;&quot;,&quot;non-dropping-particle&quot;:&quot;&quot;},{&quot;family&quot;:&quot;Voss-Fels&quot;,&quot;given&quot;:&quot;Kai P.&quot;,&quot;parse-names&quot;:false,&quot;dropping-particle&quot;:&quot;&quot;,&quot;non-dropping-particle&quot;:&quot;&quot;},{&quot;family&quot;:&quot;Hickey&quot;,&quot;given&quot;:&quot;Lee T.&quot;,&quot;parse-names&quot;:false,&quot;dropping-particle&quot;:&quot;&quot;,&quot;non-dropping-particle&quot;:&quot;&quot;}],&quot;container-title&quot;:&quot;Wheat Improvement&quot;,&quot;DOI&quot;:&quot;10.1007/978-3-030-90673-3_30&quot;,&quot;issued&quot;:{&quot;date-parts&quot;:[[2022]]},&quot;page&quot;:&quot;557-571&quot;,&quot;abstract&quot;:&quot;The rate of genetic gain in wheat improvement programs must improve to meet the challenge of feeding a growing population. Future wheat varieties will need to produce record high yields to feed an anticipated 25% more inhabitants on this planet by 2050. The current rate of genetic gain is slow and cropping systems are facing unprecedented fluctuations in production. This instability stems from major changes in climate and evolving pests and diseases. Rapid genetic improvement is essential to optimise crop performance under such harsh conditions. Accelerating breeding cycles shows promise for increasing the rate of genetic gain over time. This can be achieved by concurrent integration of cutting-edge technologies into breeding programs, such as speed breeding (SB), doubled haploid (DH) technology, high-throughput phenotyping platforms and genomic selection (GS). These technologies empower wheat breeders to keep the pace with increasing food demand by developing more productive and robust varieties sooner. In this chapter, strategies for shortening the wheat breeding cycle are discussed, along with the opportunity to integrate technologies to further accelerate the rate of genetic gain in wheat breeding programs.&quot;,&quot;publisher&quot;:&quot;Springer International Publishing&quot;,&quot;container-title-short&quot;:&quot;&quot;},&quot;isTemporary&quot;:false}]},{&quot;citationID&quot;:&quot;MENDELEY_CITATION_3c996dea-f7a8-4c74-8552-fa85cbb71f6f&quot;,&quot;properties&quot;:{&quot;noteIndex&quot;:0},&quot;isEdited&quot;:false,&quot;manualOverride&quot;:{&quot;isManuallyOverridden&quot;:true,&quot;citeprocText&quot;:&quot;(Crossa &lt;i&gt;et al.&lt;/i&gt;, 2017)&quot;,&quot;manualOverrideText&quot;:&quot;Crossa et al. (2017)&quot;},&quot;citationTag&quot;:&quot;MENDELEY_CITATION_v3_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&quot;,&quot;citationItems&quot;:[{&quot;id&quot;:&quot;bd816093-1cef-3128-b633-d2b3fe1d6d03&quot;,&quot;itemData&quot;:{&quot;type&quot;:&quot;article&quot;,&quot;id&quot;:&quot;bd816093-1cef-3128-b633-d2b3fe1d6d03&quot;,&quot;title&quot;:&quot;Genomic Selection in Plant Breeding: Methods, Models, and Perspectives&quot;,&quot;author&quot;:[{&quot;family&quot;:&quot;Crossa&quot;,&quot;given&quot;:&quot;José&quot;,&quot;parse-names&quot;:false,&quot;dropping-particle&quot;:&quot;&quot;,&quot;non-dropping-particle&quot;:&quot;&quot;},{&quot;family&quot;:&quot;Pérez-Rodríguez&quot;,&quot;given&quot;:&quot;Paulino&quot;,&quot;parse-names&quot;:false,&quot;dropping-particle&quot;:&quot;&quot;,&quot;non-dropping-particle&quot;:&quot;&quot;},{&quot;family&quot;:&quot;Cuevas&quot;,&quot;given&quot;:&quot;Jaime&quot;,&quot;parse-names&quot;:false,&quot;dropping-particle&quot;:&quot;&quot;,&quot;non-dropping-particle&quot;:&quot;&quot;},{&quot;family&quot;:&quot;Montesinos-López&quot;,&quot;given&quot;:&quot;Osval&quot;,&quot;parse-names&quot;:false,&quot;dropping-particle&quot;:&quot;&quot;,&quot;non-dropping-particle&quot;:&quot;&quot;},{&quot;family&quot;:&quot;Jarquín&quot;,&quot;given&quot;:&quot;Diego&quot;,&quot;parse-names&quot;:false,&quot;dropping-particle&quot;:&quot;&quot;,&quot;non-dropping-particle&quot;:&quot;&quot;},{&quot;family&quot;:&quot;los Campos&quot;,&quot;given&quot;:&quot;Gustavo&quot;,&quot;parse-names&quot;:false,&quot;dropping-particle&quot;:&quot;&quot;,&quot;non-dropping-particle&quot;:&quot;de&quot;},{&quot;family&quot;:&quot;Burgueño&quot;,&quot;given&quot;:&quot;Juan&quot;,&quot;parse-names&quot;:false,&quot;dropping-particle&quot;:&quot;&quot;,&quot;non-dropping-particle&quot;:&quot;&quot;},{&quot;family&quot;:&quot;González-Camacho&quot;,&quot;given&quot;:&quot;Juan M.&quot;,&quot;parse-names&quot;:false,&quot;dropping-particle&quot;:&quot;&quot;,&quot;non-dropping-particle&quot;:&quot;&quot;},{&quot;family&quot;:&quot;Pérez-Elizalde&quot;,&quot;given&quot;:&quot;Sergio&quot;,&quot;parse-names&quot;:false,&quot;dropping-particle&quot;:&quot;&quot;,&quot;non-dropping-particle&quot;:&quot;&quot;},{&quot;family&quot;:&quot;Beyene&quot;,&quot;given&quot;:&quot;Yoseph&quot;,&quot;parse-names&quot;:false,&quot;dropping-particle&quot;:&quot;&quot;,&quot;non-dropping-particle&quot;:&quot;&quot;},{&quot;family&quot;:&quot;Dreisigacker&quot;,&quot;given&quot;:&quot;Susanne&quot;,&quot;parse-names&quot;:false,&quot;dropping-particle&quot;:&quot;&quot;,&quot;non-dropping-particle&quot;:&quot;&quot;},{&quot;family&quot;:&quot;Singh&quot;,&quot;given&quot;:&quot;Ravi&quot;,&quot;parse-names&quot;:false,&quot;dropping-particle&quot;:&quot;&quot;,&quot;non-dropping-particle&quot;:&quot;&quot;},{&quot;family&quot;:&quot;Zhang&quot;,&quot;given&quot;:&quot;Xuecai&quot;,&quot;parse-names&quot;:false,&quot;dropping-particle&quot;:&quot;&quot;,&quot;non-dropping-particle&quot;:&quot;&quot;},{&quot;family&quot;:&quot;Gowda&quot;,&quot;given&quot;:&quot;Manje&quot;,&quot;parse-names&quot;:false,&quot;dropping-particle&quot;:&quot;&quot;,&quot;non-dropping-particle&quot;:&quot;&quot;},{&quot;family&quot;:&quot;Roorkiwal&quot;,&quot;given&quot;:&quot;Manish&quot;,&quot;parse-names&quot;:false,&quot;dropping-particle&quot;:&quot;&quot;,&quot;non-dropping-particle&quot;:&quot;&quot;},{&quot;family&quot;:&quot;Rutkoski&quot;,&quot;given&quot;:&quot;Jessica&quot;,&quot;parse-names&quot;:false,&quot;dropping-particle&quot;:&quot;&quot;,&quot;non-dropping-particle&quot;:&quot;&quot;},{&quot;family&quot;:&quot;Varshney&quot;,&quot;given&quot;:&quot;Rajeev K.&quot;,&quot;parse-names&quot;:false,&quot;dropping-particle&quot;:&quot;&quot;,&quot;non-dropping-particle&quot;:&quot;&quot;}],&quot;container-title&quot;:&quot;Trends in Plant Science&quot;,&quot;container-title-short&quot;:&quot;Trends Plant Sci&quot;,&quot;DOI&quot;:&quot;10.1016/j.tplants.2017.08.011&quot;,&quot;ISSN&quot;:&quot;13601385&quot;,&quot;PMID&quot;:&quot;28965742&quot;,&quot;issued&quot;:{&quot;date-parts&quot;:[[2017,11,1]]},&quot;page&quot;:&quot;961-975&quot;,&quot;abstract&quot;:&quot;Genomic selection (GS) facilitates the rapid selection of superior genotypes and accelerates the breeding cycle. In this review, we discuss the history, principles, and basis of GS and genomic-enabled prediction (GP) as well as the genetics and statistical complexities of GP models, including genomic genotype × environment (G × E) interactions. We also examine the accuracy of GP models and methods for two cereal crops and two legume crops based on random cross-validation. GS applied to maize breeding has shown tangible genetic gains. Based on GP results, we speculate how GS in germplasm enhancement (i.e., prebreeding) programs could accelerate the flow of genes from gene bank accessions to elite lines. Recent advances in hyperspectral image technology could be combined with GS and pedigree-assisted breeding. In recent years, the global climate has changed, resulting in drastic fluctuations in rainfall patterns and increasing temperature. Sudden climate changes can cause significant economic losses to countries worldwide. Genetic improvement of several economically important crops during the 20th century using phenotypic, pedigree, and performance data was very successful. However, signs of grain yield stagnation in some crops, especially in drought-stressed and semi-arid regions, are evident. Genomic selection offers the opportunity to increase grain production in less time. International Maize and Wheat Improvement Center (CIMMYT) maize breeding research in Sub-Saharan Africa, India, and Mexico has shown that genomic selection can reduce the breeding interval cycle to at least half the conventional time and produces lines that, in hybrid combinations, significantly increase grain yield performance over that of commercial checks. Public and private investment in crop genomic selection research should increase to successfully develop in less time germplasm that is adapted to sudden climate change.&quot;,&quot;publisher&quot;:&quot;Elsevier Ltd&quot;,&quot;issue&quot;:&quot;11&quot;,&quot;volume&quot;:&quot;22&quot;},&quot;isTemporary&quot;:false}]},{&quot;citationID&quot;:&quot;MENDELEY_CITATION_e3c37888-39b5-459c-b332-08936303b332&quot;,&quot;properties&quot;:{&quot;noteIndex&quot;:0},&quot;isEdited&quot;:false,&quot;manualOverride&quot;:{&quot;isManuallyOverridden&quot;:false,&quot;citeprocText&quot;:&quot;(Kaler &lt;i&gt;et al.&lt;/i&gt;, 2022)&quot;,&quot;manualOverrideText&quot;:&quot;&quot;},&quot;citationTag&quot;:&quot;MENDELEY_CITATION_v3_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&quot;,&quot;citationItems&quot;:[{&quot;id&quot;:&quot;8fa80817-a93a-3cf1-971e-bf3a50d9417c&quot;,&quot;itemData&quot;:{&quot;type&quot;:&quot;article-journal&quot;,&quot;id&quot;:&quot;8fa80817-a93a-3cf1-971e-bf3a50d9417c&quot;,&quot;title&quot;:&quot;Genomic prediction models for traits differing in heritability for soybean, rice, and maize&quot;,&quot;author&quot;:[{&quot;family&quot;:&quot;Kaler&quot;,&quot;given&quot;:&quot;Avjinder S.&quot;,&quot;parse-names&quot;:false,&quot;dropping-particle&quot;:&quot;&quot;,&quot;non-dropping-particle&quot;:&quot;&quot;},{&quot;family&quot;:&quot;Purcell&quot;,&quot;given&quot;:&quot;Larry C.&quot;,&quot;parse-names&quot;:false,&quot;dropping-particle&quot;:&quot;&quot;,&quot;non-dropping-particle&quot;:&quot;&quot;},{&quot;family&quot;:&quot;Beissinger&quot;,&quot;given&quot;:&quot;Timothy&quot;,&quot;parse-names&quot;:false,&quot;dropping-particle&quot;:&quot;&quot;,&quot;non-dropping-particle&quot;:&quot;&quot;},{&quot;family&quot;:&quot;Gillman&quot;,&quot;given&quot;:&quot;Jason D.&quot;,&quot;parse-names&quot;:false,&quot;dropping-particle&quot;:&quot;&quot;,&quot;non-dropping-particle&quot;:&quot;&quot;}],&quot;container-title&quot;:&quot;BMC Plant Biology&quot;,&quot;DOI&quot;:&quot;10.1186/s12870-022-03479-y&quot;,&quot;ISSN&quot;:&quot;14712229&quot;,&quot;PMID&quot;:&quot;35219296&quot;,&quot;issued&quot;:{&quot;date-parts&quot;:[[2022,12,1]]},&quot;abstract&quot;:&quot;Background: Genomic selection is a powerful tool in plant breeding. By building a prediction model using a training set with markers and phenotypes, genomic estimated breeding values (GEBVs) can be used as predictions of breeding values in a target set with only genotype data. There is, however, limited information on how prediction accuracy of genomic prediction can be optimized. The objective of this study was to evaluate the performance of 11 genomic prediction models across species in terms of prediction accuracy for two traits with different heritabilities using several subsets of markers and training population proportions. Species studied were maize (Zea mays, L.), soybean (Glycine max, L.), and rice (Oryza sativa, L.), which vary in linkage disequilibrium (LD) decay rates and have contrasting genetic architectures. Results: Correlations between observed and predicted GEBVs were determined via cross validation for three training-to-testing proportions (90:10, 70:30, and 50:50). Maize, which has the shortest extent of LD, showed the highest prediction accuracy. Amongst all the models tested, Bayes B performed better than or equal to all other models for each trait in all the three crops. Traits with higher broad-sense and narrow-sense heritabilities were associated with higher prediction accuracy. When subsets of markers were selected based on LD, the accuracy was similar to that observed from the complete set of markers. However, prediction accuracies were significantly improved when using a subset of total markers that were significant at P ≤ 0.05 or P ≤ 0.10. As expected, exclusion of QTL-associated markers in the model reduced prediction accuracy. Prediction accuracy varied among different training population proportions. Conclusions: We conclude that prediction accuracy for genomic selection can be improved by using the Bayes B model with a subset of significant markers and by selecting the training population based on narrow sense heritability.&quot;,&quot;publisher&quot;:&quot;BioMed Central Ltd&quot;,&quot;issue&quot;:&quot;1&quot;,&quot;volume&quot;:&quot;22&quot;,&quot;container-title-short&quot;:&quot;BMC Plant Biol&quot;},&quot;isTemporary&quot;:false}]},{&quot;citationID&quot;:&quot;MENDELEY_CITATION_0e7854d2-39c8-4cab-8aef-4665ca74c2ff&quot;,&quot;properties&quot;:{&quot;noteIndex&quot;:0},&quot;isEdited&quot;:false,&quot;manualOverride&quot;:{&quot;isManuallyOverridden&quot;:true,&quot;citeprocText&quot;:&quot;(Meuwissen, Hayes and Goddard, 2001)&quot;,&quot;manualOverrideText&quot;:&quot;Meuwissen, Hayes, and Goddard (2001)&quot;},&quot;citationTag&quot;:&quot;MENDELEY_CITATION_v3_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&quot;,&quot;citationItems&quot;:[{&quot;id&quot;:&quot;499db80c-44a7-30f6-9fe6-97857405d78a&quot;,&quot;itemData&quot;:{&quot;type&quot;:&quot;report&quot;,&quot;id&quot;:&quot;499db80c-44a7-30f6-9fe6-97857405d78a&quot;,&quot;title&quot;:&quot;Prediction of Total Genetic Value Using Genome-Wide Dense Marker Maps&quot;,&quot;author&quot;:[{&quot;family&quot;:&quot;Meuwissen&quot;,&quot;given&quot;:&quot;T H E&quot;,&quot;parse-names&quot;:false,&quot;dropping-particle&quot;:&quot;&quot;,&quot;non-dropping-particle&quot;:&quot;&quot;},{&quot;family&quot;:&quot;Hayes&quot;,&quot;given&quot;:&quot;B J&quot;,&quot;parse-names&quot;:false,&quot;dropping-particle&quot;:&quot;&quot;,&quot;non-dropping-particle&quot;:&quot;&quot;},{&quot;family&quot;:&quot;Goddard&quot;,&quot;given&quot;:&quot;M E&quot;,&quot;parse-names&quot;:false,&quot;dropping-particle&quot;:&quot;&quot;,&quot;non-dropping-particle&quot;:&quot;&quot;}],&quot;issued&quot;:{&quot;date-parts&quot;:[[2001]]},&quot;abstract&quot;:&quot;Recent advances in molecular genetic techniques will make dense marker maps available and genotyping many individuals for these markers feasible. Here we attempted to estimate the effects of 50,000 marker haplotypes simultaneously from a limited number of phenotypic records. A genome of 1000 cM was simulated with a marker spacing of 1 cM. The markers surrounding every 1-cM region were combined into marker haplotypes. Due to finite population size (N e 100), the marker haplotypes were in linkage disequilib-rium with the QTL located between the markers. Using least squares, all haplotype effects could not be estimated simultaneously. When only the biggest effects were included, they were overestimated and the accuracy of predicting genetic values of the offspring of the recorded animals was only 0.32. Best linear unbiased prediction of haplotype effects assumed equal variances associated to each 1-cM chromosomal segment, which yielded an accuracy of 0.73, although this assumption was far from true. Bayesian methods that assumed a prior distribution of the variance associated with each chromosome segment increased this accuracy to 0.85, even when the prior was not correct. It was concluded that selection on genetic values predicted from markers could substantially increase the rate of genetic gain in animals and plants, especially if combined with reproductive techniques to shorten the generation interval.&quot;,&quot;container-title-short&quot;:&quot;&quot;},&quot;isTemporary&quot;:false}]},{&quot;citationID&quot;:&quot;MENDELEY_CITATION_eeb81970-90ef-47ee-ad02-2bbe1e6d40e8&quot;,&quot;properties&quot;:{&quot;noteIndex&quot;:0},&quot;isEdited&quot;:false,&quot;manualOverride&quot;:{&quot;isManuallyOverridden&quot;:true,&quot;citeprocText&quot;:&quot;(Meuwissen, Hayes and Goddard, 2001)&quot;,&quot;manualOverrideText&quot;:&quot;Meuwissen, Hayes, and Goddard (2001)&quot;},&quot;citationTag&quot;:&quot;MENDELEY_CITATION_v3_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&quot;,&quot;citationItems&quot;:[{&quot;id&quot;:&quot;499db80c-44a7-30f6-9fe6-97857405d78a&quot;,&quot;itemData&quot;:{&quot;type&quot;:&quot;report&quot;,&quot;id&quot;:&quot;499db80c-44a7-30f6-9fe6-97857405d78a&quot;,&quot;title&quot;:&quot;Prediction of Total Genetic Value Using Genome-Wide Dense Marker Maps&quot;,&quot;author&quot;:[{&quot;family&quot;:&quot;Meuwissen&quot;,&quot;given&quot;:&quot;T H E&quot;,&quot;parse-names&quot;:false,&quot;dropping-particle&quot;:&quot;&quot;,&quot;non-dropping-particle&quot;:&quot;&quot;},{&quot;family&quot;:&quot;Hayes&quot;,&quot;given&quot;:&quot;B J&quot;,&quot;parse-names&quot;:false,&quot;dropping-particle&quot;:&quot;&quot;,&quot;non-dropping-particle&quot;:&quot;&quot;},{&quot;family&quot;:&quot;Goddard&quot;,&quot;given&quot;:&quot;M E&quot;,&quot;parse-names&quot;:false,&quot;dropping-particle&quot;:&quot;&quot;,&quot;non-dropping-particle&quot;:&quot;&quot;}],&quot;issued&quot;:{&quot;date-parts&quot;:[[2001]]},&quot;abstract&quot;:&quot;Recent advances in molecular genetic techniques will make dense marker maps available and genotyping many individuals for these markers feasible. Here we attempted to estimate the effects of 50,000 marker haplotypes simultaneously from a limited number of phenotypic records. A genome of 1000 cM was simulated with a marker spacing of 1 cM. The markers surrounding every 1-cM region were combined into marker haplotypes. Due to finite population size (N e 100), the marker haplotypes were in linkage disequilib-rium with the QTL located between the markers. Using least squares, all haplotype effects could not be estimated simultaneously. When only the biggest effects were included, they were overestimated and the accuracy of predicting genetic values of the offspring of the recorded animals was only 0.32. Best linear unbiased prediction of haplotype effects assumed equal variances associated to each 1-cM chromosomal segment, which yielded an accuracy of 0.73, although this assumption was far from true. Bayesian methods that assumed a prior distribution of the variance associated with each chromosome segment increased this accuracy to 0.85, even when the prior was not correct. It was concluded that selection on genetic values predicted from markers could substantially increase the rate of genetic gain in animals and plants, especially if combined with reproductive techniques to shorten the generation interval.&quot;,&quot;container-title-short&quot;:&quot;&quot;},&quot;isTemporary&quot;:false}]},{&quot;citationID&quot;:&quot;MENDELEY_CITATION_3fc8b08c-0864-4b81-9582-d7654b42fdd6&quot;,&quot;properties&quot;:{&quot;noteIndex&quot;:0},&quot;isEdited&quot;:false,&quot;manualOverride&quot;:{&quot;isManuallyOverridden&quot;:true,&quot;citeprocText&quot;:&quot;(de Los Campos &lt;i&gt;et al.&lt;/i&gt;, 2013)&quot;,&quot;manualOverrideText&quot;:&quot;de Los Campos et al. (2013)&quot;},&quot;citationTag&quot;:&quot;MENDELEY_CITATION_v3_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&quot;,&quot;citationItems&quot;:[{&quot;id&quot;:&quot;3f97fecf-99b0-36c7-a4fb-2d66ae37d6d5&quot;,&quot;itemData&quot;:{&quot;type&quot;:&quot;article-journal&quot;,&quot;id&quot;:&quot;3f97fecf-99b0-36c7-a4fb-2d66ae37d6d5&quot;,&quot;title&quot;:&quot;Genome-enabled prediction using the BLR (Bayesian Linear Regression) R-package&quot;,&quot;author&quot;:[{&quot;family&quot;:&quot;Los Campos&quot;,&quot;given&quot;:&quot;Gustavo&quot;,&quot;parse-names&quot;:false,&quot;dropping-particle&quot;:&quot;&quot;,&quot;non-dropping-particle&quot;:&quot;de&quot;},{&quot;family&quot;:&quot;Pérez&quot;,&quot;given&quot;:&quot;Paulino&quot;,&quot;parse-names&quot;:false,&quot;dropping-particle&quot;:&quot;&quot;,&quot;non-dropping-particle&quot;:&quot;&quot;},{&quot;family&quot;:&quot;Vazquez&quot;,&quot;given&quot;:&quot;Ana I.&quot;,&quot;parse-names&quot;:false,&quot;dropping-particle&quot;:&quot;&quot;,&quot;non-dropping-particle&quot;:&quot;&quot;},{&quot;family&quot;:&quot;Crossa&quot;,&quot;given&quot;:&quot;José&quot;,&quot;parse-names&quot;:false,&quot;dropping-particle&quot;:&quot;&quot;,&quot;non-dropping-particle&quot;:&quot;&quot;}],&quot;container-title&quot;:&quot;Methods in Molecular Biology&quot;,&quot;DOI&quot;:&quot;10.1007/978-1-62703-447-0_12&quot;,&quot;ISBN&quot;:&quot;9781627034463&quot;,&quot;ISSN&quot;:&quot;10643745&quot;,&quot;PMID&quot;:&quot;23756896&quot;,&quot;issued&quot;:{&quot;date-parts&quot;:[[2013]]},&quot;page&quot;:&quot;299-320&quot;,&quot;abstract&quot;:&quot;The BLR (Bayesian linear regression) package of R implements several Bayesian regression models for continuous traits. The package was originally developed for implementing the Bayesian LASSO (BL) of Park and Casella (J Am Stat Assoc 103(482):681-686, 2008), extended to accommodate fixed effects and regressions on pedigree using methods described by de los Campos et al. (Genetics 182(1):375-385, 2009). In 2010 we further developed the code into an R-package, reprogrammed some internal aspects of the algorithm in the C language to increase computational speed, and further documented the package (Plant Genome J 3(2):106-116, 2010). The first version of BLR was launched in 2010 and since then the package has been used for multiple publications and is being routinely used for genomic evaluations in some animal and plant breeding programs. In this article we review the models implemented by BLR and illustrate the use of the package with examples. © Springer Science+Business Media, LLC 2013.&quot;,&quot;publisher&quot;:&quot;Humana Press Inc.&quot;,&quot;volume&quot;:&quot;1019&quot;,&quot;container-title-short&quot;:&quot;&quot;},&quot;isTemporary&quot;:false}]},{&quot;citationID&quot;:&quot;MENDELEY_CITATION_283b3060-c06b-406e-ac82-c2e2bbbfa1cc&quot;,&quot;properties&quot;:{&quot;noteIndex&quot;:0},&quot;isEdited&quot;:false,&quot;manualOverride&quot;:{&quot;isManuallyOverridden&quot;:true,&quot;citeprocText&quot;:&quot;(Pérez and de Los Campos, 2014)&quot;,&quot;manualOverrideText&quot;:&quot;Pérez and de Los Campos (2014)&quot;},&quot;citationTag&quot;:&quot;MENDELEY_CITATION_v3_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&quot;,&quot;citationItems&quot;:[{&quot;id&quot;:&quot;540f602b-1298-3a13-a568-cb7bab89b81f&quot;,&quot;itemData&quot;:{&quot;type&quot;:&quot;article-journal&quot;,&quot;id&quot;:&quot;540f602b-1298-3a13-a568-cb7bab89b81f&quot;,&quot;title&quot;:&quot;Genome-wide regression and prediction with the BGLR statistical package&quot;,&quot;author&quot;:[{&quot;family&quot;:&quot;Pérez&quot;,&quot;given&quot;:&quot;Paulino&quot;,&quot;parse-names&quot;:false,&quot;dropping-particle&quot;:&quot;&quot;,&quot;non-dropping-particle&quot;:&quot;&quot;},{&quot;family&quot;:&quot;Los Campos&quot;,&quot;given&quot;:&quot;Gustavo&quot;,&quot;parse-names&quot;:false,&quot;dropping-particle&quot;:&quot;&quot;,&quot;non-dropping-particle&quot;:&quot;de&quot;}],&quot;container-title&quot;:&quot;Genetics&quot;,&quot;container-title-short&quot;:&quot;Genetics&quot;,&quot;DOI&quot;:&quot;10.1534/genetics.114.164442&quot;,&quot;ISSN&quot;:&quot;19432631&quot;,&quot;PMID&quot;:&quot;25009151&quot;,&quot;issued&quot;:{&quot;date-parts&quot;:[[2014,10,1]]},&quot;page&quot;:&quot;483-495&quot;,&quot;abstract&quot;:&quot;Many modern genomic data analyses require implementing regressions where the number of parameters (p, e.g., the number of marker effects) exceeds sample size (n). Implementing these large-p-with-small-n regressions poses several statistical and computational challenges, some of which can be confronted using Bayesian methods. This approach allows integrating various parametric and nonparametric shrinkage and variable selection procedures in a unified and consistent manner. The BGLR R-package implements a large collection of Bayesian regression models, including parametric variable selection and shrinkage methods and semiparametric procedures (Bayesian reproducing kernel Hilbert spaces regressions, RKHS). The software was originally developed for genomic applications; however, the methods implemented are useful for many nongenomic applications as well. The response can be continuous (censored or not) or categorical (either binary or ordinal). The algorithm is based on a Gibbs sampler with scalar updates and the implementation takes advantage of efficient compiled C and Fortran routines. In this article we describe the methods implemented in BGLR, present examples of the use of the package, and discuss practical issues emerging in real-data analysis.&quot;,&quot;publisher&quot;:&quot;Genetics Society of America&quot;,&quot;issue&quot;:&quot;2&quot;,&quot;volume&quot;:&quot;198&quot;},&quot;isTemporary&quot;:false}]},{&quot;citationID&quot;:&quot;MENDELEY_CITATION_986d521a-ca9e-4cd8-9c35-a524485eccb4&quot;,&quot;properties&quot;:{&quot;noteIndex&quot;:0},&quot;isEdited&quot;:false,&quot;manualOverride&quot;:{&quot;isManuallyOverridden&quot;:true,&quot;citeprocText&quot;:&quot;(de Los Campos &lt;i&gt;et al.&lt;/i&gt;, 2013)&quot;,&quot;manualOverrideText&quot;:&quot;de Los Campos et al. (2013)&quot;},&quot;citationTag&quot;:&quot;MENDELEY_CITATION_v3_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&quot;,&quot;citationItems&quot;:[{&quot;id&quot;:&quot;3f97fecf-99b0-36c7-a4fb-2d66ae37d6d5&quot;,&quot;itemData&quot;:{&quot;type&quot;:&quot;article-journal&quot;,&quot;id&quot;:&quot;3f97fecf-99b0-36c7-a4fb-2d66ae37d6d5&quot;,&quot;title&quot;:&quot;Genome-enabled prediction using the BLR (Bayesian Linear Regression) R-package&quot;,&quot;author&quot;:[{&quot;family&quot;:&quot;Los Campos&quot;,&quot;given&quot;:&quot;Gustavo&quot;,&quot;parse-names&quot;:false,&quot;dropping-particle&quot;:&quot;&quot;,&quot;non-dropping-particle&quot;:&quot;de&quot;},{&quot;family&quot;:&quot;Pérez&quot;,&quot;given&quot;:&quot;Paulino&quot;,&quot;parse-names&quot;:false,&quot;dropping-particle&quot;:&quot;&quot;,&quot;non-dropping-particle&quot;:&quot;&quot;},{&quot;family&quot;:&quot;Vazquez&quot;,&quot;given&quot;:&quot;Ana I.&quot;,&quot;parse-names&quot;:false,&quot;dropping-particle&quot;:&quot;&quot;,&quot;non-dropping-particle&quot;:&quot;&quot;},{&quot;family&quot;:&quot;Crossa&quot;,&quot;given&quot;:&quot;José&quot;,&quot;parse-names&quot;:false,&quot;dropping-particle&quot;:&quot;&quot;,&quot;non-dropping-particle&quot;:&quot;&quot;}],&quot;container-title&quot;:&quot;Methods in Molecular Biology&quot;,&quot;DOI&quot;:&quot;10.1007/978-1-62703-447-0_12&quot;,&quot;ISBN&quot;:&quot;9781627034463&quot;,&quot;ISSN&quot;:&quot;10643745&quot;,&quot;PMID&quot;:&quot;23756896&quot;,&quot;issued&quot;:{&quot;date-parts&quot;:[[2013]]},&quot;page&quot;:&quot;299-320&quot;,&quot;abstract&quot;:&quot;The BLR (Bayesian linear regression) package of R implements several Bayesian regression models for continuous traits. The package was originally developed for implementing the Bayesian LASSO (BL) of Park and Casella (J Am Stat Assoc 103(482):681-686, 2008), extended to accommodate fixed effects and regressions on pedigree using methods described by de los Campos et al. (Genetics 182(1):375-385, 2009). In 2010 we further developed the code into an R-package, reprogrammed some internal aspects of the algorithm in the C language to increase computational speed, and further documented the package (Plant Genome J 3(2):106-116, 2010). The first version of BLR was launched in 2010 and since then the package has been used for multiple publications and is being routinely used for genomic evaluations in some animal and plant breeding programs. In this article we review the models implemented by BLR and illustrate the use of the package with examples. © Springer Science+Business Media, LLC 2013.&quot;,&quot;publisher&quot;:&quot;Humana Press Inc.&quot;,&quot;volume&quot;:&quot;1019&quot;,&quot;container-title-short&quot;:&quot;&quot;},&quot;isTemporary&quot;:false}]},{&quot;citationID&quot;:&quot;MENDELEY_CITATION_3e26265d-086a-4a2a-a4ca-c2fc03f7be44&quot;,&quot;properties&quot;:{&quot;noteIndex&quot;:0},&quot;isEdited&quot;:false,&quot;manualOverride&quot;:{&quot;isManuallyOverridden&quot;:true,&quot;citeprocText&quot;:&quot;(Pérez and de Los Campos, 2014)&quot;,&quot;manualOverrideText&quot;:&quot;Pérez and de Los Campos (2014)&quot;},&quot;citationTag&quot;:&quot;MENDELEY_CITATION_v3_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&quot;,&quot;citationItems&quot;:[{&quot;id&quot;:&quot;540f602b-1298-3a13-a568-cb7bab89b81f&quot;,&quot;itemData&quot;:{&quot;type&quot;:&quot;article-journal&quot;,&quot;id&quot;:&quot;540f602b-1298-3a13-a568-cb7bab89b81f&quot;,&quot;title&quot;:&quot;Genome-wide regression and prediction with the BGLR statistical package&quot;,&quot;author&quot;:[{&quot;family&quot;:&quot;Pérez&quot;,&quot;given&quot;:&quot;Paulino&quot;,&quot;parse-names&quot;:false,&quot;dropping-particle&quot;:&quot;&quot;,&quot;non-dropping-particle&quot;:&quot;&quot;},{&quot;family&quot;:&quot;Los Campos&quot;,&quot;given&quot;:&quot;Gustavo&quot;,&quot;parse-names&quot;:false,&quot;dropping-particle&quot;:&quot;&quot;,&quot;non-dropping-particle&quot;:&quot;de&quot;}],&quot;container-title&quot;:&quot;Genetics&quot;,&quot;container-title-short&quot;:&quot;Genetics&quot;,&quot;DOI&quot;:&quot;10.1534/genetics.114.164442&quot;,&quot;ISSN&quot;:&quot;19432631&quot;,&quot;PMID&quot;:&quot;25009151&quot;,&quot;issued&quot;:{&quot;date-parts&quot;:[[2014,10,1]]},&quot;page&quot;:&quot;483-495&quot;,&quot;abstract&quot;:&quot;Many modern genomic data analyses require implementing regressions where the number of parameters (p, e.g., the number of marker effects) exceeds sample size (n). Implementing these large-p-with-small-n regressions poses several statistical and computational challenges, some of which can be confronted using Bayesian methods. This approach allows integrating various parametric and nonparametric shrinkage and variable selection procedures in a unified and consistent manner. The BGLR R-package implements a large collection of Bayesian regression models, including parametric variable selection and shrinkage methods and semiparametric procedures (Bayesian reproducing kernel Hilbert spaces regressions, RKHS). The software was originally developed for genomic applications; however, the methods implemented are useful for many nongenomic applications as well. The response can be continuous (censored or not) or categorical (either binary or ordinal). The algorithm is based on a Gibbs sampler with scalar updates and the implementation takes advantage of efficient compiled C and Fortran routines. In this article we describe the methods implemented in BGLR, present examples of the use of the package, and discuss practical issues emerging in real-data analysis.&quot;,&quot;publisher&quot;:&quot;Genetics Society of America&quot;,&quot;issue&quot;:&quot;2&quot;,&quot;volume&quot;:&quot;198&quot;},&quot;isTemporary&quot;:false}]},{&quot;citationID&quot;:&quot;MENDELEY_CITATION_a9b96c59-9adc-4d0c-91ff-b957507144a5&quot;,&quot;properties&quot;:{&quot;noteIndex&quot;:0},&quot;isEdited&quot;:false,&quot;manualOverride&quot;:{&quot;isManuallyOverridden&quot;:true,&quot;citeprocText&quot;:&quot;(de Los Campos &lt;i&gt;et al.&lt;/i&gt;, 2013)&quot;,&quot;manualOverrideText&quot;:&quot;de Los Campos et al. (2013)&quot;},&quot;citationTag&quot;:&quot;MENDELEY_CITATION_v3_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&quot;,&quot;citationItems&quot;:[{&quot;id&quot;:&quot;3f97fecf-99b0-36c7-a4fb-2d66ae37d6d5&quot;,&quot;itemData&quot;:{&quot;type&quot;:&quot;article-journal&quot;,&quot;id&quot;:&quot;3f97fecf-99b0-36c7-a4fb-2d66ae37d6d5&quot;,&quot;title&quot;:&quot;Genome-enabled prediction using the BLR (Bayesian Linear Regression) R-package&quot;,&quot;author&quot;:[{&quot;family&quot;:&quot;Los Campos&quot;,&quot;given&quot;:&quot;Gustavo&quot;,&quot;parse-names&quot;:false,&quot;dropping-particle&quot;:&quot;&quot;,&quot;non-dropping-particle&quot;:&quot;de&quot;},{&quot;family&quot;:&quot;Pérez&quot;,&quot;given&quot;:&quot;Paulino&quot;,&quot;parse-names&quot;:false,&quot;dropping-particle&quot;:&quot;&quot;,&quot;non-dropping-particle&quot;:&quot;&quot;},{&quot;family&quot;:&quot;Vazquez&quot;,&quot;given&quot;:&quot;Ana I.&quot;,&quot;parse-names&quot;:false,&quot;dropping-particle&quot;:&quot;&quot;,&quot;non-dropping-particle&quot;:&quot;&quot;},{&quot;family&quot;:&quot;Crossa&quot;,&quot;given&quot;:&quot;José&quot;,&quot;parse-names&quot;:false,&quot;dropping-particle&quot;:&quot;&quot;,&quot;non-dropping-particle&quot;:&quot;&quot;}],&quot;container-title&quot;:&quot;Methods in Molecular Biology&quot;,&quot;DOI&quot;:&quot;10.1007/978-1-62703-447-0_12&quot;,&quot;ISBN&quot;:&quot;9781627034463&quot;,&quot;ISSN&quot;:&quot;10643745&quot;,&quot;PMID&quot;:&quot;23756896&quot;,&quot;issued&quot;:{&quot;date-parts&quot;:[[2013]]},&quot;page&quot;:&quot;299-320&quot;,&quot;abstract&quot;:&quot;The BLR (Bayesian linear regression) package of R implements several Bayesian regression models for continuous traits. The package was originally developed for implementing the Bayesian LASSO (BL) of Park and Casella (J Am Stat Assoc 103(482):681-686, 2008), extended to accommodate fixed effects and regressions on pedigree using methods described by de los Campos et al. (Genetics 182(1):375-385, 2009). In 2010 we further developed the code into an R-package, reprogrammed some internal aspects of the algorithm in the C language to increase computational speed, and further documented the package (Plant Genome J 3(2):106-116, 2010). The first version of BLR was launched in 2010 and since then the package has been used for multiple publications and is being routinely used for genomic evaluations in some animal and plant breeding programs. In this article we review the models implemented by BLR and illustrate the use of the package with examples. © Springer Science+Business Media, LLC 2013.&quot;,&quot;publisher&quot;:&quot;Humana Press Inc.&quot;,&quot;volume&quot;:&quot;1019&quot;,&quot;container-title-short&quot;:&quot;&quot;},&quot;isTemporary&quot;:false}]},{&quot;citationID&quot;:&quot;MENDELEY_CITATION_666af93d-bf4f-4ca6-8b98-2aee56b22f06&quot;,&quot;properties&quot;:{&quot;noteIndex&quot;:0},&quot;isEdited&quot;:false,&quot;manualOverride&quot;:{&quot;isManuallyOverridden&quot;:true,&quot;citeprocText&quot;:&quot;(Covarrubias-Pazaran, 2016)&quot;,&quot;manualOverrideText&quot;:&quot;Covarrubias-Pazaran (2016)&quot;},&quot;citationTag&quot;:&quot;MENDELEY_CITATION_v3_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&quot;,&quot;citationItems&quot;:[{&quot;id&quot;:&quot;45844311-dde4-3151-b3a8-14da16872b5f&quot;,&quot;itemData&quot;:{&quot;type&quot;:&quot;article-journal&quot;,&quot;id&quot;:&quot;45844311-dde4-3151-b3a8-14da16872b5f&quot;,&quot;title&quot;:&quot;Genome-Assisted prediction of quantitative traits using the r package sommer&quot;,&quot;author&quot;:[{&quot;family&quot;:&quot;Covarrubias-Pazaran&quot;,&quot;given&quot;:&quot;Giovanny&quot;,&quot;parse-names&quot;:false,&quot;dropping-particle&quot;:&quot;&quot;,&quot;non-dropping-particle&quot;:&quot;&quot;}],&quot;container-title&quot;:&quot;PLoS ONE&quot;,&quot;container-title-short&quot;:&quot;PLoS One&quot;,&quot;DOI&quot;:&quot;10.1371/journal.pone.0156744&quot;,&quot;ISSN&quot;:&quot;19326203&quot;,&quot;PMID&quot;:&quot;27271781&quot;,&quot;issued&quot;:{&quot;date-parts&quot;:[[2016,6,1]]},&quot;abstract&quot;:&quot;Most traits of agronomic importance are quantitative in nature, and genetic markers have been used for decades to dissect such traits. Recently, genomic selection has earned attention as next generation sequencing technologies became feasible for major and minor crops. Mixed models have become a key tool for fitting genomic selection models, but most current genomic selection software can only include a single variance component other than the error, making hybrid prediction using additive, dominance and epistatic effects unfeasible for species displaying heterotic effects. Moreover, Likelihood-based software for fitting mixed models with multiple random effects that allows the user to specify the variance-covariance structure of random effects has not been fully exploited. A new opensource R package called sommer is presented to facilitate the use of mixed models for genomic selection and hybrid prediction purposes using more than one variance component and allowing specification of covariance structures. The use of sommer for genomic prediction is demonstrated through several examples using maize and wheat genotypic and phenotypic data. At its core, the program contains three algorithms for estimating variance components: Average information (AI), Expectation-Maximization (EM) and Efficient Mixed Model Association (EMMA). Kernels for calculating the additive, dominance and epistatic relationship matrices are included, along with other useful functions for genomic analysis. Results from sommer were comparable to other software, but the analysis was faster than Bayesian counterparts in the magnitude of hours to days. In addition, ability to deal with missing data, combined with greater flexibility and speed than other REML-based software was achieved by putting together some of the most efficient algorithms to fit models in a gentle environment such as R.&quot;,&quot;publisher&quot;:&quot;Public Library of Science&quot;,&quot;issue&quot;:&quot;6&quot;,&quot;volume&quot;:&quot;11&quot;},&quot;isTemporary&quot;:false}]},{&quot;citationID&quot;:&quot;MENDELEY_CITATION_1e5f6044-93c3-49c5-b3e9-e7ccd2030c94&quot;,&quot;properties&quot;:{&quot;noteIndex&quot;:0},&quot;isEdited&quot;:false,&quot;manualOverride&quot;:{&quot;isManuallyOverridden&quot;:true,&quot;citeprocText&quot;:&quot;(Gianola and van Kaam, 2008)&quot;,&quot;manualOverrideText&quot;:&quot;Gianola and van Kaam (2008)&quot;},&quot;citationTag&quot;:&quot;MENDELEY_CITATION_v3_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&quot;,&quot;citationItems&quot;:[{&quot;id&quot;:&quot;7f00a6cd-8d70-3ec0-a29a-00d7c1ea9744&quot;,&quot;itemData&quot;:{&quot;type&quot;:&quot;article-journal&quot;,&quot;id&quot;:&quot;7f00a6cd-8d70-3ec0-a29a-00d7c1ea9744&quot;,&quot;title&quot;:&quot;Reproducing kernel Hilbert spaces regression methods for genomic assisted prediction of quantitative traits&quot;,&quot;author&quot;:[{&quot;family&quot;:&quot;Gianola&quot;,&quot;given&quot;:&quot;Daniel&quot;,&quot;parse-names&quot;:false,&quot;dropping-particle&quot;:&quot;&quot;,&quot;non-dropping-particle&quot;:&quot;&quot;},{&quot;family&quot;:&quot;Kaam&quot;,&quot;given&quot;:&quot;Johannes B.C.H.M.&quot;,&quot;parse-names&quot;:false,&quot;dropping-particle&quot;:&quot;&quot;,&quot;non-dropping-particle&quot;:&quot;van&quot;}],&quot;container-title&quot;:&quot;Genetics&quot;,&quot;container-title-short&quot;:&quot;Genetics&quot;,&quot;DOI&quot;:&quot;10.1534/genetics.107.084285&quot;,&quot;ISSN&quot;:&quot;00166731&quot;,&quot;PMID&quot;:&quot;18430950&quot;,&quot;issued&quot;:{&quot;date-parts&quot;:[[2008]]},&quot;page&quot;:&quot;2289-2303&quot;,&quot;abstract&quot;:&quot;Reproducing kernel Hilbert spaces regression procedures for prediction of total genetic value for quantitative traits, which make use of phenotypic and genomic data simultaneously, are discussed from a theoretical perspective. It is argued that a nonparametric treatment may be needed for capturing the multiple and complex interactions potentially arising in whole-genome models, i.e., those based on thousands of single-nucleotide polymorphism (SNP) markers. After a review of reproducing kernel Hilbert spaces regression, it is shown that the statistical specification admits a standard mixed-effects linear model representation, with smoothing parameters treated as variance components. Models for capturing different forms of interaction, e.g., chromosome-specific, are presented. Implementations can be carried out using software for likelihood-based or Bayesian inference. Copyright © 2008 by the Genetics Society of America.&quot;,&quot;issue&quot;:&quot;4&quot;,&quot;volume&quot;:&quot;178&quot;},&quot;isTemporary&quot;:false}]},{&quot;citationID&quot;:&quot;MENDELEY_CITATION_0aafb752-31d1-4e7f-b87d-d5972a21141e&quot;,&quot;properties&quot;:{&quot;noteIndex&quot;:0},&quot;isEdited&quot;:false,&quot;manualOverride&quot;:{&quot;isManuallyOverridden&quot;:true,&quot;citeprocText&quot;:&quot;(Meuwissen, Hayes and Goddard, 2001)&quot;,&quot;manualOverrideText&quot;:&quot;Meuwissen, Hayes, and Goddard (2001)&quot;},&quot;citationTag&quot;:&quot;MENDELEY_CITATION_v3_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&quot;,&quot;citationItems&quot;:[{&quot;id&quot;:&quot;499db80c-44a7-30f6-9fe6-97857405d78a&quot;,&quot;itemData&quot;:{&quot;type&quot;:&quot;report&quot;,&quot;id&quot;:&quot;499db80c-44a7-30f6-9fe6-97857405d78a&quot;,&quot;title&quot;:&quot;Prediction of Total Genetic Value Using Genome-Wide Dense Marker Maps&quot;,&quot;author&quot;:[{&quot;family&quot;:&quot;Meuwissen&quot;,&quot;given&quot;:&quot;T H E&quot;,&quot;parse-names&quot;:false,&quot;dropping-particle&quot;:&quot;&quot;,&quot;non-dropping-particle&quot;:&quot;&quot;},{&quot;family&quot;:&quot;Hayes&quot;,&quot;given&quot;:&quot;B J&quot;,&quot;parse-names&quot;:false,&quot;dropping-particle&quot;:&quot;&quot;,&quot;non-dropping-particle&quot;:&quot;&quot;},{&quot;family&quot;:&quot;Goddard&quot;,&quot;given&quot;:&quot;M E&quot;,&quot;parse-names&quot;:false,&quot;dropping-particle&quot;:&quot;&quot;,&quot;non-dropping-particle&quot;:&quot;&quot;}],&quot;issued&quot;:{&quot;date-parts&quot;:[[2001]]},&quot;abstract&quot;:&quot;Recent advances in molecular genetic techniques will make dense marker maps available and genotyping many individuals for these markers feasible. Here we attempted to estimate the effects of 50,000 marker haplotypes simultaneously from a limited number of phenotypic records. A genome of 1000 cM was simulated with a marker spacing of 1 cM. The markers surrounding every 1-cM region were combined into marker haplotypes. Due to finite population size (N e 100), the marker haplotypes were in linkage disequilib-rium with the QTL located between the markers. Using least squares, all haplotype effects could not be estimated simultaneously. When only the biggest effects were included, they were overestimated and the accuracy of predicting genetic values of the offspring of the recorded animals was only 0.32. Best linear unbiased prediction of haplotype effects assumed equal variances associated to each 1-cM chromosomal segment, which yielded an accuracy of 0.73, although this assumption was far from true. Bayesian methods that assumed a prior distribution of the variance associated with each chromosome segment increased this accuracy to 0.85, even when the prior was not correct. It was concluded that selection on genetic values predicted from markers could substantially increase the rate of genetic gain in animals and plants, especially if combined with reproductive techniques to shorten the generation interval.&quot;,&quot;container-title-short&quot;:&quot;&quot;},&quot;isTemporary&quot;:false}]},{&quot;citationID&quot;:&quot;MENDELEY_CITATION_0a0d0a90-8861-432d-bf3c-f6239e2f5738&quot;,&quot;properties&quot;:{&quot;noteIndex&quot;:0},&quot;isEdited&quot;:false,&quot;manualOverride&quot;:{&quot;isManuallyOverridden&quot;:true,&quot;citeprocText&quot;:&quot;(VanRaden, 2008)&quot;,&quot;manualOverrideText&quot;:&quot;VanRaden (2008)&quot;},&quot;citationTag&quot;:&quot;MENDELEY_CITATION_v3_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&quot;,&quot;citationItems&quot;:[{&quot;id&quot;:&quot;ae7991f7-d524-3899-a636-34d11aaefdf8&quot;,&quot;itemData&quot;:{&quot;type&quot;:&quot;article-journal&quot;,&quot;id&quot;:&quot;ae7991f7-d524-3899-a636-34d11aaefdf8&quot;,&quot;title&quot;:&quot;Efficient methods to compute genomic predictions&quot;,&quot;author&quot;:[{&quot;family&quot;:&quot;VanRaden&quot;,&quot;given&quot;:&quot;P. M.&quot;,&quot;parse-names&quot;:false,&quot;dropping-particle&quot;:&quot;&quot;,&quot;non-dropping-particle&quot;:&quot;&quot;}],&quot;container-title&quot;:&quot;Journal of Dairy Science&quot;,&quot;container-title-short&quot;:&quot;J Dairy Sci&quot;,&quot;DOI&quot;:&quot;10.3168/jds.2007-0980&quot;,&quot;ISSN&quot;:&quot;15253198&quot;,&quot;PMID&quot;:&quot;18946147&quot;,&quot;issued&quot;:{&quot;date-parts&quot;:[[2008]]},&quot;page&quot;:&quot;4414-4423&quot;,&quot;abstract&quot;:&quot;Efficient methods for processing genomic data were developed to increase reliability of estimated breeding values and to estimate thousands of marker effects simultaneously. Algorithms were derived and computer programs tested with simulated data for 2,967 bulls and 50,000 markers distributed randomly across 30 chromosomes. Estimation of genomic inbreeding coefficients required accurate estimates of allele frequencies in the base population. Linear model predictions of breeding values were computed by 3 equivalent methods: 1) iteration for individual allele effects followed by summation across loci to obtain estimated breeding values, 2) selection index including a genomic relationship matrix, and 3) mixed model equations including the inverse of genomic relationships. A blend of first-and second-order Jacobi iteration using 2 separate relaxation factors converged well for allele frequencies and effects. Reliability of predicted net merit for young bulls was 63% compared with 32% using the traditional relationship matrix. Nonlinear predictions were also computed using iteration on data and nonlinear regression on marker deviations; an additional (about 3%) gain in reliability for young bulls increased average reliability to 66%. Computing times increased linearly with number of genotypes. Estimation of allele frequencies required 2 processor days, and genomic predictions required &lt;1 d per trait, and traits were processed in parallel. Information from genotyping was equivalent to about 20 daughters with phenotypic records. Actual gains may differ because the simulation did not account for linkage disequilibrium in the base population or selection in subsequent generations. © American Dairy Science Association, 2008.&quot;,&quot;publisher&quot;:&quot;Elsevier Inc.&quot;,&quot;issue&quot;:&quot;11&quot;,&quot;volume&quot;:&quot;91&quot;},&quot;isTemporary&quot;:false}]},{&quot;citationID&quot;:&quot;MENDELEY_CITATION_1f8eaaca-bd91-4a82-9115-78a3a5f03deb&quot;,&quot;properties&quot;:{&quot;noteIndex&quot;:0},&quot;isEdited&quot;:false,&quot;manualOverride&quot;:{&quot;isManuallyOverridden&quot;:true,&quot;citeprocText&quot;:&quot;(Ollinger, 2011)&quot;,&quot;manualOverrideText&quot;:&quot;Ollinger (2011)&quot;},&quot;citationTag&quot;:&quot;MENDELEY_CITATION_v3_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&quot;,&quot;citationItems&quot;:[{&quot;id&quot;:&quot;c377cf4c-8dde-305a-a4ac-7fc5835d9b15&quot;,&quot;itemData&quot;:{&quot;type&quot;:&quot;article&quot;,&quot;id&quot;:&quot;c377cf4c-8dde-305a-a4ac-7fc5835d9b15&quot;,&quot;title&quot;:&quot;Sources of variability in canopy reflectance and the convergent properties of plants&quot;,&quot;author&quot;:[{&quot;family&quot;:&quot;Ollinger&quot;,&quot;given&quot;:&quot;S.&quot;,&quot;parse-names&quot;:false,&quot;dropping-particle&quot;:&quot;v.&quot;,&quot;non-dropping-particle&quot;:&quot;&quot;}],&quot;container-title&quot;:&quot;New Phytologist&quot;,&quot;DOI&quot;:&quot;10.1111/j.1469-8137.2010.03536.x&quot;,&quot;ISSN&quot;:&quot;0028646X&quot;,&quot;PMID&quot;:&quot;21083563&quot;,&quot;issued&quot;:{&quot;date-parts&quot;:[[2011,1]]},&quot;page&quot;:&quot;375-394&quot;,&quot;abstract&quot;:&quot;How plants interact with sunlight is central to the existence of life and provides a window to the functioning of ecosystems. Although the basic properties of leaf spectra have been known for decades, interpreting canopy-level spectra is more challenging because leaf-level effects are complicated by a host of stem- and canopy-level traits. Progress has been made through empirical analyses and models, although both methods have been hampered by a series of persistent challenges. Here, I review current understanding of plant spectral properties with respect to sources of uncertainty at leaf to canopy scales. I also discuss the role of evolutionary convergence in plant functioning and the difficulty of identifying individual properties among a suite of interrelated traits. A pattern that emerges suggests a synergy among the scattering effects of leaf-, stem- and canopy-level traits that becomes most apparent in the near-infrared (NIR) region. This explains the widespread and well-known importance of the NIR region in vegetation remote sensing, but presents an interesting paradox that has yet to be fully explored: that we can often gain more insight about the functioning of plants by examining wavelengths that are not used in photosynthesis than by examining those that are. © 2010 The Author. New Phytologist © 2010 New Phytologist Trust.&quot;,&quot;issue&quot;:&quot;2&quot;,&quot;volume&quot;:&quot;189&quot;,&quot;container-title-short&quot;:&quot;&quot;},&quot;isTemporary&quot;:false}]},{&quot;citationID&quot;:&quot;MENDELEY_CITATION_c2a748d3-83bd-4d71-a64d-6c3b7e198661&quot;,&quot;properties&quot;:{&quot;noteIndex&quot;:0},&quot;isEdited&quot;:false,&quot;manualOverride&quot;:{&quot;isManuallyOverridden&quot;:true,&quot;citeprocText&quot;:&quot;(Arya &lt;i&gt;et al.&lt;/i&gt;, 2022)&quot;,&quot;manualOverrideText&quot;:&quot;Arya et al. (2022)&quot;},&quot;citationTag&quot;:&quot;MENDELEY_CITATION_v3_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&quot;,&quot;citationItems&quot;:[{&quot;id&quot;:&quot;287862da-d90a-3a5a-8244-8d3a2ea277ab&quot;,&quot;itemData&quot;:{&quot;type&quot;:&quot;article&quot;,&quot;id&quot;:&quot;287862da-d90a-3a5a-8244-8d3a2ea277ab&quot;,&quot;title&quot;:&quot;Deep learning: as the new frontier in high-throughput plant phenotyping&quot;,&quot;author&quot;:[{&quot;family&quot;:&quot;Arya&quot;,&quot;given&quot;:&quot;Sunny&quot;,&quot;parse-names&quot;:false,&quot;dropping-particle&quot;:&quot;&quot;,&quot;non-dropping-particle&quot;:&quot;&quot;},{&quot;family&quot;:&quot;Sandhu&quot;,&quot;given&quot;:&quot;Karansher Singh&quot;,&quot;parse-names&quot;:false,&quot;dropping-particle&quot;:&quot;&quot;,&quot;non-dropping-particle&quot;:&quot;&quot;},{&quot;family&quot;:&quot;Singh&quot;,&quot;given&quot;:&quot;Jagmohan&quot;,&quot;parse-names&quot;:false,&quot;dropping-particle&quot;:&quot;&quot;,&quot;non-dropping-particle&quot;:&quot;&quot;},{&quot;family&quot;:&quot;kumar&quot;,&quot;given&quot;:&quot;Sudhir&quot;,&quot;parse-names&quot;:false,&quot;dropping-particle&quot;:&quot;&quot;,&quot;non-dropping-particle&quot;:&quot;&quot;}],&quot;container-title&quot;:&quot;Euphytica&quot;,&quot;DOI&quot;:&quot;10.1007/s10681-022-02992-3&quot;,&quot;ISSN&quot;:&quot;15735060&quot;,&quot;issued&quot;:{&quot;date-parts&quot;:[[2022,4,1]]},&quot;abstract&quot;:&quot;With climate change and ever-increasing population growth, the pace of varietal development needs to be accelerated in order to feed a population of 10 billion by 2050. Non-invasive high-throughput plant phenotyping (HTP) using advanced imaging technology has capabilities to boost the varietal development process. The tremendous data generated with sensor aided HTP have created the big data and problem in the downstream data analysis pipeline. The higher-level abstraction achieved on high dimensional data by multiple hidden layers for function approximation have made deep learning applications in HTP of significant interest. Application of deep learning models to enhance image-based throughput in phenotyping is an emerging and dynamic area of research in plant phenomics. In this comprehensive review we highlighted the recent developments in the field of deep learning application for HTP. The deep learning principles are described and contextualized relative to machine learning and conventional computer vision algorithms. Novel and emerging deep learning applications are identified. Recommendations are provided with the intent of choosing the most suitable models and training strategy for the capturing and predicting sensor-based phenotyping traits. It also includes steps and suggestions for the development and eventual deployment of such models for multi-task phenotyping. Public datasets have been identified and these datasets are reported which can be used for model training and benchmarking. Overall, this study provided a comprehensive overview of deep learning, it’s application in plant phenomics, potential barriers and scope of improvement.&quot;,&quot;publisher&quot;:&quot;Springer Science and Business Media B.V.&quot;,&quot;issue&quot;:&quot;4&quot;,&quot;volume&quot;:&quot;218&quot;,&quot;container-title-short&quot;:&quot;&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9853E2D982AA84CA9C81BE1BEA64D6E" ma:contentTypeVersion="11" ma:contentTypeDescription="Opprett et nytt dokument." ma:contentTypeScope="" ma:versionID="d3efcaf39cce6c077fd3fda141ed8322">
  <xsd:schema xmlns:xsd="http://www.w3.org/2001/XMLSchema" xmlns:xs="http://www.w3.org/2001/XMLSchema" xmlns:p="http://schemas.microsoft.com/office/2006/metadata/properties" xmlns:ns2="f00eac90-9263-4687-88de-28426618b069" targetNamespace="http://schemas.microsoft.com/office/2006/metadata/properties" ma:root="true" ma:fieldsID="8a8cb279e93dffcbc49d96f8f01847f1" ns2:_="">
    <xsd:import namespace="f00eac90-9263-4687-88de-28426618b0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eac90-9263-4687-88de-28426618b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0C8CBC-580B-4ECF-89B9-635011834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eac90-9263-4687-88de-28426618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C556D8-DC82-4996-B0FD-FF51BC3A5437}">
  <ds:schemaRefs>
    <ds:schemaRef ds:uri="http://schemas.openxmlformats.org/officeDocument/2006/bibliography"/>
  </ds:schemaRefs>
</ds:datastoreItem>
</file>

<file path=customXml/itemProps3.xml><?xml version="1.0" encoding="utf-8"?>
<ds:datastoreItem xmlns:ds="http://schemas.openxmlformats.org/officeDocument/2006/customXml" ds:itemID="{6F4E01F3-8EA8-4307-9BF6-318AC81F11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BB892E-7FE7-4E48-9533-9D469A59DB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art.dotx</Template>
  <TotalTime>4</TotalTime>
  <Pages>10</Pages>
  <Words>819</Words>
  <Characters>4672</Characters>
  <Application>Microsoft Office Word</Application>
  <DocSecurity>0</DocSecurity>
  <Lines>38</Lines>
  <Paragraphs>10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Tomasz Mroz</cp:lastModifiedBy>
  <cp:revision>3</cp:revision>
  <cp:lastPrinted>2023-03-24T10:16:00Z</cp:lastPrinted>
  <dcterms:created xsi:type="dcterms:W3CDTF">2023-08-28T10:28:00Z</dcterms:created>
  <dcterms:modified xsi:type="dcterms:W3CDTF">2023-08-28T10:32:00Z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0x01010079853E2D982AA84CA9C81BE1BEA64D6E</vt:lpwstr>
  </property>
  <property fmtid="{D5CDD505-2E9C-101B-9397-08002B2CF9AE}" pid="3" name="MSIP_Label_d0484126-3486-41a9-802e-7f1e2277276c_Enabled">
    <vt:lpwstr>true</vt:lpwstr>
  </property>
  <property fmtid="{D5CDD505-2E9C-101B-9397-08002B2CF9AE}" pid="4" name="MSIP_Label_d0484126-3486-41a9-802e-7f1e2277276c_SetDate">
    <vt:lpwstr>2023-03-02T11:05:08Z</vt:lpwstr>
  </property>
  <property fmtid="{D5CDD505-2E9C-101B-9397-08002B2CF9AE}" pid="5" name="MSIP_Label_d0484126-3486-41a9-802e-7f1e2277276c_Method">
    <vt:lpwstr>Standard</vt:lpwstr>
  </property>
  <property fmtid="{D5CDD505-2E9C-101B-9397-08002B2CF9AE}" pid="6" name="MSIP_Label_d0484126-3486-41a9-802e-7f1e2277276c_Name">
    <vt:lpwstr>d0484126-3486-41a9-802e-7f1e2277276c</vt:lpwstr>
  </property>
  <property fmtid="{D5CDD505-2E9C-101B-9397-08002B2CF9AE}" pid="7" name="MSIP_Label_d0484126-3486-41a9-802e-7f1e2277276c_SiteId">
    <vt:lpwstr>eec01f8e-737f-43e3-9ed5-f8a59913bd82</vt:lpwstr>
  </property>
  <property fmtid="{D5CDD505-2E9C-101B-9397-08002B2CF9AE}" pid="8" name="MSIP_Label_d0484126-3486-41a9-802e-7f1e2277276c_ActionId">
    <vt:lpwstr>efde0d18-2185-4966-88be-37595244a26e</vt:lpwstr>
  </property>
  <property fmtid="{D5CDD505-2E9C-101B-9397-08002B2CF9AE}" pid="9" name="MSIP_Label_d0484126-3486-41a9-802e-7f1e2277276c_ContentBits">
    <vt:lpwstr>0</vt:lpwstr>
  </property>
</Properties>
</file>