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419A" w:rsidRDefault="00ED2DCE" w:rsidP="00ED2DCE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ED2DCE">
        <w:rPr>
          <w:rFonts w:asciiTheme="majorBidi" w:hAnsiTheme="majorBidi" w:cstheme="majorBidi"/>
          <w:b/>
          <w:bCs/>
          <w:sz w:val="28"/>
          <w:szCs w:val="28"/>
        </w:rPr>
        <w:t>Supplementary materials</w:t>
      </w:r>
    </w:p>
    <w:p w:rsidR="00ED2DCE" w:rsidRDefault="00ED2DCE" w:rsidP="00ED2DCE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ED2DCE" w:rsidRDefault="00ED2DCE" w:rsidP="00ED2DCE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bidiVisual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463"/>
        <w:gridCol w:w="2070"/>
        <w:gridCol w:w="2070"/>
        <w:gridCol w:w="2148"/>
      </w:tblGrid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bookmarkStart w:id="0" w:name="_Hlk120391283"/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P-value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Post-Op (%)</w:t>
            </w:r>
          </w:p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Median (IQR)</w:t>
            </w:r>
          </w:p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Mean (95%CI)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Pre-Op (%)</w:t>
            </w:r>
          </w:p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 xml:space="preserve">Median (IQR) </w:t>
            </w:r>
          </w:p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Mean (95%CI)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Vascular Density Region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0.527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33.1(30.4-40.6)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33.6(30.3-36.2)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Whole image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0.210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41.2(36.2-43.4)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38.8(34.3-42.3)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Inside disk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0.329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32.2(28.7-40.7)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33.2(29.4-39.0)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Peripapillary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0.284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31.5(28.3-41.0)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33.3(29.1-39.6)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Superior hemifield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0.733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34.0(28.0-41.0)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33.6(27.3-37.6)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Inferior hemifield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0.168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27.7(23.8-44.9)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29.8(27.5-40.8)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 xml:space="preserve">Inferior </w:t>
            </w:r>
            <w:r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N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asal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0.399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34.0(22.8-53.7)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31.3(22.6-47.8)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u w:val="single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Inferior temporal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0.592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29.0(24.6-45.9)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29.2(24.7-39.7)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Superior temporal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0.192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27.6(23.5-32.7)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27.8(25.3-32.4)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 xml:space="preserve">Superior </w:t>
            </w:r>
            <w:r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N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asal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0.116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42.0(38.6-45.3)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39.0(36.0-42.1)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Temporal inferior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0.566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42.9(39.1-46.8)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41.9(37.9-45.9)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Temporal superior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0.490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32.4(28.7-36.2)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33.4(29.8-36.9)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Nasal superior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0.910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33.6(29.6-37.6)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33.5(29.6-37.3)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Nasal inferior</w:t>
            </w:r>
          </w:p>
        </w:tc>
      </w:tr>
    </w:tbl>
    <w:bookmarkEnd w:id="0"/>
    <w:p w:rsidR="00ED2DCE" w:rsidRPr="00D21D56" w:rsidRDefault="00ED2DCE" w:rsidP="00ED2DCE">
      <w:pPr>
        <w:pStyle w:val="Caption"/>
        <w:jc w:val="both"/>
        <w:rPr>
          <w:rFonts w:asciiTheme="majorBidi" w:hAnsiTheme="majorBidi" w:cstheme="majorBidi"/>
          <w:i w:val="0"/>
          <w:iCs w:val="0"/>
          <w:color w:val="000000"/>
          <w:sz w:val="40"/>
          <w:szCs w:val="40"/>
        </w:rPr>
      </w:pPr>
      <w:r>
        <w:rPr>
          <w:rFonts w:asciiTheme="majorBidi" w:hAnsiTheme="majorBidi" w:cstheme="majorBidi"/>
          <w:color w:val="000000"/>
          <w:sz w:val="28"/>
          <w:szCs w:val="28"/>
        </w:rPr>
        <w:t>Appendix.1</w:t>
      </w:r>
      <w:r w:rsidRPr="00D21D56">
        <w:rPr>
          <w:rFonts w:asciiTheme="majorBidi" w:hAnsiTheme="majorBidi" w:cstheme="majorBidi"/>
          <w:i w:val="0"/>
          <w:iCs w:val="0"/>
          <w:sz w:val="24"/>
          <w:szCs w:val="24"/>
        </w:rPr>
        <w:t xml:space="preserve"> The peripapillary vascular density comparison before and after deep sclerotomy (t: Parametric data analyzed by Paired student t-Test, w: Nonparametric data analyzed by Wilcoxon Test)</w:t>
      </w:r>
    </w:p>
    <w:p w:rsidR="00ED2DCE" w:rsidRDefault="00ED2DCE" w:rsidP="00ED2DCE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ED2DCE" w:rsidRDefault="00ED2DCE" w:rsidP="00ED2DCE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ED2DCE" w:rsidRDefault="00ED2DCE" w:rsidP="00ED2DCE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ED2DCE" w:rsidRDefault="00ED2DCE" w:rsidP="00ED2DCE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bidiVisual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463"/>
        <w:gridCol w:w="2070"/>
        <w:gridCol w:w="2070"/>
        <w:gridCol w:w="2148"/>
      </w:tblGrid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lastRenderedPageBreak/>
              <w:t>P-value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Post-Op (%)</w:t>
            </w:r>
          </w:p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Median (IQR)</w:t>
            </w:r>
          </w:p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Mean (95%CI)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Pre-Op (%)</w:t>
            </w:r>
          </w:p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 xml:space="preserve">Median (IQR) </w:t>
            </w:r>
          </w:p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Mean (95%CI)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Vascular Density Region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0.677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13.0(7.3-17.7)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12.7(8.3-16.4)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Fovea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0.250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39.0(35.5-42.5)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40.9(38.7-43.1)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Para Foveal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0.366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39.2(35.7-42.6)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40.6(38.0-43.1)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Superior hemifield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0.234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38.9(35.0-42.8)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41.2(39.0-43.5)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Inferior hemifield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0.445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41.8(33.1-45.1)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39.2(37.7-45.3)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Temporal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0.961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40.8(37.6-44.0)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40.9(38.1-43.7)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Superior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0.626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41.0(33.1-45.8)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41.3(31.9-44.6)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u w:val="single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Nasal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0.102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38.9(34.9-42.8)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42.6(40.1-45.1)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Inferior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0.125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35.6(32.5-38.7)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37.5(35.2-39.8)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rtl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  <w:t>Peri Foveal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0.171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35.7(32.6-38.7)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37.2(35.1-39.2)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Superior hemifield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0.120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35.5(32.3-38.7)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37.8(35.0-40.7)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Inferior hemifield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0.194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w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33.4(30.7-36.4)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33.9(32.4-38.5)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Temporal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0.134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34.9(31.7-38.1)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36.8(34.5-39.2)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Superior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0.803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39.7(36.5-43.0)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40.1(37.5-42.7)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Nasal</w:t>
            </w:r>
          </w:p>
        </w:tc>
      </w:tr>
      <w:tr w:rsidR="00ED2DCE" w:rsidRPr="00D21D56" w:rsidTr="001C54A4">
        <w:trPr>
          <w:jc w:val="center"/>
        </w:trPr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0.097</w:t>
            </w: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vertAlign w:val="superscript"/>
                <w:lang w:bidi="fa-IR"/>
              </w:rPr>
              <w:t>t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34.7(31.0-38.4)</w:t>
            </w:r>
          </w:p>
        </w:tc>
        <w:tc>
          <w:tcPr>
            <w:tcW w:w="20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37.5(34.5-40.6)</w:t>
            </w:r>
          </w:p>
        </w:tc>
        <w:tc>
          <w:tcPr>
            <w:tcW w:w="2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D2DCE" w:rsidRPr="00D21D56" w:rsidRDefault="00ED2DCE" w:rsidP="001C54A4">
            <w:pPr>
              <w:pStyle w:val="Heading1"/>
              <w:keepNext/>
              <w:spacing w:before="120" w:after="120" w:line="276" w:lineRule="auto"/>
              <w:jc w:val="center"/>
              <w:rPr>
                <w:rFonts w:asciiTheme="majorBidi" w:eastAsiaTheme="minorEastAsia" w:hAnsiTheme="majorBidi" w:cstheme="majorBidi"/>
                <w:b/>
                <w:bCs/>
                <w:sz w:val="22"/>
                <w:szCs w:val="24"/>
                <w:lang w:bidi="fa-IR"/>
              </w:rPr>
            </w:pPr>
            <w:r w:rsidRPr="00D21D56">
              <w:rPr>
                <w:rFonts w:asciiTheme="majorBidi" w:eastAsiaTheme="minorEastAsia" w:hAnsiTheme="majorBidi" w:cstheme="majorBidi"/>
                <w:sz w:val="22"/>
                <w:szCs w:val="24"/>
                <w:lang w:bidi="fa-IR"/>
              </w:rPr>
              <w:t>Inferior</w:t>
            </w:r>
          </w:p>
        </w:tc>
      </w:tr>
    </w:tbl>
    <w:p w:rsidR="00ED2DCE" w:rsidRPr="00D21D56" w:rsidRDefault="00ED2DCE" w:rsidP="00ED2DCE">
      <w:pPr>
        <w:pStyle w:val="Caption"/>
        <w:jc w:val="both"/>
        <w:rPr>
          <w:rFonts w:asciiTheme="majorBidi" w:hAnsiTheme="majorBidi" w:cstheme="majorBidi"/>
          <w:i w:val="0"/>
          <w:iCs w:val="0"/>
          <w:sz w:val="24"/>
          <w:szCs w:val="24"/>
        </w:rPr>
      </w:pPr>
      <w:r>
        <w:rPr>
          <w:rFonts w:asciiTheme="majorBidi" w:hAnsiTheme="majorBidi" w:cstheme="majorBidi"/>
          <w:color w:val="000000"/>
          <w:sz w:val="28"/>
          <w:szCs w:val="28"/>
        </w:rPr>
        <w:t xml:space="preserve">Appendix.2 </w:t>
      </w:r>
      <w:r w:rsidRPr="00D21D56">
        <w:rPr>
          <w:rFonts w:asciiTheme="majorBidi" w:hAnsiTheme="majorBidi" w:cstheme="majorBidi"/>
          <w:i w:val="0"/>
          <w:iCs w:val="0"/>
          <w:sz w:val="24"/>
          <w:szCs w:val="24"/>
        </w:rPr>
        <w:t>The macular vascular density comparison before and after deep sclerotomy (t: Parametric data analyzed by Paired student t-Test, w: Nonparametric data analyzed by Wilcoxon Test)</w:t>
      </w:r>
    </w:p>
    <w:p w:rsidR="00ED2DCE" w:rsidRPr="00ED2DCE" w:rsidRDefault="00ED2DCE" w:rsidP="00ED2DCE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sectPr w:rsidR="00ED2DCE" w:rsidRPr="00ED2DCE" w:rsidSect="00AE4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altName w:val="B Lotus"/>
    <w:panose1 w:val="00000400000000000000"/>
    <w:charset w:val="B2"/>
    <w:family w:val="auto"/>
    <w:pitch w:val="variable"/>
    <w:sig w:usb0="00002001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DCE"/>
    <w:rsid w:val="0004419A"/>
    <w:rsid w:val="00A76F28"/>
    <w:rsid w:val="00AE484E"/>
    <w:rsid w:val="00ED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DDF6A"/>
  <w15:chartTrackingRefBased/>
  <w15:docId w15:val="{985C489F-39D8-4BD9-AD2F-4CAA22C7E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fa-IR"/>
        <w14:ligatures w14:val="standardContextua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2DCE"/>
    <w:pPr>
      <w:spacing w:before="240" w:after="360" w:line="360" w:lineRule="auto"/>
      <w:jc w:val="both"/>
      <w:outlineLvl w:val="0"/>
    </w:pPr>
    <w:rPr>
      <w:rFonts w:ascii="Times New Roman" w:eastAsia="Times New Roman" w:hAnsi="Times New Roman" w:cs="B Lotus"/>
      <w:color w:val="000000"/>
      <w:sz w:val="24"/>
      <w:szCs w:val="32"/>
      <w:lang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2DCE"/>
    <w:rPr>
      <w:rFonts w:ascii="Times New Roman" w:eastAsia="Times New Roman" w:hAnsi="Times New Roman" w:cs="B Lotus"/>
      <w:color w:val="000000"/>
      <w:sz w:val="24"/>
      <w:szCs w:val="32"/>
      <w:lang w:bidi="ar-SA"/>
      <w14:ligatures w14:val="none"/>
    </w:rPr>
  </w:style>
  <w:style w:type="table" w:styleId="TableGrid">
    <w:name w:val="Table Grid"/>
    <w:basedOn w:val="TableNormal"/>
    <w:rsid w:val="00ED2DCE"/>
    <w:pPr>
      <w:bidi w:val="0"/>
      <w:spacing w:after="0" w:line="240" w:lineRule="auto"/>
    </w:pPr>
    <w:rPr>
      <w:rFonts w:eastAsiaTheme="minorEastAsia"/>
      <w:kern w:val="0"/>
      <w:lang w:bidi="en-US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D2DCE"/>
    <w:pPr>
      <w:bidi w:val="0"/>
      <w:spacing w:after="200" w:line="240" w:lineRule="auto"/>
    </w:pPr>
    <w:rPr>
      <w:i/>
      <w:iCs/>
      <w:color w:val="44546A" w:themeColor="text2"/>
      <w:kern w:val="0"/>
      <w:sz w:val="18"/>
      <w:szCs w:val="18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 arasteh</dc:creator>
  <cp:keywords/>
  <dc:description/>
  <cp:lastModifiedBy>amin arasteh</cp:lastModifiedBy>
  <cp:revision>1</cp:revision>
  <dcterms:created xsi:type="dcterms:W3CDTF">2023-06-16T08:10:00Z</dcterms:created>
  <dcterms:modified xsi:type="dcterms:W3CDTF">2023-06-16T08:14:00Z</dcterms:modified>
</cp:coreProperties>
</file>