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2816F" w14:textId="77777777" w:rsidR="00805BB8" w:rsidRDefault="00805BB8" w:rsidP="00CD4BBC">
      <w:pPr>
        <w:tabs>
          <w:tab w:val="left" w:pos="1898"/>
        </w:tabs>
        <w:rPr>
          <w:rFonts w:ascii="Times New Roman" w:eastAsia="Times New Roman" w:hAnsi="Times New Roman"/>
          <w:b/>
          <w:bCs/>
          <w:noProof w:val="0"/>
          <w:snapToGrid w:val="0"/>
          <w:sz w:val="24"/>
          <w:szCs w:val="24"/>
          <w:lang w:eastAsia="de-DE" w:bidi="en-US"/>
        </w:rPr>
        <w:sectPr w:rsidR="00805BB8" w:rsidSect="00281DD0">
          <w:footerReference w:type="default" r:id="rId8"/>
          <w:footerReference w:type="first" r:id="rId9"/>
          <w:pgSz w:w="11907" w:h="19618" w:code="9"/>
          <w:pgMar w:top="1701" w:right="1418" w:bottom="1134" w:left="720" w:header="1021" w:footer="340" w:gutter="0"/>
          <w:lnNumType w:countBy="1" w:restart="continuous"/>
          <w:pgNumType w:start="1"/>
          <w:cols w:space="425"/>
          <w:titlePg/>
          <w:bidi/>
          <w:docGrid w:linePitch="326"/>
        </w:sectPr>
      </w:pPr>
    </w:p>
    <w:p w14:paraId="1E28D006" w14:textId="25CE5B15" w:rsidR="00FA20F9" w:rsidRPr="00FA20F9" w:rsidRDefault="00FA20F9" w:rsidP="00CD1E71">
      <w:pPr>
        <w:pStyle w:val="MDPI31text"/>
        <w:ind w:left="-993" w:firstLine="0"/>
        <w:jc w:val="center"/>
        <w:rPr>
          <w:rFonts w:ascii="Times New Roman" w:hAnsi="Times New Roman"/>
          <w:sz w:val="22"/>
        </w:rPr>
      </w:pPr>
      <w:r w:rsidRPr="00085AA7">
        <w:rPr>
          <w:rFonts w:ascii="Times New Roman" w:hAnsi="Times New Roman"/>
          <w:b/>
          <w:bCs/>
          <w:sz w:val="22"/>
        </w:rPr>
        <w:lastRenderedPageBreak/>
        <w:t xml:space="preserve">Table </w:t>
      </w:r>
      <w:r w:rsidR="005A54F1">
        <w:rPr>
          <w:rFonts w:ascii="Times New Roman" w:hAnsi="Times New Roman"/>
          <w:b/>
          <w:bCs/>
          <w:sz w:val="22"/>
        </w:rPr>
        <w:t>1</w:t>
      </w:r>
      <w:r w:rsidRPr="00085AA7">
        <w:rPr>
          <w:rFonts w:ascii="Times New Roman" w:hAnsi="Times New Roman"/>
          <w:b/>
          <w:bCs/>
          <w:sz w:val="22"/>
        </w:rPr>
        <w:t>.</w:t>
      </w:r>
      <w:r w:rsidR="00DA5E83">
        <w:rPr>
          <w:rFonts w:ascii="Times New Roman" w:hAnsi="Times New Roman"/>
          <w:sz w:val="22"/>
        </w:rPr>
        <w:t xml:space="preserve"> </w:t>
      </w:r>
      <w:r w:rsidR="00427569" w:rsidRPr="00427569">
        <w:rPr>
          <w:rFonts w:ascii="Times New Roman" w:hAnsi="Times New Roman"/>
          <w:sz w:val="22"/>
        </w:rPr>
        <w:t>Characteristics of the included studies on the sources of information on monkeypox virus infection</w:t>
      </w:r>
      <w:r w:rsidR="006B4701" w:rsidRPr="006B4701">
        <w:rPr>
          <w:rFonts w:ascii="Times New Roman" w:hAnsi="Times New Roman"/>
          <w:sz w:val="22"/>
        </w:rPr>
        <w:t>.</w:t>
      </w:r>
    </w:p>
    <w:p w14:paraId="758CEB00" w14:textId="77777777" w:rsidR="00FA20F9" w:rsidRPr="00085AA7" w:rsidRDefault="00FA20F9" w:rsidP="00FA20F9">
      <w:pPr>
        <w:pStyle w:val="MDPI31text"/>
        <w:rPr>
          <w:rFonts w:ascii="Times New Roman" w:hAnsi="Times New Roman"/>
          <w:sz w:val="22"/>
          <w:szCs w:val="24"/>
        </w:rPr>
      </w:pPr>
    </w:p>
    <w:tbl>
      <w:tblPr>
        <w:tblStyle w:val="PlainTable2"/>
        <w:tblW w:w="18491" w:type="dxa"/>
        <w:tblInd w:w="-643" w:type="dxa"/>
        <w:tblLook w:val="04A0" w:firstRow="1" w:lastRow="0" w:firstColumn="1" w:lastColumn="0" w:noHBand="0" w:noVBand="1"/>
      </w:tblPr>
      <w:tblGrid>
        <w:gridCol w:w="1305"/>
        <w:gridCol w:w="638"/>
        <w:gridCol w:w="927"/>
        <w:gridCol w:w="1117"/>
        <w:gridCol w:w="850"/>
        <w:gridCol w:w="1272"/>
        <w:gridCol w:w="716"/>
        <w:gridCol w:w="616"/>
        <w:gridCol w:w="966"/>
        <w:gridCol w:w="916"/>
        <w:gridCol w:w="866"/>
        <w:gridCol w:w="966"/>
        <w:gridCol w:w="1172"/>
        <w:gridCol w:w="1528"/>
        <w:gridCol w:w="866"/>
        <w:gridCol w:w="866"/>
        <w:gridCol w:w="1005"/>
        <w:gridCol w:w="816"/>
        <w:gridCol w:w="1083"/>
      </w:tblGrid>
      <w:tr w:rsidR="00834970" w:rsidRPr="00CD1E71" w14:paraId="7EE60B03" w14:textId="3E5BB64B" w:rsidTr="00653D49">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305" w:type="dxa"/>
            <w:vMerge w:val="restart"/>
            <w:vAlign w:val="center"/>
          </w:tcPr>
          <w:p w14:paraId="3F0E55A0" w14:textId="77777777" w:rsidR="00834970" w:rsidRPr="00CD1E71" w:rsidRDefault="00834970" w:rsidP="00CD1E71">
            <w:pPr>
              <w:tabs>
                <w:tab w:val="left" w:pos="7925"/>
              </w:tabs>
              <w:autoSpaceDE w:val="0"/>
              <w:autoSpaceDN w:val="0"/>
              <w:adjustRightInd w:val="0"/>
              <w:snapToGrid w:val="0"/>
              <w:spacing w:line="240" w:lineRule="auto"/>
              <w:ind w:left="-178"/>
              <w:jc w:val="center"/>
              <w:rPr>
                <w:rFonts w:ascii="Times New Roman" w:hAnsi="Times New Roman"/>
                <w:szCs w:val="18"/>
              </w:rPr>
            </w:pPr>
            <w:r w:rsidRPr="00CD1E71">
              <w:rPr>
                <w:rFonts w:ascii="Times New Roman" w:hAnsi="Times New Roman"/>
                <w:szCs w:val="18"/>
              </w:rPr>
              <w:t>Authors</w:t>
            </w:r>
          </w:p>
        </w:tc>
        <w:tc>
          <w:tcPr>
            <w:tcW w:w="638" w:type="dxa"/>
            <w:vMerge w:val="restart"/>
            <w:vAlign w:val="center"/>
          </w:tcPr>
          <w:p w14:paraId="23F7A90D" w14:textId="77777777"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Year</w:t>
            </w:r>
          </w:p>
        </w:tc>
        <w:tc>
          <w:tcPr>
            <w:tcW w:w="927" w:type="dxa"/>
            <w:vMerge w:val="restart"/>
            <w:vAlign w:val="center"/>
          </w:tcPr>
          <w:p w14:paraId="6F1D2DF6" w14:textId="77777777"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Study design</w:t>
            </w:r>
          </w:p>
        </w:tc>
        <w:tc>
          <w:tcPr>
            <w:tcW w:w="1117" w:type="dxa"/>
            <w:vMerge w:val="restart"/>
            <w:vAlign w:val="center"/>
          </w:tcPr>
          <w:p w14:paraId="4D793931" w14:textId="332837AD"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Country</w:t>
            </w:r>
          </w:p>
        </w:tc>
        <w:tc>
          <w:tcPr>
            <w:tcW w:w="850" w:type="dxa"/>
            <w:vMerge w:val="restart"/>
            <w:vAlign w:val="center"/>
          </w:tcPr>
          <w:p w14:paraId="3E93EC56" w14:textId="7D9DBF74"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Sample size (n)</w:t>
            </w:r>
          </w:p>
        </w:tc>
        <w:tc>
          <w:tcPr>
            <w:tcW w:w="1272" w:type="dxa"/>
            <w:vMerge w:val="restart"/>
            <w:vAlign w:val="center"/>
          </w:tcPr>
          <w:p w14:paraId="4BDE696C" w14:textId="3B42B53F"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Study population</w:t>
            </w:r>
          </w:p>
        </w:tc>
        <w:tc>
          <w:tcPr>
            <w:tcW w:w="1332" w:type="dxa"/>
            <w:gridSpan w:val="2"/>
            <w:vAlign w:val="center"/>
          </w:tcPr>
          <w:p w14:paraId="0106DA01" w14:textId="77777777" w:rsidR="00834970" w:rsidRPr="00CD1E71" w:rsidRDefault="00834970" w:rsidP="000712A3">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Sex</w:t>
            </w:r>
          </w:p>
        </w:tc>
        <w:tc>
          <w:tcPr>
            <w:tcW w:w="966" w:type="dxa"/>
            <w:vMerge w:val="restart"/>
            <w:vAlign w:val="center"/>
          </w:tcPr>
          <w:p w14:paraId="3AE07A60" w14:textId="0A19FEBE"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Social media</w:t>
            </w:r>
          </w:p>
        </w:tc>
        <w:tc>
          <w:tcPr>
            <w:tcW w:w="916" w:type="dxa"/>
            <w:vMerge w:val="restart"/>
            <w:vAlign w:val="center"/>
          </w:tcPr>
          <w:p w14:paraId="7F02B6FF" w14:textId="4C47FD3F"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Internet sources</w:t>
            </w:r>
          </w:p>
        </w:tc>
        <w:tc>
          <w:tcPr>
            <w:tcW w:w="866" w:type="dxa"/>
            <w:vMerge w:val="restart"/>
            <w:vAlign w:val="center"/>
          </w:tcPr>
          <w:p w14:paraId="42764AC5" w14:textId="162AB231"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Radio</w:t>
            </w:r>
          </w:p>
        </w:tc>
        <w:tc>
          <w:tcPr>
            <w:tcW w:w="966" w:type="dxa"/>
            <w:vMerge w:val="restart"/>
            <w:vAlign w:val="center"/>
          </w:tcPr>
          <w:p w14:paraId="62593E23" w14:textId="2C0493DE"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TV</w:t>
            </w:r>
          </w:p>
        </w:tc>
        <w:tc>
          <w:tcPr>
            <w:tcW w:w="1172" w:type="dxa"/>
            <w:vMerge w:val="restart"/>
            <w:vAlign w:val="center"/>
          </w:tcPr>
          <w:p w14:paraId="1A592C0F" w14:textId="6AEC36DD" w:rsidR="00834970" w:rsidRPr="00CD1E71" w:rsidRDefault="00834970" w:rsidP="00DA794F">
            <w:pP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Newspaper</w:t>
            </w:r>
          </w:p>
        </w:tc>
        <w:tc>
          <w:tcPr>
            <w:tcW w:w="1528" w:type="dxa"/>
            <w:vMerge w:val="restart"/>
            <w:vAlign w:val="center"/>
          </w:tcPr>
          <w:p w14:paraId="539D5F9D" w14:textId="009CCC60"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Friends/Family</w:t>
            </w:r>
          </w:p>
        </w:tc>
        <w:tc>
          <w:tcPr>
            <w:tcW w:w="866" w:type="dxa"/>
            <w:vMerge w:val="restart"/>
            <w:vAlign w:val="center"/>
          </w:tcPr>
          <w:p w14:paraId="241AB3CA" w14:textId="73C022A7"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WHO website</w:t>
            </w:r>
          </w:p>
        </w:tc>
        <w:tc>
          <w:tcPr>
            <w:tcW w:w="866" w:type="dxa"/>
            <w:vMerge w:val="restart"/>
            <w:vAlign w:val="center"/>
          </w:tcPr>
          <w:p w14:paraId="66B02D40" w14:textId="438561D4"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CDC website</w:t>
            </w:r>
          </w:p>
        </w:tc>
        <w:tc>
          <w:tcPr>
            <w:tcW w:w="1005" w:type="dxa"/>
            <w:vMerge w:val="restart"/>
            <w:vAlign w:val="center"/>
          </w:tcPr>
          <w:p w14:paraId="59934DCD" w14:textId="48AC6CC4"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834970">
              <w:rPr>
                <w:rFonts w:ascii="Times New Roman" w:hAnsi="Times New Roman"/>
                <w:szCs w:val="18"/>
              </w:rPr>
              <w:t>Research articles</w:t>
            </w:r>
            <w:r w:rsidR="00F40882">
              <w:rPr>
                <w:rFonts w:ascii="Times New Roman" w:hAnsi="Times New Roman"/>
                <w:szCs w:val="18"/>
              </w:rPr>
              <w:t>/</w:t>
            </w:r>
            <w:r w:rsidR="00F40882">
              <w:t xml:space="preserve"> </w:t>
            </w:r>
            <w:r w:rsidR="00F40882" w:rsidRPr="00F40882">
              <w:rPr>
                <w:rFonts w:ascii="Times New Roman" w:hAnsi="Times New Roman"/>
                <w:szCs w:val="18"/>
              </w:rPr>
              <w:t>Scientific journals</w:t>
            </w:r>
          </w:p>
        </w:tc>
        <w:tc>
          <w:tcPr>
            <w:tcW w:w="816" w:type="dxa"/>
            <w:vMerge w:val="restart"/>
            <w:vAlign w:val="center"/>
          </w:tcPr>
          <w:p w14:paraId="0A31BCAC" w14:textId="714AB1C9"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Survey Type</w:t>
            </w:r>
          </w:p>
        </w:tc>
        <w:tc>
          <w:tcPr>
            <w:tcW w:w="1083" w:type="dxa"/>
            <w:vMerge w:val="restart"/>
            <w:vAlign w:val="center"/>
          </w:tcPr>
          <w:p w14:paraId="5F6D30D0" w14:textId="1BB2F0FB" w:rsidR="00834970" w:rsidRPr="00CD1E71" w:rsidRDefault="00834970" w:rsidP="009C697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Data Collection Date</w:t>
            </w:r>
          </w:p>
        </w:tc>
      </w:tr>
      <w:tr w:rsidR="00834970" w:rsidRPr="00CD1E71" w14:paraId="1497A2A9" w14:textId="7AF68608" w:rsidTr="00653D49">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05" w:type="dxa"/>
            <w:vMerge/>
            <w:vAlign w:val="center"/>
          </w:tcPr>
          <w:p w14:paraId="5A416A33" w14:textId="77777777" w:rsidR="00834970" w:rsidRPr="00CD1E71" w:rsidRDefault="00834970" w:rsidP="000712A3">
            <w:pPr>
              <w:tabs>
                <w:tab w:val="left" w:pos="7925"/>
              </w:tabs>
              <w:autoSpaceDE w:val="0"/>
              <w:autoSpaceDN w:val="0"/>
              <w:adjustRightInd w:val="0"/>
              <w:snapToGrid w:val="0"/>
              <w:spacing w:line="240" w:lineRule="auto"/>
              <w:jc w:val="center"/>
              <w:rPr>
                <w:rFonts w:ascii="Times New Roman" w:hAnsi="Times New Roman"/>
                <w:szCs w:val="18"/>
              </w:rPr>
            </w:pPr>
          </w:p>
        </w:tc>
        <w:tc>
          <w:tcPr>
            <w:tcW w:w="638" w:type="dxa"/>
            <w:vMerge/>
            <w:vAlign w:val="center"/>
          </w:tcPr>
          <w:p w14:paraId="1A941280"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
        </w:tc>
        <w:tc>
          <w:tcPr>
            <w:tcW w:w="927" w:type="dxa"/>
            <w:vMerge/>
            <w:vAlign w:val="center"/>
          </w:tcPr>
          <w:p w14:paraId="3D968886"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
        </w:tc>
        <w:tc>
          <w:tcPr>
            <w:tcW w:w="1117" w:type="dxa"/>
            <w:vMerge/>
            <w:vAlign w:val="center"/>
          </w:tcPr>
          <w:p w14:paraId="53005638"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
        </w:tc>
        <w:tc>
          <w:tcPr>
            <w:tcW w:w="850" w:type="dxa"/>
            <w:vMerge/>
            <w:vAlign w:val="center"/>
          </w:tcPr>
          <w:p w14:paraId="4EF87E81"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
        </w:tc>
        <w:tc>
          <w:tcPr>
            <w:tcW w:w="1272" w:type="dxa"/>
            <w:vMerge/>
            <w:vAlign w:val="center"/>
          </w:tcPr>
          <w:p w14:paraId="2E1A04BD"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
        </w:tc>
        <w:tc>
          <w:tcPr>
            <w:tcW w:w="716" w:type="dxa"/>
            <w:vAlign w:val="center"/>
          </w:tcPr>
          <w:p w14:paraId="0FED8AC5"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r w:rsidRPr="00CD1E71">
              <w:rPr>
                <w:rFonts w:ascii="Times New Roman" w:hAnsi="Times New Roman"/>
                <w:b/>
                <w:bCs/>
                <w:szCs w:val="18"/>
              </w:rPr>
              <w:t>M</w:t>
            </w:r>
          </w:p>
        </w:tc>
        <w:tc>
          <w:tcPr>
            <w:tcW w:w="616" w:type="dxa"/>
            <w:vAlign w:val="center"/>
          </w:tcPr>
          <w:p w14:paraId="26F15D5E"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r w:rsidRPr="00CD1E71">
              <w:rPr>
                <w:rFonts w:ascii="Times New Roman" w:hAnsi="Times New Roman"/>
                <w:b/>
                <w:bCs/>
                <w:szCs w:val="18"/>
              </w:rPr>
              <w:t>F</w:t>
            </w:r>
          </w:p>
        </w:tc>
        <w:tc>
          <w:tcPr>
            <w:tcW w:w="966" w:type="dxa"/>
            <w:vMerge/>
            <w:vAlign w:val="center"/>
          </w:tcPr>
          <w:p w14:paraId="7A12EAF8"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916" w:type="dxa"/>
            <w:vMerge/>
            <w:vAlign w:val="center"/>
          </w:tcPr>
          <w:p w14:paraId="1A16D02F"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866" w:type="dxa"/>
            <w:vMerge/>
            <w:vAlign w:val="center"/>
          </w:tcPr>
          <w:p w14:paraId="7EFFEEB9" w14:textId="2633537E"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966" w:type="dxa"/>
            <w:vMerge/>
            <w:vAlign w:val="center"/>
          </w:tcPr>
          <w:p w14:paraId="7D251EDE"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1172" w:type="dxa"/>
            <w:vMerge/>
            <w:vAlign w:val="center"/>
          </w:tcPr>
          <w:p w14:paraId="0414D43A"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1528" w:type="dxa"/>
            <w:vMerge/>
            <w:vAlign w:val="center"/>
          </w:tcPr>
          <w:p w14:paraId="160146E9" w14:textId="69FC033B"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866" w:type="dxa"/>
            <w:vMerge/>
            <w:vAlign w:val="center"/>
          </w:tcPr>
          <w:p w14:paraId="76B1ACD9"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866" w:type="dxa"/>
            <w:vMerge/>
            <w:vAlign w:val="center"/>
          </w:tcPr>
          <w:p w14:paraId="0E8363C2"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1005" w:type="dxa"/>
            <w:vMerge/>
            <w:vAlign w:val="center"/>
          </w:tcPr>
          <w:p w14:paraId="79588AE3"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816" w:type="dxa"/>
            <w:vMerge/>
            <w:vAlign w:val="center"/>
          </w:tcPr>
          <w:p w14:paraId="2A0BAAC6" w14:textId="031C8CF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c>
          <w:tcPr>
            <w:tcW w:w="1083" w:type="dxa"/>
            <w:vMerge/>
            <w:vAlign w:val="center"/>
          </w:tcPr>
          <w:p w14:paraId="5E80E561" w14:textId="77777777" w:rsidR="00834970" w:rsidRPr="00CD1E71" w:rsidRDefault="00834970" w:rsidP="000712A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Cs w:val="18"/>
              </w:rPr>
            </w:pPr>
          </w:p>
        </w:tc>
      </w:tr>
      <w:tr w:rsidR="00653D49" w:rsidRPr="007821EF" w14:paraId="3BF692D1"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08934F60" w14:textId="28CF288A" w:rsidR="00653D49" w:rsidRPr="007821EF" w:rsidRDefault="00653D49" w:rsidP="00653D49">
            <w:pPr>
              <w:tabs>
                <w:tab w:val="left" w:pos="7925"/>
              </w:tabs>
              <w:autoSpaceDE w:val="0"/>
              <w:autoSpaceDN w:val="0"/>
              <w:adjustRightInd w:val="0"/>
              <w:snapToGrid w:val="0"/>
              <w:spacing w:line="240" w:lineRule="auto"/>
              <w:jc w:val="center"/>
              <w:rPr>
                <w:rFonts w:ascii="Times New Roman" w:hAnsi="Times New Roman"/>
                <w:szCs w:val="18"/>
              </w:rPr>
            </w:pPr>
            <w:r w:rsidRPr="00653D49">
              <w:rPr>
                <w:rFonts w:ascii="Times New Roman" w:hAnsi="Times New Roman"/>
                <w:szCs w:val="18"/>
                <w:lang w:val="es-PE"/>
              </w:rPr>
              <w:t>Berdida DJE.</w:t>
            </w:r>
            <w:r>
              <w:rPr>
                <w:rFonts w:ascii="Times New Roman" w:hAnsi="Times New Roman"/>
                <w:szCs w:val="18"/>
                <w:lang w:val="es-PE"/>
              </w:rPr>
              <w:t xml:space="preserve"> </w:t>
            </w:r>
            <w:r w:rsidR="005D4923">
              <w:rPr>
                <w:rFonts w:ascii="Times New Roman" w:hAnsi="Times New Roman"/>
                <w:szCs w:val="18"/>
                <w:lang w:val="es-PE"/>
              </w:rPr>
              <w:fldChar w:fldCharType="begin"/>
            </w:r>
            <w:r w:rsidR="00B827B0">
              <w:rPr>
                <w:rFonts w:ascii="Times New Roman" w:hAnsi="Times New Roman"/>
                <w:szCs w:val="18"/>
                <w:lang w:val="es-PE"/>
              </w:rPr>
              <w:instrText xml:space="preserve"> ADDIN ZOTERO_ITEM CSL_CITATION {"citationID":"w6bcMvdy","properties":{"formattedCitation":"(19)","plainCitation":"(19)","noteIndex":0},"citationItems":[{"id":11745,"uris":["http://zotero.org/users/6456139/items/GNMM4PDG"],"itemData":{"id":11745,"type":"article-journal","abstract":"AIMS: In July 2022, the human monkeypox virus was declared by the World Health Organization, a public health emergency of global concern. This study investigated the Filipinos' knowledge of monkeypox and determined the demographic variables that predicted it.\nDESIGN: Correlational and cross-sectional design adhering to STROBE guidelines.\nMETHODS: Participants were recruited conveniently through social media platforms (n = 575). This study used a 21-item monkeypox knowledge survey questionnaire to collect data from July to September 2022. Logistic regression analysis was used to analyse the data.\nRESULTS: Most participants (53.74%) were above 30 years old, females (68.87%), residing in Luzon (54.96%), college graduates (61.04%), Catholics (78.61%) and employed (68%). Social media, particularly Facebook (57.91%), is the common source of monkeypox-related information (78.61%). Participants' age (&gt;30 years old) is the only predictor of monkeypox infection knowledge (aOR: 3.13; 95%CI: 1.25-7.87, p = .015). They are three times more likely to be knowledgeable than those under 30.\nCONCLUSION: The findings highlight the importance of evidence-based strategies for increasing public knowledge and awareness. The government, healthcare workers and the public should adopt proactive preventive measures against human monkeypox to prevent future pandemics.\nPATIENT OR PUBLIC CONTRIBUTION: No patient or public contribution has been made in this study.\nIMPACT STATEMENT: What problem did the study address? Assessing people's knowledge about monkeypox will help the government and healthcare workers (HCWs) create policies to prevent the spread of the virus. To the best of my knowledge, this is the first study that used a national online survey to assess Filipinos' human monkeypox knowledge. What were the main fin</w:instrText>
            </w:r>
            <w:r w:rsidR="00B827B0" w:rsidRPr="00B827B0">
              <w:rPr>
                <w:rFonts w:ascii="Times New Roman" w:hAnsi="Times New Roman"/>
                <w:szCs w:val="18"/>
              </w:rPr>
              <w:instrText xml:space="preserve">dings? Most participants had insufficient knowledge of the monkeypox infection. Participants' primary source of monkeypox infection information is social media, specifically Facebook. Participants older than 30 had higher knowledge of monkeypox infection. Where and on whom will the research have impact? Raising public awareness and knowledge about monkeypox disease prevents viral transmission in the community. HCWs (e.g., nurses, midwives, and doctors) should report monkeypox patients to appropriate health authorities. Standard and droplet precautions should be practiced and taught to the public to prevent the virus' spread. The government and HCWs should intensify monkeypox awareness programs to increase the public's knowledge and awareness of the disease. They can utilize social media platforms to disseminate correct and relevant information.","container-title":"Journal of Advanced Nursing","DOI":"10.1111/jan.15635","ISSN":"1365-2648","issue":"7","journalAbbreviation":"J Adv Nurs","language":"eng","note":"PMID: 36908101","page":"2684-2694","source":"PubMed","title":"Population-based survey of human monkeypox disease knowledge in the Philippines: An online cross-sectional study","title-short":"Population-based survey of human monkeypox disease knowledge in the Philippines","volume":"79","author":[{"family":"Berdida","given":"Daniel Joseph E."}],"issued":{"date-parts":[["2023",7]]}}}],"schema":"https://github.com/citation-style-language/schema/raw/master/csl-citation.json"} </w:instrText>
            </w:r>
            <w:r w:rsidR="005D4923">
              <w:rPr>
                <w:rFonts w:ascii="Times New Roman" w:hAnsi="Times New Roman"/>
                <w:szCs w:val="18"/>
                <w:lang w:val="es-PE"/>
              </w:rPr>
              <w:fldChar w:fldCharType="separate"/>
            </w:r>
            <w:r w:rsidR="00B827B0" w:rsidRPr="00B827B0">
              <w:rPr>
                <w:rFonts w:ascii="Times New Roman" w:hAnsi="Times New Roman"/>
              </w:rPr>
              <w:t>(19)</w:t>
            </w:r>
            <w:r w:rsidR="005D4923">
              <w:rPr>
                <w:rFonts w:ascii="Times New Roman" w:hAnsi="Times New Roman"/>
                <w:szCs w:val="18"/>
                <w:lang w:val="es-PE"/>
              </w:rPr>
              <w:fldChar w:fldCharType="end"/>
            </w:r>
          </w:p>
        </w:tc>
        <w:tc>
          <w:tcPr>
            <w:tcW w:w="638" w:type="dxa"/>
            <w:vAlign w:val="center"/>
          </w:tcPr>
          <w:p w14:paraId="1658B80C" w14:textId="18B59FF2"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2023</w:t>
            </w:r>
          </w:p>
        </w:tc>
        <w:tc>
          <w:tcPr>
            <w:tcW w:w="927" w:type="dxa"/>
            <w:vAlign w:val="center"/>
          </w:tcPr>
          <w:p w14:paraId="6499513D" w14:textId="0AC5D538"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Cross sectional</w:t>
            </w:r>
          </w:p>
        </w:tc>
        <w:tc>
          <w:tcPr>
            <w:tcW w:w="1117" w:type="dxa"/>
            <w:vAlign w:val="center"/>
          </w:tcPr>
          <w:p w14:paraId="68CE89CB" w14:textId="44B58D27"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Philippines</w:t>
            </w:r>
          </w:p>
        </w:tc>
        <w:tc>
          <w:tcPr>
            <w:tcW w:w="850" w:type="dxa"/>
            <w:vAlign w:val="center"/>
          </w:tcPr>
          <w:p w14:paraId="56891B85" w14:textId="2768EC6C"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575</w:t>
            </w:r>
          </w:p>
        </w:tc>
        <w:tc>
          <w:tcPr>
            <w:tcW w:w="1272" w:type="dxa"/>
            <w:vAlign w:val="center"/>
          </w:tcPr>
          <w:p w14:paraId="64F190EF" w14:textId="3F22007D"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General population</w:t>
            </w:r>
          </w:p>
        </w:tc>
        <w:tc>
          <w:tcPr>
            <w:tcW w:w="716" w:type="dxa"/>
            <w:vAlign w:val="center"/>
          </w:tcPr>
          <w:p w14:paraId="225215F0" w14:textId="5B21E030"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179</w:t>
            </w:r>
          </w:p>
        </w:tc>
        <w:tc>
          <w:tcPr>
            <w:tcW w:w="616" w:type="dxa"/>
            <w:vAlign w:val="center"/>
          </w:tcPr>
          <w:p w14:paraId="42206E5B" w14:textId="556789E3"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396</w:t>
            </w:r>
          </w:p>
        </w:tc>
        <w:tc>
          <w:tcPr>
            <w:tcW w:w="966" w:type="dxa"/>
            <w:vAlign w:val="center"/>
          </w:tcPr>
          <w:p w14:paraId="71366E8D" w14:textId="60CD3E9A"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452 (78.61%)</w:t>
            </w:r>
          </w:p>
        </w:tc>
        <w:tc>
          <w:tcPr>
            <w:tcW w:w="916" w:type="dxa"/>
            <w:vAlign w:val="center"/>
          </w:tcPr>
          <w:p w14:paraId="503BFABA" w14:textId="1A14AC5F"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NR</w:t>
            </w:r>
          </w:p>
        </w:tc>
        <w:tc>
          <w:tcPr>
            <w:tcW w:w="3004" w:type="dxa"/>
            <w:gridSpan w:val="3"/>
            <w:vAlign w:val="center"/>
          </w:tcPr>
          <w:p w14:paraId="5248FE55" w14:textId="45AF8856"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87 (15.13%)</w:t>
            </w:r>
          </w:p>
        </w:tc>
        <w:tc>
          <w:tcPr>
            <w:tcW w:w="1528" w:type="dxa"/>
            <w:vAlign w:val="center"/>
          </w:tcPr>
          <w:p w14:paraId="5551DB12" w14:textId="18C85E4F" w:rsidR="00653D49" w:rsidRPr="007821EF" w:rsidRDefault="00653D49"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36 (6.26%)</w:t>
            </w:r>
          </w:p>
        </w:tc>
        <w:tc>
          <w:tcPr>
            <w:tcW w:w="866" w:type="dxa"/>
            <w:vAlign w:val="center"/>
          </w:tcPr>
          <w:p w14:paraId="404E135C" w14:textId="6C1715A3" w:rsidR="00653D49" w:rsidRPr="007821EF" w:rsidRDefault="003327E0"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NR</w:t>
            </w:r>
          </w:p>
        </w:tc>
        <w:tc>
          <w:tcPr>
            <w:tcW w:w="866" w:type="dxa"/>
            <w:vAlign w:val="center"/>
          </w:tcPr>
          <w:p w14:paraId="0E4997C0" w14:textId="18254066" w:rsidR="00653D49" w:rsidRPr="007821EF" w:rsidRDefault="003327E0"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NR</w:t>
            </w:r>
          </w:p>
        </w:tc>
        <w:tc>
          <w:tcPr>
            <w:tcW w:w="1005" w:type="dxa"/>
            <w:vAlign w:val="center"/>
          </w:tcPr>
          <w:p w14:paraId="384F66BC" w14:textId="52C84CD8" w:rsidR="00653D49" w:rsidRPr="007821EF" w:rsidRDefault="003327E0"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NR</w:t>
            </w:r>
          </w:p>
        </w:tc>
        <w:tc>
          <w:tcPr>
            <w:tcW w:w="816" w:type="dxa"/>
            <w:vAlign w:val="center"/>
          </w:tcPr>
          <w:p w14:paraId="592506CC" w14:textId="75DB10C1" w:rsidR="00653D49" w:rsidRPr="007821EF" w:rsidRDefault="003327E0"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Online survey</w:t>
            </w:r>
          </w:p>
        </w:tc>
        <w:tc>
          <w:tcPr>
            <w:tcW w:w="1083" w:type="dxa"/>
            <w:vAlign w:val="center"/>
          </w:tcPr>
          <w:p w14:paraId="7C82AB67" w14:textId="3E163E28" w:rsidR="00653D49" w:rsidRPr="007821EF" w:rsidRDefault="003327E0" w:rsidP="00653D49">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7821EF">
              <w:rPr>
                <w:rFonts w:ascii="Times New Roman" w:hAnsi="Times New Roman"/>
                <w:szCs w:val="18"/>
              </w:rPr>
              <w:t>July - September 2022</w:t>
            </w:r>
          </w:p>
        </w:tc>
      </w:tr>
      <w:tr w:rsidR="00834970" w:rsidRPr="009B46D2" w14:paraId="4C6B6207"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479F3E35" w14:textId="6374E002" w:rsidR="00834970" w:rsidRPr="009B46D2" w:rsidRDefault="00834970" w:rsidP="004E48B3">
            <w:pPr>
              <w:tabs>
                <w:tab w:val="left" w:pos="7925"/>
              </w:tabs>
              <w:autoSpaceDE w:val="0"/>
              <w:autoSpaceDN w:val="0"/>
              <w:adjustRightInd w:val="0"/>
              <w:snapToGrid w:val="0"/>
              <w:spacing w:line="240" w:lineRule="auto"/>
              <w:jc w:val="center"/>
              <w:rPr>
                <w:rFonts w:ascii="Times New Roman" w:hAnsi="Times New Roman"/>
                <w:szCs w:val="18"/>
              </w:rPr>
            </w:pPr>
            <w:r w:rsidRPr="007821EF">
              <w:rPr>
                <w:rFonts w:ascii="Times New Roman" w:hAnsi="Times New Roman"/>
                <w:szCs w:val="18"/>
              </w:rPr>
              <w:t xml:space="preserve">Awoyomi OJ,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{"citationID":"ECLydAlS","properties":{"formattedCitation":"(20)","plainCitation":"(20)","noteIndex":0},"citationItems":[{"id":12447,"uris":["http://zotero.org/users/6456139/items/S9XP9T2J"],"itemData":{"id":12447,"type":"article-journal","abstract":"BACKGROUND: The mpox (monkeypox) disease is a re-emerging viral zoonosis of international concern that is endemic in parts of Africa. The mpox virus (MPXV), which was hitherto largely limited to some Central and West African countries, was declared a public health emergency of international concern by the WHO on July 23, 2022 following the rapid spread of the virus to non-endemic countries. Globally, as of March 16, 2023, the WHO had reported 86,496 laboratory-confirmed cases of mpox and 111 deaths in 110 countries. Of the 1,420 cases of mpox reported in Africa as of March 16, 2023, Nigeria alone recorded 57.1% (812) of the confirmed cases and eight fatalities recorded in the continent. To help improve on the understanding of the current situation in Nigeria, the present study assessed the perception and knowledge of mpox among Nigerian healthcare workers, academics and tertiary students. The study also sought to highlight the global public health significance of the MPXV, and recommend a One Health approach to limit exporting of the virus beyond the borders of Nigeria.\nMETHODS: A web-based cross-sectional survey was conducted between 24 July 2022 and 12 August 2022 to evaluate the perception and knowledge of mpox among 1544 Nigerians, consisted of healthcare workers (n = 832), academics (n = 306) and tertiary students (n = 462). Data on the respondents' socio demographics and their information sources on mpox were also collected. Each correct response was allotted one point w</w:instrText>
            </w:r>
            <w:r w:rsidR="00B827B0">
              <w:rPr>
                <w:rFonts w:ascii="Times New Roman" w:hAnsi="Times New Roman" w:hint="eastAsia"/>
                <w:szCs w:val="18"/>
              </w:rPr>
              <w:instrText>hile an incorrect response was scored zero. The scores for perception and knowledge were dichotomized into positive (&gt;5.5) and negative (</w:instrText>
            </w:r>
            <w:r w:rsidR="00B827B0">
              <w:rPr>
                <w:rFonts w:ascii="Times New Roman" w:hAnsi="Times New Roman" w:hint="eastAsia"/>
                <w:szCs w:val="18"/>
              </w:rPr>
              <w:instrText>≤</w:instrText>
            </w:r>
            <w:r w:rsidR="00B827B0">
              <w:rPr>
                <w:rFonts w:ascii="Times New Roman" w:hAnsi="Times New Roman" w:hint="eastAsia"/>
                <w:szCs w:val="18"/>
              </w:rPr>
              <w:instrText>5.5) and adequate (&gt;5.8) and inadequate (</w:instrText>
            </w:r>
            <w:r w:rsidR="00B827B0">
              <w:rPr>
                <w:rFonts w:ascii="Times New Roman" w:hAnsi="Times New Roman" w:hint="eastAsia"/>
                <w:szCs w:val="18"/>
              </w:rPr>
              <w:instrText>≤</w:instrText>
            </w:r>
            <w:r w:rsidR="00B827B0">
              <w:rPr>
                <w:rFonts w:ascii="Times New Roman" w:hAnsi="Times New Roman" w:hint="eastAsia"/>
                <w:szCs w:val="18"/>
              </w:rPr>
              <w:instrText xml:space="preserve">5.8), respectively; using the average scores for perception and knowledge. </w:instrText>
            </w:r>
            <w:r w:rsidR="00B827B0">
              <w:rPr>
                <w:rFonts w:ascii="Times New Roman" w:hAnsi="Times New Roman"/>
                <w:szCs w:val="18"/>
              </w:rPr>
              <w:instrText xml:space="preserve">The average score for perception and knowledge were summarised and presented as the mean and standard deviation (SD). Chi-square tests of association and binary logistic regression were carried out to determine factors associated with the outcome variables.\nRESULTS: Of the 1452 respondents that had heard of mpox, 878 (60.5%) and 419 (28.9%) had adequate knowledge and positive perception concerning MPXV infection respectively. Average perception score was 5.5. Mean perception and knowledge scores were 4.5(SD: 2.0) and 5.8 (SD: 1.9), respectively. Factors that were significantly associated with knowledge level were age (p = 0.020) educational qualification attained (p = 0.004), occupation (p&lt;0.001), and geopolitical zone of residency (p = 0.001). There was a positive correlation between perception and knowledge scores (r = 0.4, p&lt;0.001). Positive perceptions were likely among respondents who had tertiary education, and residing in North-west Nigeria. Likewise, adequate knowledge scores were likely among respondents under 30 years of age, with tertiary education or reside in North-west Nigeria. Sources of information were significantly associated with perception (p = 0.004) and knowledge (p&lt;0.001) of the respondents.\nCONCLUSION: The findings of this study show that there is disparity in the knowledge and perception of mpox in the study population, and as a result, there is a need to intensify awareness about MPXV infection to enhance positive perception among the respondents. This has potential to safeguard public health and contain the disease thus preventing it from spreading to the global community. A One Health approach involving animal and human health workers is imperative for improved knowledge and a good perception towards the disease among respondents, and enhanced active surveillance and early detection of MPXV in reservoir hosts (rodents and non-human primates); to prevent reverse zoonotic transmission of the virus at the human-animal interface.","container-title":"PloS One","DOI":"10.1371/journal.pone.0283571","ISSN":"1932-6203","issue":"3","journalAbbreviation":"PLoS One","language":"eng","note":"PMID: 36996122\nPMCID: PMC10062623","page":"e0283571","source":"PubMed","title":"Mpox in Nigeria: Perceptions and knowledge of the disease among critical stakeholders-Global public health consequences","title-short":"Mpox in Nigeria","volume":"18","author":[{"family":"Awoyomi","given":"Olajoju J."},{"family":"Njoga","given":"Emmanuel O."},{"family":"Jaja","given":"Ishmael F."},{"family":"Oyeleye","given":"Felix A."},{"family":"Awoyomi","given":"Priscilla O."},{"family":"Ibrahim","given":"Musawa A."},{"family":"Saulawa","given":"M. A."},{"family":"Galadima","given":"Haruna B."},{"family":"Rowaiye","given":"Adekunle B."},{"family":"Olasoju","given":"Taiwo I."},{"family":"Idrisa","given":"Jamila A."},{"family":"Olalere","given":"Folasade D. H."},{"family":"Olasoju","given":"Mary I."},{"family":"Adisa","given":"Oluwatosin H."},{"family":"Adetunji","given":"Veronica E."},{"family":"Idemudia","given":"Osagie O."},{"family":"Ezenduka","given":"Ekene V."},{"family":"Oguttu","given":"James W."}],"issued":{"date-parts":[["2023"]]}}}],"schema":"https://github.com/citation-style-language/schema/raw/master/csl-citation.json"}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(20)</w:t>
            </w:r>
            <w:r w:rsidRPr="00CD1E71">
              <w:rPr>
                <w:rFonts w:ascii="Times New Roman" w:hAnsi="Times New Roman"/>
                <w:szCs w:val="18"/>
                <w:lang w:val="es-PE"/>
              </w:rPr>
              <w:fldChar w:fldCharType="end"/>
            </w:r>
          </w:p>
        </w:tc>
        <w:tc>
          <w:tcPr>
            <w:tcW w:w="638" w:type="dxa"/>
            <w:vAlign w:val="center"/>
          </w:tcPr>
          <w:p w14:paraId="43225E21" w14:textId="773238D2"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2023</w:t>
            </w:r>
          </w:p>
        </w:tc>
        <w:tc>
          <w:tcPr>
            <w:tcW w:w="927" w:type="dxa"/>
            <w:vAlign w:val="center"/>
          </w:tcPr>
          <w:p w14:paraId="188200E4" w14:textId="02ACE841"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Cross sectional</w:t>
            </w:r>
          </w:p>
        </w:tc>
        <w:tc>
          <w:tcPr>
            <w:tcW w:w="1117" w:type="dxa"/>
            <w:vAlign w:val="center"/>
          </w:tcPr>
          <w:p w14:paraId="4E68E9B1" w14:textId="539D988A"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Nigeria</w:t>
            </w:r>
          </w:p>
        </w:tc>
        <w:tc>
          <w:tcPr>
            <w:tcW w:w="850" w:type="dxa"/>
            <w:vAlign w:val="center"/>
          </w:tcPr>
          <w:p w14:paraId="29DA145A" w14:textId="659BEE39"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1544</w:t>
            </w:r>
          </w:p>
        </w:tc>
        <w:tc>
          <w:tcPr>
            <w:tcW w:w="1272" w:type="dxa"/>
            <w:vAlign w:val="center"/>
          </w:tcPr>
          <w:p w14:paraId="2E4B8D80" w14:textId="70542237"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General population</w:t>
            </w:r>
          </w:p>
        </w:tc>
        <w:tc>
          <w:tcPr>
            <w:tcW w:w="716" w:type="dxa"/>
            <w:vAlign w:val="center"/>
          </w:tcPr>
          <w:p w14:paraId="238021F2" w14:textId="42CCBCB8"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938</w:t>
            </w:r>
          </w:p>
        </w:tc>
        <w:tc>
          <w:tcPr>
            <w:tcW w:w="616" w:type="dxa"/>
            <w:vAlign w:val="center"/>
          </w:tcPr>
          <w:p w14:paraId="05A30E78" w14:textId="5FD6F7D6"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606</w:t>
            </w:r>
          </w:p>
        </w:tc>
        <w:tc>
          <w:tcPr>
            <w:tcW w:w="966" w:type="dxa"/>
            <w:vAlign w:val="center"/>
          </w:tcPr>
          <w:p w14:paraId="5B6EC4FE" w14:textId="76B9694A" w:rsidR="00834970" w:rsidRPr="009B46D2" w:rsidRDefault="0062052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 xml:space="preserve">479 </w:t>
            </w:r>
            <w:r w:rsidR="00834970" w:rsidRPr="009B46D2">
              <w:rPr>
                <w:rFonts w:ascii="Times New Roman" w:hAnsi="Times New Roman"/>
                <w:szCs w:val="18"/>
              </w:rPr>
              <w:t>(31%)</w:t>
            </w:r>
          </w:p>
        </w:tc>
        <w:tc>
          <w:tcPr>
            <w:tcW w:w="916" w:type="dxa"/>
            <w:vAlign w:val="center"/>
          </w:tcPr>
          <w:p w14:paraId="43883557" w14:textId="4998CDB1"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NR</w:t>
            </w:r>
          </w:p>
        </w:tc>
        <w:tc>
          <w:tcPr>
            <w:tcW w:w="866" w:type="dxa"/>
            <w:vAlign w:val="center"/>
          </w:tcPr>
          <w:p w14:paraId="5B73281D" w14:textId="11BA534C" w:rsidR="00834970" w:rsidRPr="009B46D2" w:rsidRDefault="0062052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 xml:space="preserve">185 </w:t>
            </w:r>
            <w:r w:rsidR="00834970" w:rsidRPr="009B46D2">
              <w:rPr>
                <w:rFonts w:ascii="Times New Roman" w:hAnsi="Times New Roman"/>
                <w:szCs w:val="18"/>
              </w:rPr>
              <w:t>(12%)</w:t>
            </w:r>
          </w:p>
        </w:tc>
        <w:tc>
          <w:tcPr>
            <w:tcW w:w="2138" w:type="dxa"/>
            <w:gridSpan w:val="2"/>
            <w:vAlign w:val="center"/>
          </w:tcPr>
          <w:p w14:paraId="2BAC9907" w14:textId="2A45A06D" w:rsidR="00834970" w:rsidRPr="009B46D2" w:rsidRDefault="000F3297"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 xml:space="preserve">448 </w:t>
            </w:r>
            <w:r w:rsidR="00834970" w:rsidRPr="009B46D2">
              <w:rPr>
                <w:rFonts w:ascii="Times New Roman" w:hAnsi="Times New Roman"/>
                <w:szCs w:val="18"/>
              </w:rPr>
              <w:t>(29%)</w:t>
            </w:r>
          </w:p>
        </w:tc>
        <w:tc>
          <w:tcPr>
            <w:tcW w:w="1528" w:type="dxa"/>
            <w:vAlign w:val="center"/>
          </w:tcPr>
          <w:p w14:paraId="17775BEA" w14:textId="093000DF" w:rsidR="00834970" w:rsidRPr="009B46D2" w:rsidRDefault="0062052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 xml:space="preserve">185 </w:t>
            </w:r>
            <w:r w:rsidR="00834970" w:rsidRPr="009B46D2">
              <w:rPr>
                <w:rFonts w:ascii="Times New Roman" w:hAnsi="Times New Roman"/>
                <w:szCs w:val="18"/>
              </w:rPr>
              <w:t>(12%)</w:t>
            </w:r>
          </w:p>
        </w:tc>
        <w:tc>
          <w:tcPr>
            <w:tcW w:w="866" w:type="dxa"/>
            <w:vAlign w:val="center"/>
          </w:tcPr>
          <w:p w14:paraId="590DE697" w14:textId="22ABD53D"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NR</w:t>
            </w:r>
          </w:p>
        </w:tc>
        <w:tc>
          <w:tcPr>
            <w:tcW w:w="866" w:type="dxa"/>
            <w:vAlign w:val="center"/>
          </w:tcPr>
          <w:p w14:paraId="05540CBF" w14:textId="003F3D09" w:rsidR="00834970" w:rsidRPr="009B46D2" w:rsidRDefault="00FA5F9D"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 xml:space="preserve">247 </w:t>
            </w:r>
            <w:r w:rsidR="00834970" w:rsidRPr="009B46D2">
              <w:rPr>
                <w:rFonts w:ascii="Times New Roman" w:hAnsi="Times New Roman"/>
                <w:szCs w:val="18"/>
              </w:rPr>
              <w:t>(16%)</w:t>
            </w:r>
          </w:p>
        </w:tc>
        <w:tc>
          <w:tcPr>
            <w:tcW w:w="1005" w:type="dxa"/>
            <w:vAlign w:val="center"/>
          </w:tcPr>
          <w:p w14:paraId="0E116FA1" w14:textId="3FDF4D5F" w:rsidR="00834970" w:rsidRPr="009B46D2" w:rsidRDefault="001C00E1"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NR</w:t>
            </w:r>
          </w:p>
        </w:tc>
        <w:tc>
          <w:tcPr>
            <w:tcW w:w="816" w:type="dxa"/>
            <w:vAlign w:val="center"/>
          </w:tcPr>
          <w:p w14:paraId="04799F5B" w14:textId="54D51848"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Online survey</w:t>
            </w:r>
          </w:p>
        </w:tc>
        <w:tc>
          <w:tcPr>
            <w:tcW w:w="1083" w:type="dxa"/>
            <w:vAlign w:val="center"/>
          </w:tcPr>
          <w:p w14:paraId="48E320BA" w14:textId="6DC4F44D" w:rsidR="00834970" w:rsidRPr="009B46D2" w:rsidRDefault="00834970" w:rsidP="004E48B3">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9B46D2">
              <w:rPr>
                <w:rFonts w:ascii="Times New Roman" w:hAnsi="Times New Roman"/>
                <w:szCs w:val="18"/>
              </w:rPr>
              <w:t>24 July - 12 August 2022</w:t>
            </w:r>
          </w:p>
        </w:tc>
      </w:tr>
      <w:tr w:rsidR="00A3517B" w:rsidRPr="00121F03" w14:paraId="15258452"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703559DC" w14:textId="3B1FE778" w:rsidR="00A3517B" w:rsidRPr="00121F03" w:rsidRDefault="00A3517B" w:rsidP="008176DA">
            <w:pPr>
              <w:tabs>
                <w:tab w:val="left" w:pos="7925"/>
              </w:tabs>
              <w:autoSpaceDE w:val="0"/>
              <w:autoSpaceDN w:val="0"/>
              <w:adjustRightInd w:val="0"/>
              <w:snapToGrid w:val="0"/>
              <w:spacing w:line="240" w:lineRule="auto"/>
              <w:jc w:val="center"/>
              <w:rPr>
                <w:rFonts w:ascii="Times New Roman" w:hAnsi="Times New Roman"/>
                <w:szCs w:val="18"/>
              </w:rPr>
            </w:pPr>
            <w:r w:rsidRPr="008A3FD1">
              <w:rPr>
                <w:rFonts w:ascii="Times New Roman" w:hAnsi="Times New Roman"/>
                <w:szCs w:val="18"/>
              </w:rPr>
              <w:t>Gonzales-Zamora JA, et al.</w:t>
            </w:r>
            <w:r w:rsidR="00222CDB" w:rsidRPr="008A3FD1">
              <w:rPr>
                <w:rFonts w:ascii="Times New Roman" w:hAnsi="Times New Roman"/>
                <w:szCs w:val="18"/>
              </w:rPr>
              <w:t xml:space="preserve"> </w:t>
            </w:r>
            <w:r w:rsidR="002D19BB">
              <w:rPr>
                <w:rFonts w:ascii="Times New Roman" w:hAnsi="Times New Roman"/>
                <w:szCs w:val="18"/>
                <w:lang w:val="es-PE"/>
              </w:rPr>
              <w:fldChar w:fldCharType="begin"/>
            </w:r>
            <w:r w:rsidR="00B827B0" w:rsidRPr="008A3FD1">
              <w:rPr>
                <w:rFonts w:ascii="Times New Roman" w:hAnsi="Times New Roman"/>
                <w:szCs w:val="18"/>
              </w:rPr>
              <w:instrText xml:space="preserve"> ADDIN ZOTERO_ITEM CSL_CITATION {"citationID":"mLIHFoi5","properties":{"formattedCitation":"(21)","plainCitation":"(21)","noteIndex":0},"citationItems":[{"id":11761,"uris":["http://zotero.org/users/6456139/items/R4R3FPT2"],"itemData":{"id":11761,"type":"article-journal","abstract":"Introduction: Due to the high incidence of mpox in Peru and the poor knowledge about this disease among healthcare workers in non-endemic countries, it is crucial to determine the knowledge status of Peruvian physicians. Methodology: We conducted an analytical cross-sectional study based on an online survey from August to September 2022. Physicians who had a medical license and lived and practiced medicine in Peru were included. To evaluate the factors associated with a higher level of knowledge, we used crude (cPR) and adjusted (aPR) prevalence ratios with 95% confidence intervals (95% CI) using Poisson regression. Results: We included 463 physicians. The mean age was 36.6 (SD: 10.3) years, and most were male (58.1%). Regarding knowledge, the median knowledge score was 14 [IQR: 13 to 15] out of 17 points. In terms of knowledge gaps, only 60.7% of the participants knew that there was an FDA-approved vaccine for mpox, 49.0% of participants knew about mpox proctitis and 33.3% acknowledged that it could be tran</w:instrText>
            </w:r>
            <w:r w:rsidR="00B827B0">
              <w:rPr>
                <w:rFonts w:ascii="Times New Roman" w:hAnsi="Times New Roman"/>
                <w:szCs w:val="18"/>
                <w:lang w:val="es-PE"/>
              </w:rPr>
              <w:instrText>smitted by the bite of an infected rodent. We found that taking care of patients with mpox (aPR: 1.39; 95% CI: 1.13 to 1.72) was associated with higher knowledge (&gt;p50), while living in the eastern macro-region (aPR: 0.62; 9</w:instrText>
            </w:r>
            <w:r w:rsidR="00B827B0">
              <w:rPr>
                <w:rFonts w:ascii="Times New Roman" w:hAnsi="Times New Roman" w:hint="eastAsia"/>
                <w:szCs w:val="18"/>
                <w:lang w:val="es-PE"/>
              </w:rPr>
              <w:instrText>5% CI: 0.42 to 0.93) was associated with lower knowledge (</w:instrText>
            </w:r>
            <w:r w:rsidR="00B827B0">
              <w:rPr>
                <w:rFonts w:ascii="Times New Roman" w:hAnsi="Times New Roman" w:hint="eastAsia"/>
                <w:szCs w:val="18"/>
                <w:lang w:val="es-PE"/>
              </w:rPr>
              <w:instrText>≤</w:instrText>
            </w:r>
            <w:r w:rsidR="00B827B0">
              <w:rPr>
                <w:rFonts w:ascii="Times New Roman" w:hAnsi="Times New Roman" w:hint="eastAsia"/>
                <w:szCs w:val="18"/>
                <w:lang w:val="es-PE"/>
              </w:rPr>
              <w:instrText>p50). Conclusions: Our study showed a high level of knowledge about mpox among Peruvian physici</w:instrText>
            </w:r>
            <w:r w:rsidR="00B827B0" w:rsidRPr="008A3FD1">
              <w:rPr>
                <w:rFonts w:ascii="Times New Roman" w:hAnsi="Times New Roman" w:hint="eastAsia"/>
                <w:szCs w:val="18"/>
              </w:rPr>
              <w:instrText>ans. However, educational campaigns may be necessary, especially for physicians from the eastern regi</w:instrText>
            </w:r>
            <w:r w:rsidR="00B827B0" w:rsidRPr="008A3FD1">
              <w:rPr>
                <w:rFonts w:ascii="Times New Roman" w:hAnsi="Times New Roman"/>
                <w:szCs w:val="18"/>
              </w:rPr>
              <w:instrText>on and those who do not have clinical experience with mpox.","container-title":"Vaccines","DOI":"10.3390/vaccines11010167","ISSN":"2076-393X","issue":"1","journalAbbreviation":"Vaccines (Basel)","language":"eng","note":"PMID: 36680012\nPMCID: PMC9860588","page":"167","source":"PubMed","title":"Level of Knowledge Regarding Mpox among Peruvian Physicians during the 2022 Outbreak: A Cross-Sectional Study","title-short":"Level of Knowledge Regarding Mpox among Peruvian Physicians during the 2022 Outbreak","volume":"11","author":[{"family":"Gonzales-Zamora","given":"Jose A."},{"family":"Soriano-Moreno","given":"David R."},{"family":"Soriano-Moreno","given":"Anderson N."},{"family":"Ponce-Rosas","given":"Linda"},{"family":"Sangster-Carrasco","given":"Lucero"},{"family":"De-Los-Rios-Pinto","given":"Abraham"},{"family":"Benito-Vargas","given":"Raysa M."},{"family":"Murrieta-Ruiz","given":"Valentina"},{"family":"Morocho-Alburqueque","given":"Noelia"},{"family":"Caira-Chuquineyra","given":"Brenda"},{"family":"Fernandez-Guzman","given":"Daniel"},{"family":"Ccami-Bernal","given":"Fabricio"},{"family":"Quispe-Vicuña","given":"Carlos"},{"family":"Alarcon-Parra","given":"Mariano"},{"</w:instrText>
            </w:r>
            <w:r w:rsidR="00B827B0" w:rsidRPr="00B827B0">
              <w:rPr>
                <w:rFonts w:ascii="Times New Roman" w:hAnsi="Times New Roman"/>
                <w:szCs w:val="18"/>
              </w:rPr>
              <w:instrText xml:space="preserve">family":"Pinedo-Soria","given":"Antony"},{"family":"Alave","given":"Jorge"}],"issued":{"date-parts":[["2023",1,12]]}}}],"schema":"https://github.com/citation-style-language/schema/raw/master/csl-citation.json"} </w:instrText>
            </w:r>
            <w:r w:rsidR="002D19BB">
              <w:rPr>
                <w:rFonts w:ascii="Times New Roman" w:hAnsi="Times New Roman"/>
                <w:szCs w:val="18"/>
                <w:lang w:val="es-PE"/>
              </w:rPr>
              <w:fldChar w:fldCharType="separate"/>
            </w:r>
            <w:r w:rsidR="00B827B0" w:rsidRPr="00B827B0">
              <w:rPr>
                <w:rFonts w:ascii="Times New Roman" w:hAnsi="Times New Roman"/>
              </w:rPr>
              <w:t>(21)</w:t>
            </w:r>
            <w:r w:rsidR="002D19BB">
              <w:rPr>
                <w:rFonts w:ascii="Times New Roman" w:hAnsi="Times New Roman"/>
                <w:szCs w:val="18"/>
                <w:lang w:val="es-PE"/>
              </w:rPr>
              <w:fldChar w:fldCharType="end"/>
            </w:r>
          </w:p>
        </w:tc>
        <w:tc>
          <w:tcPr>
            <w:tcW w:w="638" w:type="dxa"/>
            <w:vAlign w:val="center"/>
          </w:tcPr>
          <w:p w14:paraId="49C54A20" w14:textId="3058DCBD"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2023</w:t>
            </w:r>
          </w:p>
        </w:tc>
        <w:tc>
          <w:tcPr>
            <w:tcW w:w="927" w:type="dxa"/>
            <w:vAlign w:val="center"/>
          </w:tcPr>
          <w:p w14:paraId="30B99B8C" w14:textId="5C1904A9"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Cross sectional</w:t>
            </w:r>
          </w:p>
        </w:tc>
        <w:tc>
          <w:tcPr>
            <w:tcW w:w="1117" w:type="dxa"/>
            <w:vAlign w:val="center"/>
          </w:tcPr>
          <w:p w14:paraId="5B910F3E" w14:textId="7E030034"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Peru</w:t>
            </w:r>
          </w:p>
        </w:tc>
        <w:tc>
          <w:tcPr>
            <w:tcW w:w="850" w:type="dxa"/>
            <w:vAlign w:val="center"/>
          </w:tcPr>
          <w:p w14:paraId="67029F01" w14:textId="07536A7B"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463</w:t>
            </w:r>
          </w:p>
        </w:tc>
        <w:tc>
          <w:tcPr>
            <w:tcW w:w="1272" w:type="dxa"/>
            <w:vAlign w:val="center"/>
          </w:tcPr>
          <w:p w14:paraId="6A9ACF43" w14:textId="7EC45ADC"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Healthcare Workers</w:t>
            </w:r>
          </w:p>
        </w:tc>
        <w:tc>
          <w:tcPr>
            <w:tcW w:w="716" w:type="dxa"/>
            <w:vAlign w:val="center"/>
          </w:tcPr>
          <w:p w14:paraId="500E3EBE" w14:textId="3D0EBDF1"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269</w:t>
            </w:r>
          </w:p>
        </w:tc>
        <w:tc>
          <w:tcPr>
            <w:tcW w:w="616" w:type="dxa"/>
            <w:vAlign w:val="center"/>
          </w:tcPr>
          <w:p w14:paraId="4D89CD19" w14:textId="6F0FEE9D" w:rsidR="00A3517B" w:rsidRPr="00121F03" w:rsidRDefault="00A3517B"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194</w:t>
            </w:r>
          </w:p>
        </w:tc>
        <w:tc>
          <w:tcPr>
            <w:tcW w:w="966" w:type="dxa"/>
            <w:vAlign w:val="center"/>
          </w:tcPr>
          <w:p w14:paraId="3A8E1C43" w14:textId="0F84EAE6" w:rsidR="00A3517B" w:rsidRPr="00121F03" w:rsidRDefault="0087245E"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206 </w:t>
            </w:r>
            <w:r w:rsidR="00B43045" w:rsidRPr="00121F03">
              <w:rPr>
                <w:rFonts w:ascii="Times New Roman" w:hAnsi="Times New Roman"/>
                <w:szCs w:val="18"/>
              </w:rPr>
              <w:t>(44.4%)</w:t>
            </w:r>
          </w:p>
        </w:tc>
        <w:tc>
          <w:tcPr>
            <w:tcW w:w="916" w:type="dxa"/>
            <w:vAlign w:val="center"/>
          </w:tcPr>
          <w:p w14:paraId="78DF0A8E" w14:textId="133F50D8" w:rsidR="00A3517B" w:rsidRPr="00121F03" w:rsidRDefault="00B43045"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NR</w:t>
            </w:r>
          </w:p>
        </w:tc>
        <w:tc>
          <w:tcPr>
            <w:tcW w:w="1832" w:type="dxa"/>
            <w:gridSpan w:val="2"/>
            <w:vAlign w:val="center"/>
          </w:tcPr>
          <w:p w14:paraId="159B3145" w14:textId="2DAD384F" w:rsidR="00A3517B" w:rsidRPr="00121F03" w:rsidRDefault="00D56C76"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232 </w:t>
            </w:r>
            <w:r w:rsidR="00A3517B" w:rsidRPr="00121F03">
              <w:rPr>
                <w:rFonts w:ascii="Times New Roman" w:hAnsi="Times New Roman"/>
                <w:szCs w:val="18"/>
              </w:rPr>
              <w:t>(50.0%)</w:t>
            </w:r>
          </w:p>
        </w:tc>
        <w:tc>
          <w:tcPr>
            <w:tcW w:w="1172" w:type="dxa"/>
            <w:vAlign w:val="center"/>
          </w:tcPr>
          <w:p w14:paraId="7DBDDD29" w14:textId="009B50AC" w:rsidR="00A3517B" w:rsidRPr="00121F03" w:rsidRDefault="00D56C76"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96 </w:t>
            </w:r>
            <w:r w:rsidR="00D67F3A" w:rsidRPr="00121F03">
              <w:rPr>
                <w:rFonts w:ascii="Times New Roman" w:hAnsi="Times New Roman"/>
                <w:szCs w:val="18"/>
              </w:rPr>
              <w:t>(20.7%)</w:t>
            </w:r>
          </w:p>
        </w:tc>
        <w:tc>
          <w:tcPr>
            <w:tcW w:w="1528" w:type="dxa"/>
            <w:vAlign w:val="center"/>
          </w:tcPr>
          <w:p w14:paraId="77DA5777" w14:textId="7560A826" w:rsidR="00A3517B" w:rsidRPr="00121F03" w:rsidRDefault="003E1691"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145 </w:t>
            </w:r>
            <w:r w:rsidR="00D67F3A" w:rsidRPr="00121F03">
              <w:rPr>
                <w:rFonts w:ascii="Times New Roman" w:hAnsi="Times New Roman"/>
                <w:szCs w:val="18"/>
              </w:rPr>
              <w:t>(31.3)</w:t>
            </w:r>
          </w:p>
        </w:tc>
        <w:tc>
          <w:tcPr>
            <w:tcW w:w="1732" w:type="dxa"/>
            <w:gridSpan w:val="2"/>
            <w:vAlign w:val="center"/>
          </w:tcPr>
          <w:p w14:paraId="3E366878" w14:textId="27822971" w:rsidR="00A3517B" w:rsidRPr="00121F03" w:rsidRDefault="003E1691"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335 </w:t>
            </w:r>
            <w:r w:rsidR="00A3517B" w:rsidRPr="00121F03">
              <w:rPr>
                <w:rFonts w:ascii="Times New Roman" w:hAnsi="Times New Roman"/>
                <w:szCs w:val="18"/>
              </w:rPr>
              <w:t>(72.2%)</w:t>
            </w:r>
          </w:p>
        </w:tc>
        <w:tc>
          <w:tcPr>
            <w:tcW w:w="1005" w:type="dxa"/>
            <w:vAlign w:val="center"/>
          </w:tcPr>
          <w:p w14:paraId="4852969D" w14:textId="61769E1F" w:rsidR="00A3517B" w:rsidRPr="00121F03" w:rsidRDefault="003E1691"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 xml:space="preserve">180 </w:t>
            </w:r>
            <w:r w:rsidR="00B43045" w:rsidRPr="00121F03">
              <w:rPr>
                <w:rFonts w:ascii="Times New Roman" w:hAnsi="Times New Roman"/>
                <w:szCs w:val="18"/>
              </w:rPr>
              <w:t>(38.8%)</w:t>
            </w:r>
          </w:p>
        </w:tc>
        <w:tc>
          <w:tcPr>
            <w:tcW w:w="816" w:type="dxa"/>
            <w:vAlign w:val="center"/>
          </w:tcPr>
          <w:p w14:paraId="2368E8C4" w14:textId="4A093DCF" w:rsidR="00A3517B" w:rsidRPr="00121F03" w:rsidRDefault="008D1059"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Online survey</w:t>
            </w:r>
          </w:p>
        </w:tc>
        <w:tc>
          <w:tcPr>
            <w:tcW w:w="1083" w:type="dxa"/>
            <w:vAlign w:val="center"/>
          </w:tcPr>
          <w:p w14:paraId="0AB677FB" w14:textId="2F718789" w:rsidR="00A3517B" w:rsidRPr="00121F03" w:rsidRDefault="008D1059" w:rsidP="008176DA">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121F03">
              <w:rPr>
                <w:rFonts w:ascii="Times New Roman" w:hAnsi="Times New Roman"/>
                <w:szCs w:val="18"/>
              </w:rPr>
              <w:t>10 August - 4 September 2022</w:t>
            </w:r>
          </w:p>
        </w:tc>
      </w:tr>
      <w:tr w:rsidR="009E276F" w:rsidRPr="00C0126D" w14:paraId="6FFF8F84"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1D1B67F2" w14:textId="5CD02696" w:rsidR="009E276F" w:rsidRPr="00C0126D" w:rsidRDefault="009E276F" w:rsidP="005D3E01">
            <w:pPr>
              <w:tabs>
                <w:tab w:val="left" w:pos="7925"/>
              </w:tabs>
              <w:autoSpaceDE w:val="0"/>
              <w:autoSpaceDN w:val="0"/>
              <w:adjustRightInd w:val="0"/>
              <w:snapToGrid w:val="0"/>
              <w:spacing w:line="240" w:lineRule="auto"/>
              <w:jc w:val="center"/>
              <w:rPr>
                <w:rFonts w:ascii="Times New Roman" w:hAnsi="Times New Roman"/>
                <w:szCs w:val="18"/>
                <w:lang w:val="es-PE"/>
              </w:rPr>
            </w:pPr>
            <w:r w:rsidRPr="008A3FD1">
              <w:rPr>
                <w:rFonts w:ascii="Times New Roman" w:hAnsi="Times New Roman"/>
                <w:szCs w:val="18"/>
              </w:rPr>
              <w:t>Abu-Farha RK, et al.</w:t>
            </w:r>
            <w:r w:rsidR="00231A6D" w:rsidRPr="008A3FD1">
              <w:rPr>
                <w:rFonts w:ascii="Times New Roman" w:hAnsi="Times New Roman"/>
                <w:szCs w:val="18"/>
              </w:rPr>
              <w:t xml:space="preserve"> </w:t>
            </w:r>
            <w:r w:rsidR="00231A6D">
              <w:rPr>
                <w:rFonts w:ascii="Times New Roman" w:hAnsi="Times New Roman"/>
                <w:szCs w:val="18"/>
                <w:lang w:val="es-PE"/>
              </w:rPr>
              <w:fldChar w:fldCharType="begin"/>
            </w:r>
            <w:r w:rsidR="00B827B0" w:rsidRPr="008A3FD1">
              <w:rPr>
                <w:rFonts w:ascii="Times New Roman" w:hAnsi="Times New Roman"/>
                <w:szCs w:val="18"/>
              </w:rPr>
              <w:instrText xml:space="preserve"> ADDIN ZOTERO_ITEM CSL_CITATION {"citationID":"6ITENv8d","properties":{"formattedCitation":"(22)","plainCitation":"(22)","noteIndex":0},"citationItems":[{"id":12462,"uris":["http://zotero.org/users/6456139/items/383X7ZF5"],"itemData":{"id":12462,"type":"article-journal","abstract":"Hundreds of human mpox cases are spreading outside of Western and Central Africa, which could be considered a significant world health problem. In this study, we sought to assess public knowledge and perceptions of human mpox. The study was a cross-sectional survey conducted in Jordan in September-October 2022. All participants were approached through social media portals. A total of 1195 participants agreed to participate in this study. The participants showed a low median knowledge score about human mpox (4.0 out of 15.0, IQR = 5.0), with only 27.9% of the participants (n = 334) correctly identifying that human mpox is not a bacterial disease, and around half of them (n = 589, 49.3%) knowing that this disease affects both gen</w:instrText>
            </w:r>
            <w:r w:rsidR="00B827B0" w:rsidRPr="008A3FD1">
              <w:rPr>
                <w:rFonts w:ascii="Times New Roman" w:hAnsi="Times New Roman" w:hint="eastAsia"/>
                <w:szCs w:val="18"/>
              </w:rPr>
              <w:instrText>ders. Higher monthly income (</w:instrText>
            </w:r>
            <w:r w:rsidR="00B827B0" w:rsidRPr="008A3FD1">
              <w:rPr>
                <w:rFonts w:ascii="Times New Roman" w:hAnsi="Times New Roman" w:hint="eastAsia"/>
                <w:szCs w:val="18"/>
              </w:rPr>
              <w:instrText>≥</w:instrText>
            </w:r>
            <w:r w:rsidR="00B827B0" w:rsidRPr="008A3FD1">
              <w:rPr>
                <w:rFonts w:ascii="Times New Roman" w:hAnsi="Times New Roman" w:hint="eastAsia"/>
                <w:szCs w:val="18"/>
              </w:rPr>
              <w:instrText>400 JD/month) was significantly associated with better knowledge about the disease. Social media was the most comprehensive source of information about mpox (n = 1018, 85.2%). Finally, 57.3% of the participants (n = 685) beli</w:instrText>
            </w:r>
            <w:r w:rsidR="00B827B0" w:rsidRPr="008A3FD1">
              <w:rPr>
                <w:rFonts w:ascii="Times New Roman" w:hAnsi="Times New Roman"/>
                <w:szCs w:val="18"/>
              </w:rPr>
              <w:instrText>eved that mpox would af</w:instrText>
            </w:r>
            <w:r w:rsidR="00B827B0">
              <w:rPr>
                <w:rFonts w:ascii="Times New Roman" w:hAnsi="Times New Roman"/>
                <w:szCs w:val="18"/>
                <w:lang w:val="es-PE"/>
              </w:rPr>
              <w:instrText xml:space="preserve">fect social and economic life, like the COVID-19 pandemic. These findings highlight the urgent need for systematic strategies that should be promoted to increase public knowledge of mpox, which will be critical in improving the capacity to respond to the disease.","container-title":"Tropical Medicine and Infectious Disease","DOI":"10.3390/tropicalmed8010041","ISSN":"2414-6366","issue":"1","journalAbbreviation":"Trop Med Infect Dis","language":"eng","note":"PMID: 36668948\nPMCID: PMC9861141","page":"41","source":"PubMed","title":"Public Knowledge and Perceptions about the Emerging Human Mpox in Jordan: A Cross-Sectional Study","title-short":"Public Knowledge and Perceptions about the Emerging Human Mpox in Jordan","volume":"8","author":[{"family":"Abu-Farha","given":"Rana K."},{"family":"Alzoubi","given":"Karem H."},{"family":"Mukattash","given":"Tareq L."},{"family":"Alkhawaldeh","given":"Rama"},{"family":"Barakat","given":"Muna"},{"family":"Thiab","given":"Samar"}],"issued":{"date-parts":[["2023",1,5]]}}}],"schema":"https://github.com/citation-style-language/schema/raw/master/csl-citation.json"} </w:instrText>
            </w:r>
            <w:r w:rsidR="00231A6D">
              <w:rPr>
                <w:rFonts w:ascii="Times New Roman" w:hAnsi="Times New Roman"/>
                <w:szCs w:val="18"/>
                <w:lang w:val="es-PE"/>
              </w:rPr>
              <w:fldChar w:fldCharType="separate"/>
            </w:r>
            <w:r w:rsidR="00B827B0" w:rsidRPr="00B827B0">
              <w:rPr>
                <w:rFonts w:ascii="Times New Roman" w:hAnsi="Times New Roman"/>
              </w:rPr>
              <w:t>(22)</w:t>
            </w:r>
            <w:r w:rsidR="00231A6D">
              <w:rPr>
                <w:rFonts w:ascii="Times New Roman" w:hAnsi="Times New Roman"/>
                <w:szCs w:val="18"/>
                <w:lang w:val="es-PE"/>
              </w:rPr>
              <w:fldChar w:fldCharType="end"/>
            </w:r>
            <w:r>
              <w:rPr>
                <w:rFonts w:ascii="Times New Roman" w:hAnsi="Times New Roman"/>
                <w:szCs w:val="18"/>
                <w:lang w:val="es-PE"/>
              </w:rPr>
              <w:t xml:space="preserve"> </w:t>
            </w:r>
          </w:p>
        </w:tc>
        <w:tc>
          <w:tcPr>
            <w:tcW w:w="638" w:type="dxa"/>
            <w:vAlign w:val="center"/>
          </w:tcPr>
          <w:p w14:paraId="3F6F835C" w14:textId="4A76A523" w:rsidR="009E276F" w:rsidRPr="003A177B"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3A177B">
              <w:rPr>
                <w:rFonts w:ascii="Times New Roman" w:hAnsi="Times New Roman"/>
                <w:szCs w:val="18"/>
              </w:rPr>
              <w:t>2023</w:t>
            </w:r>
          </w:p>
        </w:tc>
        <w:tc>
          <w:tcPr>
            <w:tcW w:w="927" w:type="dxa"/>
            <w:vAlign w:val="center"/>
          </w:tcPr>
          <w:p w14:paraId="340F2F19" w14:textId="44AA1192" w:rsidR="009E276F" w:rsidRPr="003A177B"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3A177B">
              <w:rPr>
                <w:rFonts w:ascii="Times New Roman" w:hAnsi="Times New Roman"/>
                <w:szCs w:val="18"/>
              </w:rPr>
              <w:t>Cross sectional</w:t>
            </w:r>
          </w:p>
        </w:tc>
        <w:tc>
          <w:tcPr>
            <w:tcW w:w="1117" w:type="dxa"/>
            <w:vAlign w:val="center"/>
          </w:tcPr>
          <w:p w14:paraId="458EA148" w14:textId="538E4BE1"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5D3E01">
              <w:rPr>
                <w:rFonts w:ascii="Times New Roman" w:hAnsi="Times New Roman"/>
                <w:szCs w:val="18"/>
                <w:lang w:val="es-PE"/>
              </w:rPr>
              <w:t>Jordan</w:t>
            </w:r>
          </w:p>
        </w:tc>
        <w:tc>
          <w:tcPr>
            <w:tcW w:w="850" w:type="dxa"/>
            <w:vAlign w:val="center"/>
          </w:tcPr>
          <w:p w14:paraId="0BCE20C6" w14:textId="58E35EE0"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5D3E01">
              <w:rPr>
                <w:rFonts w:ascii="Times New Roman" w:hAnsi="Times New Roman"/>
                <w:szCs w:val="18"/>
                <w:lang w:val="es-PE"/>
              </w:rPr>
              <w:t>1195</w:t>
            </w:r>
          </w:p>
        </w:tc>
        <w:tc>
          <w:tcPr>
            <w:tcW w:w="1272" w:type="dxa"/>
            <w:vAlign w:val="center"/>
          </w:tcPr>
          <w:p w14:paraId="7DCC08B1" w14:textId="200B9484"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General population</w:t>
            </w:r>
          </w:p>
        </w:tc>
        <w:tc>
          <w:tcPr>
            <w:tcW w:w="716" w:type="dxa"/>
            <w:vAlign w:val="center"/>
          </w:tcPr>
          <w:p w14:paraId="17767A6B" w14:textId="6280E09B"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9E276F">
              <w:rPr>
                <w:rFonts w:ascii="Times New Roman" w:hAnsi="Times New Roman"/>
                <w:szCs w:val="18"/>
                <w:lang w:val="es-PE"/>
              </w:rPr>
              <w:t>524</w:t>
            </w:r>
          </w:p>
        </w:tc>
        <w:tc>
          <w:tcPr>
            <w:tcW w:w="616" w:type="dxa"/>
            <w:vAlign w:val="center"/>
          </w:tcPr>
          <w:p w14:paraId="3743281F" w14:textId="29CD56B9"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9E276F">
              <w:rPr>
                <w:rFonts w:ascii="Times New Roman" w:hAnsi="Times New Roman"/>
                <w:szCs w:val="18"/>
                <w:lang w:val="es-PE"/>
              </w:rPr>
              <w:t>671</w:t>
            </w:r>
          </w:p>
        </w:tc>
        <w:tc>
          <w:tcPr>
            <w:tcW w:w="966" w:type="dxa"/>
            <w:vAlign w:val="center"/>
          </w:tcPr>
          <w:p w14:paraId="26671185" w14:textId="66D76B23" w:rsidR="009E276F" w:rsidRPr="00C0126D" w:rsidRDefault="00FC1CF4"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1019 </w:t>
            </w:r>
            <w:r w:rsidR="009E276F">
              <w:rPr>
                <w:rFonts w:ascii="Times New Roman" w:hAnsi="Times New Roman"/>
                <w:szCs w:val="18"/>
                <w:lang w:val="es-PE"/>
              </w:rPr>
              <w:t>(85.2%)</w:t>
            </w:r>
          </w:p>
        </w:tc>
        <w:tc>
          <w:tcPr>
            <w:tcW w:w="916" w:type="dxa"/>
            <w:vAlign w:val="center"/>
          </w:tcPr>
          <w:p w14:paraId="5B17D024" w14:textId="7275C4F4"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1832" w:type="dxa"/>
            <w:gridSpan w:val="2"/>
            <w:vAlign w:val="center"/>
          </w:tcPr>
          <w:p w14:paraId="709A3B4A" w14:textId="50392082" w:rsidR="009E276F" w:rsidRPr="00C0126D" w:rsidRDefault="00B143D9"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74</w:t>
            </w:r>
            <w:r w:rsidR="00B669AF">
              <w:rPr>
                <w:rFonts w:ascii="Times New Roman" w:hAnsi="Times New Roman"/>
                <w:szCs w:val="18"/>
                <w:lang w:val="es-PE"/>
              </w:rPr>
              <w:t>1</w:t>
            </w:r>
            <w:r>
              <w:rPr>
                <w:rFonts w:ascii="Times New Roman" w:hAnsi="Times New Roman"/>
                <w:szCs w:val="18"/>
                <w:lang w:val="es-PE"/>
              </w:rPr>
              <w:t xml:space="preserve"> </w:t>
            </w:r>
            <w:r w:rsidR="009E276F">
              <w:rPr>
                <w:rFonts w:ascii="Times New Roman" w:hAnsi="Times New Roman"/>
                <w:szCs w:val="18"/>
                <w:lang w:val="es-PE"/>
              </w:rPr>
              <w:t>(62.1%)</w:t>
            </w:r>
          </w:p>
        </w:tc>
        <w:tc>
          <w:tcPr>
            <w:tcW w:w="1172" w:type="dxa"/>
            <w:vAlign w:val="center"/>
          </w:tcPr>
          <w:p w14:paraId="67E18136" w14:textId="688CFDE7"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1528" w:type="dxa"/>
            <w:vAlign w:val="center"/>
          </w:tcPr>
          <w:p w14:paraId="5126F438" w14:textId="5C725FE0" w:rsidR="009E276F" w:rsidRPr="00C0126D" w:rsidRDefault="003A177B"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557 </w:t>
            </w:r>
            <w:r w:rsidR="009E276F">
              <w:rPr>
                <w:rFonts w:ascii="Times New Roman" w:hAnsi="Times New Roman"/>
                <w:szCs w:val="18"/>
                <w:lang w:val="es-PE"/>
              </w:rPr>
              <w:t>(46.6%)</w:t>
            </w:r>
          </w:p>
        </w:tc>
        <w:tc>
          <w:tcPr>
            <w:tcW w:w="866" w:type="dxa"/>
            <w:vAlign w:val="center"/>
          </w:tcPr>
          <w:p w14:paraId="5E73EEFE" w14:textId="68404366"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866" w:type="dxa"/>
            <w:vAlign w:val="center"/>
          </w:tcPr>
          <w:p w14:paraId="20A480A2" w14:textId="6C19C3F2"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1005" w:type="dxa"/>
            <w:vAlign w:val="center"/>
          </w:tcPr>
          <w:p w14:paraId="61E79214" w14:textId="2B0FC460"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816" w:type="dxa"/>
            <w:vAlign w:val="center"/>
          </w:tcPr>
          <w:p w14:paraId="0BDBF132" w14:textId="33749899"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Online survey</w:t>
            </w:r>
          </w:p>
        </w:tc>
        <w:tc>
          <w:tcPr>
            <w:tcW w:w="1083" w:type="dxa"/>
            <w:vAlign w:val="center"/>
          </w:tcPr>
          <w:p w14:paraId="0FC0BC2C" w14:textId="2DFC53DF" w:rsidR="009E276F" w:rsidRPr="00C0126D" w:rsidRDefault="009E276F" w:rsidP="005D3E01">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lang w:val="es-PE"/>
              </w:rPr>
            </w:pPr>
            <w:r w:rsidRPr="005D3E01">
              <w:rPr>
                <w:rFonts w:ascii="Times New Roman" w:hAnsi="Times New Roman"/>
                <w:szCs w:val="18"/>
                <w:lang w:val="es-PE"/>
              </w:rPr>
              <w:t xml:space="preserve">September </w:t>
            </w:r>
            <w:r>
              <w:rPr>
                <w:rFonts w:ascii="Times New Roman" w:hAnsi="Times New Roman"/>
                <w:szCs w:val="18"/>
                <w:lang w:val="es-PE"/>
              </w:rPr>
              <w:t>-</w:t>
            </w:r>
            <w:r w:rsidRPr="005D3E01">
              <w:rPr>
                <w:rFonts w:ascii="Times New Roman" w:hAnsi="Times New Roman"/>
                <w:szCs w:val="18"/>
                <w:lang w:val="es-PE"/>
              </w:rPr>
              <w:t xml:space="preserve"> October 2022</w:t>
            </w:r>
          </w:p>
        </w:tc>
      </w:tr>
      <w:tr w:rsidR="007B6508" w:rsidRPr="00173710" w14:paraId="6E09D272"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2E1C61EA" w14:textId="5DFAA8EF" w:rsidR="007B6508" w:rsidRPr="00173710" w:rsidRDefault="007B6508" w:rsidP="00C72EB0">
            <w:pPr>
              <w:tabs>
                <w:tab w:val="left" w:pos="7925"/>
              </w:tabs>
              <w:autoSpaceDE w:val="0"/>
              <w:autoSpaceDN w:val="0"/>
              <w:adjustRightInd w:val="0"/>
              <w:snapToGrid w:val="0"/>
              <w:spacing w:line="240" w:lineRule="auto"/>
              <w:jc w:val="center"/>
              <w:rPr>
                <w:rFonts w:ascii="Times New Roman" w:hAnsi="Times New Roman"/>
                <w:szCs w:val="18"/>
                <w:lang w:val="es-PE"/>
              </w:rPr>
            </w:pPr>
            <w:r w:rsidRPr="00173710">
              <w:rPr>
                <w:rFonts w:ascii="Times New Roman" w:hAnsi="Times New Roman"/>
                <w:szCs w:val="18"/>
                <w:lang w:val="es-PE"/>
              </w:rPr>
              <w:t>Araoz-Salinas JM, et a</w:t>
            </w:r>
            <w:r>
              <w:rPr>
                <w:rFonts w:ascii="Times New Roman" w:hAnsi="Times New Roman"/>
                <w:szCs w:val="18"/>
                <w:lang w:val="es-PE"/>
              </w:rPr>
              <w:t xml:space="preserve">l. </w:t>
            </w:r>
            <w:r w:rsidR="005227CE">
              <w:rPr>
                <w:rFonts w:ascii="Times New Roman" w:hAnsi="Times New Roman"/>
                <w:szCs w:val="18"/>
                <w:lang w:val="es-PE"/>
              </w:rPr>
              <w:fldChar w:fldCharType="begin"/>
            </w:r>
            <w:r w:rsidR="00B827B0">
              <w:rPr>
                <w:rFonts w:ascii="Times New Roman" w:hAnsi="Times New Roman"/>
                <w:szCs w:val="18"/>
                <w:lang w:val="es-PE"/>
              </w:rPr>
              <w:instrText xml:space="preserve"> ADDIN ZOTERO_ITEM CSL_CITATION {"citationID":"aFLEHIuK","properties":{"formattedCitation":"(23)","plainCitation":"(23)","noteIndex":0},"citationItems":[{"id":12438,"uris":["http://zotero.org/users/6456139/items/8RW3UBG4"],"itemData":{"id":12438,"type":"article-journal","abstract":"Vaccination against mpox can control the outbreak by targeting high-risk groups such as the LGBTIQ+ community. The aim of the study was to evaluate the perceptions and intentions to get vaccinated against mpox among the LGBTIQ+ community in Peru. We conducted a cross-sectional study from 1 November 2022 to 17 January 2023 in Peru. We included individuals over 18 years old, belonging to the LGBTIQ+ community, and residing in the departments of Lima and Callao. To evaluate the factors associated with the intention to be vaccinated, we used Poisson regression with robust variance to create a multivariate model. The study comprised 373 individuals who self-identified as members of the LGBTIQ+ community. The participants had a mean age of 31 years (SD ± 9), with 85.0% males and 75.3% reporting to be homosexual men. The majority (88.5%) expressed their intention to receive the vaccine against mpox. Believing that the vaccine is safe was associated with a higher intention to be vaccinated (aPR: 1.24; 95% CI: 1.02 to 1.50; p = 0.028). Our study population showed a high level of mpox vaccination intent. Educational campaigns reinforcing the concept of vaccine safety should be conducted to increase the intention and possibly the vaccination rate in the LGBTIQ+ community.","container-title":"Vaccines","DOI":"10.3390/vaccines11051008","ISSN":"2076-393X","issue":"5","journalAbbreviation":"Vaccines (Basel)","language":"eng","note":"PMID: 37243112\nPMCID: PMC10220940","page":"1008","source":"PubMed","title":"Perceptions and Intention to Get Vaccinated against Mpox among the LGBTIQ+ Community during the 2022 Outbreak: A Cross-Sectional Study in Peru","title-short":"Perceptions and Intention to Get Vaccinated against Mpox among the LGBTIQ+ Community during the 2022 Outbreak","volume":"11","author":[{"family":"Araoz-Salinas","given":"Julieta M."},{"family":"Ortiz-Saavedra","given":"Brando"},{"family":"Ponce-Rosas","given":"Linda"},{"family":"Soriano-Moreno","given":"David R."},{"family":"Soriano-Moreno","given":"Anderson N."},{"family":"Alave","given":"Jorge"},{"family":"Gonzales-Zamora","given":"Jose A."}],"issued":{"date-parts":[["2023",5,21]]}}}],"schema":"https://github.com/citation-style-language/schema/raw/master/csl-citation.json"} </w:instrText>
            </w:r>
            <w:r w:rsidR="005227CE">
              <w:rPr>
                <w:rFonts w:ascii="Times New Roman" w:hAnsi="Times New Roman"/>
                <w:szCs w:val="18"/>
                <w:lang w:val="es-PE"/>
              </w:rPr>
              <w:fldChar w:fldCharType="separate"/>
            </w:r>
            <w:r w:rsidR="00B827B0" w:rsidRPr="00B827B0">
              <w:rPr>
                <w:rFonts w:ascii="Times New Roman" w:hAnsi="Times New Roman"/>
              </w:rPr>
              <w:t>(23)</w:t>
            </w:r>
            <w:r w:rsidR="005227CE">
              <w:rPr>
                <w:rFonts w:ascii="Times New Roman" w:hAnsi="Times New Roman"/>
                <w:szCs w:val="18"/>
                <w:lang w:val="es-PE"/>
              </w:rPr>
              <w:fldChar w:fldCharType="end"/>
            </w:r>
          </w:p>
        </w:tc>
        <w:tc>
          <w:tcPr>
            <w:tcW w:w="638" w:type="dxa"/>
            <w:vAlign w:val="center"/>
          </w:tcPr>
          <w:p w14:paraId="11E528C0" w14:textId="7EEC6641"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2023</w:t>
            </w:r>
          </w:p>
        </w:tc>
        <w:tc>
          <w:tcPr>
            <w:tcW w:w="927" w:type="dxa"/>
            <w:vAlign w:val="center"/>
          </w:tcPr>
          <w:p w14:paraId="1F58FFF4" w14:textId="4E1BB8C9"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Cross sectional</w:t>
            </w:r>
          </w:p>
        </w:tc>
        <w:tc>
          <w:tcPr>
            <w:tcW w:w="1117" w:type="dxa"/>
            <w:vAlign w:val="center"/>
          </w:tcPr>
          <w:p w14:paraId="346001F1" w14:textId="188CC386"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2D19BB">
              <w:rPr>
                <w:rFonts w:ascii="Times New Roman" w:hAnsi="Times New Roman"/>
                <w:szCs w:val="18"/>
              </w:rPr>
              <w:t>Peru</w:t>
            </w:r>
          </w:p>
        </w:tc>
        <w:tc>
          <w:tcPr>
            <w:tcW w:w="850" w:type="dxa"/>
            <w:vAlign w:val="center"/>
          </w:tcPr>
          <w:p w14:paraId="62374D45" w14:textId="6EFDCC4C"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373</w:t>
            </w:r>
          </w:p>
        </w:tc>
        <w:tc>
          <w:tcPr>
            <w:tcW w:w="1272" w:type="dxa"/>
            <w:vAlign w:val="center"/>
          </w:tcPr>
          <w:p w14:paraId="7E9C3E48" w14:textId="07F2217E"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LGBTI community</w:t>
            </w:r>
          </w:p>
        </w:tc>
        <w:tc>
          <w:tcPr>
            <w:tcW w:w="716" w:type="dxa"/>
            <w:vAlign w:val="center"/>
          </w:tcPr>
          <w:p w14:paraId="4B0E57C7" w14:textId="0246C752"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72EB0">
              <w:rPr>
                <w:rFonts w:ascii="Times New Roman" w:hAnsi="Times New Roman"/>
                <w:szCs w:val="18"/>
                <w:lang w:val="es-PE"/>
              </w:rPr>
              <w:t>317</w:t>
            </w:r>
            <w:r w:rsidRPr="00CD1E71">
              <w:rPr>
                <w:rFonts w:ascii="Times New Roman" w:hAnsi="Times New Roman"/>
                <w:szCs w:val="18"/>
              </w:rPr>
              <w:t>*</w:t>
            </w:r>
          </w:p>
        </w:tc>
        <w:tc>
          <w:tcPr>
            <w:tcW w:w="616" w:type="dxa"/>
            <w:vAlign w:val="center"/>
          </w:tcPr>
          <w:p w14:paraId="004A3E72" w14:textId="2409F0DA"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72EB0">
              <w:rPr>
                <w:rFonts w:ascii="Times New Roman" w:hAnsi="Times New Roman"/>
                <w:szCs w:val="18"/>
                <w:lang w:val="es-PE"/>
              </w:rPr>
              <w:t>23</w:t>
            </w:r>
          </w:p>
        </w:tc>
        <w:tc>
          <w:tcPr>
            <w:tcW w:w="966" w:type="dxa"/>
            <w:vAlign w:val="center"/>
          </w:tcPr>
          <w:p w14:paraId="3B4A4407" w14:textId="5BFF1842" w:rsidR="007B6508" w:rsidRPr="00173710" w:rsidRDefault="003A177B"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242 </w:t>
            </w:r>
            <w:r w:rsidR="007B6508">
              <w:rPr>
                <w:rFonts w:ascii="Times New Roman" w:hAnsi="Times New Roman"/>
                <w:szCs w:val="18"/>
                <w:lang w:val="es-PE"/>
              </w:rPr>
              <w:t>(64.7%)</w:t>
            </w:r>
          </w:p>
        </w:tc>
        <w:tc>
          <w:tcPr>
            <w:tcW w:w="916" w:type="dxa"/>
            <w:vAlign w:val="center"/>
          </w:tcPr>
          <w:p w14:paraId="2B208541" w14:textId="18C41ABB"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NR</w:t>
            </w:r>
          </w:p>
        </w:tc>
        <w:tc>
          <w:tcPr>
            <w:tcW w:w="1832" w:type="dxa"/>
            <w:gridSpan w:val="2"/>
            <w:vAlign w:val="center"/>
          </w:tcPr>
          <w:p w14:paraId="661D5FD2" w14:textId="244C2D69" w:rsidR="007B6508" w:rsidRPr="00173710" w:rsidRDefault="000A3BA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246 </w:t>
            </w:r>
            <w:r w:rsidR="007B6508">
              <w:rPr>
                <w:rFonts w:ascii="Times New Roman" w:hAnsi="Times New Roman"/>
                <w:szCs w:val="18"/>
                <w:lang w:val="es-PE"/>
              </w:rPr>
              <w:t>(65.9%)</w:t>
            </w:r>
          </w:p>
        </w:tc>
        <w:tc>
          <w:tcPr>
            <w:tcW w:w="1172" w:type="dxa"/>
            <w:vAlign w:val="center"/>
          </w:tcPr>
          <w:p w14:paraId="0FF1E158" w14:textId="319B8043" w:rsidR="007B6508" w:rsidRPr="00173710" w:rsidRDefault="000A3BA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65 </w:t>
            </w:r>
            <w:r w:rsidR="007B6508">
              <w:rPr>
                <w:rFonts w:ascii="Times New Roman" w:hAnsi="Times New Roman"/>
                <w:szCs w:val="18"/>
                <w:lang w:val="es-PE"/>
              </w:rPr>
              <w:t>(17.5%)</w:t>
            </w:r>
          </w:p>
        </w:tc>
        <w:tc>
          <w:tcPr>
            <w:tcW w:w="1528" w:type="dxa"/>
            <w:vAlign w:val="center"/>
          </w:tcPr>
          <w:p w14:paraId="4D5EAF94" w14:textId="1D407714" w:rsidR="007B6508" w:rsidRPr="00173710" w:rsidRDefault="000A3BA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104 </w:t>
            </w:r>
            <w:r w:rsidR="003D6199">
              <w:rPr>
                <w:rFonts w:ascii="Times New Roman" w:hAnsi="Times New Roman"/>
                <w:szCs w:val="18"/>
                <w:lang w:val="es-PE"/>
              </w:rPr>
              <w:t>(28%)</w:t>
            </w:r>
          </w:p>
        </w:tc>
        <w:tc>
          <w:tcPr>
            <w:tcW w:w="1732" w:type="dxa"/>
            <w:gridSpan w:val="2"/>
            <w:vAlign w:val="center"/>
          </w:tcPr>
          <w:p w14:paraId="64323E4B" w14:textId="6F8D7E7C" w:rsidR="007B6508" w:rsidRPr="00173710" w:rsidRDefault="000A3BA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175 </w:t>
            </w:r>
            <w:r w:rsidR="007B6508">
              <w:rPr>
                <w:rFonts w:ascii="Times New Roman" w:hAnsi="Times New Roman"/>
                <w:szCs w:val="18"/>
                <w:lang w:val="es-PE"/>
              </w:rPr>
              <w:t>(46.9%)</w:t>
            </w:r>
          </w:p>
        </w:tc>
        <w:tc>
          <w:tcPr>
            <w:tcW w:w="1005" w:type="dxa"/>
            <w:vAlign w:val="center"/>
          </w:tcPr>
          <w:p w14:paraId="768CB6C8" w14:textId="4D999E27" w:rsidR="007B6508" w:rsidRPr="00173710" w:rsidRDefault="000A3BA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Pr>
                <w:rFonts w:ascii="Times New Roman" w:hAnsi="Times New Roman"/>
                <w:szCs w:val="18"/>
                <w:lang w:val="es-PE"/>
              </w:rPr>
              <w:t xml:space="preserve">27 </w:t>
            </w:r>
            <w:r w:rsidR="007B6508">
              <w:rPr>
                <w:rFonts w:ascii="Times New Roman" w:hAnsi="Times New Roman"/>
                <w:szCs w:val="18"/>
                <w:lang w:val="es-PE"/>
              </w:rPr>
              <w:t>(7.3%)</w:t>
            </w:r>
          </w:p>
        </w:tc>
        <w:tc>
          <w:tcPr>
            <w:tcW w:w="816" w:type="dxa"/>
            <w:vAlign w:val="center"/>
          </w:tcPr>
          <w:p w14:paraId="0F4D1A4F" w14:textId="7926FAA7"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CD1E71">
              <w:rPr>
                <w:rFonts w:ascii="Times New Roman" w:hAnsi="Times New Roman"/>
                <w:szCs w:val="18"/>
              </w:rPr>
              <w:t>Online survey</w:t>
            </w:r>
          </w:p>
        </w:tc>
        <w:tc>
          <w:tcPr>
            <w:tcW w:w="1083" w:type="dxa"/>
            <w:vAlign w:val="center"/>
          </w:tcPr>
          <w:p w14:paraId="1BF701B9" w14:textId="50D70B3F" w:rsidR="007B6508" w:rsidRPr="00173710" w:rsidRDefault="007B6508"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lang w:val="es-PE"/>
              </w:rPr>
            </w:pPr>
            <w:r w:rsidRPr="00E878FD">
              <w:rPr>
                <w:rFonts w:ascii="Times New Roman" w:hAnsi="Times New Roman"/>
                <w:szCs w:val="18"/>
                <w:lang w:val="es-PE"/>
              </w:rPr>
              <w:t xml:space="preserve">1 November 2022 </w:t>
            </w:r>
            <w:r>
              <w:rPr>
                <w:rFonts w:ascii="Times New Roman" w:hAnsi="Times New Roman"/>
                <w:szCs w:val="18"/>
                <w:lang w:val="es-PE"/>
              </w:rPr>
              <w:t>-</w:t>
            </w:r>
            <w:r w:rsidRPr="00E878FD">
              <w:rPr>
                <w:rFonts w:ascii="Times New Roman" w:hAnsi="Times New Roman"/>
                <w:szCs w:val="18"/>
                <w:lang w:val="es-PE"/>
              </w:rPr>
              <w:t xml:space="preserve"> 17 January 2023</w:t>
            </w:r>
          </w:p>
        </w:tc>
      </w:tr>
      <w:tr w:rsidR="004727DC" w:rsidRPr="00CD1E71" w14:paraId="68DB17FB"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78FE8B8A" w14:textId="4DDE96AA" w:rsidR="004727DC" w:rsidRPr="00872B6F" w:rsidRDefault="004727DC" w:rsidP="004727DC">
            <w:pPr>
              <w:tabs>
                <w:tab w:val="left" w:pos="7925"/>
              </w:tabs>
              <w:autoSpaceDE w:val="0"/>
              <w:autoSpaceDN w:val="0"/>
              <w:adjustRightInd w:val="0"/>
              <w:snapToGrid w:val="0"/>
              <w:spacing w:line="240" w:lineRule="auto"/>
              <w:jc w:val="center"/>
              <w:rPr>
                <w:rFonts w:ascii="Times New Roman" w:hAnsi="Times New Roman"/>
                <w:szCs w:val="18"/>
              </w:rPr>
            </w:pPr>
            <w:r w:rsidRPr="00217FF7">
              <w:rPr>
                <w:rFonts w:ascii="Times New Roman" w:hAnsi="Times New Roman"/>
                <w:szCs w:val="18"/>
              </w:rPr>
              <w:t>Sobaikhi NH,</w:t>
            </w:r>
            <w:r>
              <w:rPr>
                <w:rFonts w:ascii="Times New Roman" w:hAnsi="Times New Roman"/>
                <w:szCs w:val="18"/>
              </w:rPr>
              <w:t xml:space="preserve"> et al. </w:t>
            </w:r>
            <w:r w:rsidR="007927FB">
              <w:rPr>
                <w:rFonts w:ascii="Times New Roman" w:hAnsi="Times New Roman"/>
                <w:szCs w:val="18"/>
              </w:rPr>
              <w:fldChar w:fldCharType="begin"/>
            </w:r>
            <w:r w:rsidR="00B827B0">
              <w:rPr>
                <w:rFonts w:ascii="Times New Roman" w:hAnsi="Times New Roman"/>
                <w:szCs w:val="18"/>
              </w:rPr>
              <w:instrText xml:space="preserve"> ADDIN ZOTERO_ITEM CSL_CITATION {"citationID":"oQWAVJ5l","properties":{"formattedCitation":"(24)","plainCitation":"(24)","noteIndex":0},"citationItems":[{"id":11902,"uris":["http://zotero.org/users/6456139/items/RTHFBVE7"],"itemData":{"id":11902,"type":"article-journal","abstract":"Background: Monkeypox outbreaks in non-endemic countries emphasize the importance of being prepared to prevent its progression to a pandemic. To effectively control monkeypox, healthcare providers must have sufficient knowledge and good attitudes and practices to limit its spread. We initiated this project to assess the factors associated with health workers’ knowledge and attitude toward monkeypox in southwestern Saudi Arabia. Methods: We included 398 eligible health workers working at various health facilities. Data was collected using an online survey, and participants had an opportunity to consent. We conducted descriptive statistics for all variables and used chi-square statistics, t-test, and multivariate analysis to establish the association between health workers’ demographic characteristics and knowledge of monkeypox disease. Results: The mean age was 30.93 ± 8.25 years for the included participants, and most of them were between 22 and 29 years, male, single, nurses, working in government hospitals, and had worked for at least five years. The chi-square and t-test showed that the participants’ knowledge level was significantly related to age, marital status, job title, and medical practice. Most of the participants had low knowledge and good attitudes toward monkeypox prevention measures. Multivariate analysis showed that higher knowledge was associated with younger age after controlling all other significant bivariate relationships between knowledge and demographics. Conclusions: This study found low knowledge levels and high good attitude levels of monkeypox among the participants. As such, there is a need to support health workers in understanding monkeypox epidemiology, prevention, and treatment. Therefore, Saudi Arabia will be making significant strides to being well prepared and ready to handle future monkeypox outbreaks.","container-title":"Diseases","DOI":"10.3390/diseases11020081","ISSN":"2079-9721","issue":"2","language":"en","license":"http://creativecommons.org/licenses/by/3.0/","note":"number: 2\npublisher: Multidisciplinary Digital Publishing Institute","page":"81","source":"www.mdpi.com","title":"Health Workers’ Knowledge and Attitude towards Monkeypox in Southwestern Saudi Arabia: A Cross-Sectional Study","title-short":"Health Workers’ Knowledge and Attitude towards Monkeypox in Southwestern Saudi Arabia","volume":"11","author":[{"family":"Sobaikhi","given":"Nasser H."},{"family":"Alshahrani","given":"Najim Z."},{"family":"Hazazi","given":"Rakan S."},{"family":"Al-Musawa","given":"Hafiz I."},{"family":"Jarram","given":"Raed E."},{"family":"Alabah","given":"Amjad E."},{"family":"Haqawi","given":"Nawaf F."},{"family":"Munhish","given":"Fadi A."},{"family":"Shajeri","given":"Mohammed A."},{"family":"Matari","given":"Mohammed H."},{"family":"Salami","given":"Riyadh M."},{"family":"Hobani","given":"Alhassan H."},{"family":"Yahya","given":"Najla A."},{"family":"Alhazmi","given":"Abdulaziz H."}],"issued":{"date-parts":[["2023",6]]}}}],"schema":"https://github.com/citation-style-language/schema/raw/master/csl-citation.json"} </w:instrText>
            </w:r>
            <w:r w:rsidR="007927FB">
              <w:rPr>
                <w:rFonts w:ascii="Times New Roman" w:hAnsi="Times New Roman"/>
                <w:szCs w:val="18"/>
              </w:rPr>
              <w:fldChar w:fldCharType="separate"/>
            </w:r>
            <w:r w:rsidR="00B827B0" w:rsidRPr="00B827B0">
              <w:rPr>
                <w:rFonts w:ascii="Times New Roman" w:hAnsi="Times New Roman"/>
              </w:rPr>
              <w:t>(24)</w:t>
            </w:r>
            <w:r w:rsidR="007927FB">
              <w:rPr>
                <w:rFonts w:ascii="Times New Roman" w:hAnsi="Times New Roman"/>
                <w:szCs w:val="18"/>
              </w:rPr>
              <w:fldChar w:fldCharType="end"/>
            </w:r>
          </w:p>
        </w:tc>
        <w:tc>
          <w:tcPr>
            <w:tcW w:w="638" w:type="dxa"/>
            <w:vAlign w:val="center"/>
          </w:tcPr>
          <w:p w14:paraId="583C1428" w14:textId="6F5B291E" w:rsidR="004727DC" w:rsidRPr="00CD1E71"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13DE3972" w14:textId="17455C29" w:rsidR="004727DC" w:rsidRPr="00CD1E71"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4F4E8801" w14:textId="5E785EBF" w:rsidR="004727DC" w:rsidRPr="00CD1E71"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12C4740B" w14:textId="0E11DC5D" w:rsidR="004727DC"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398</w:t>
            </w:r>
          </w:p>
        </w:tc>
        <w:tc>
          <w:tcPr>
            <w:tcW w:w="1272" w:type="dxa"/>
            <w:vAlign w:val="center"/>
          </w:tcPr>
          <w:p w14:paraId="15A49022" w14:textId="44C72F21" w:rsidR="004727DC" w:rsidRPr="00CD1E71"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Healthcare Workers</w:t>
            </w:r>
          </w:p>
        </w:tc>
        <w:tc>
          <w:tcPr>
            <w:tcW w:w="716" w:type="dxa"/>
            <w:vAlign w:val="center"/>
          </w:tcPr>
          <w:p w14:paraId="653A1C6D" w14:textId="18841E80" w:rsidR="004727DC"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4727DC">
              <w:rPr>
                <w:rFonts w:ascii="Times New Roman" w:hAnsi="Times New Roman"/>
                <w:szCs w:val="18"/>
              </w:rPr>
              <w:t>246</w:t>
            </w:r>
          </w:p>
        </w:tc>
        <w:tc>
          <w:tcPr>
            <w:tcW w:w="616" w:type="dxa"/>
            <w:vAlign w:val="center"/>
          </w:tcPr>
          <w:p w14:paraId="016164A8" w14:textId="3186E560" w:rsidR="004727DC" w:rsidRPr="00622815"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4727DC">
              <w:rPr>
                <w:rFonts w:ascii="Times New Roman" w:hAnsi="Times New Roman"/>
                <w:szCs w:val="18"/>
              </w:rPr>
              <w:t>152</w:t>
            </w:r>
          </w:p>
        </w:tc>
        <w:tc>
          <w:tcPr>
            <w:tcW w:w="966" w:type="dxa"/>
            <w:vAlign w:val="center"/>
          </w:tcPr>
          <w:p w14:paraId="105F3975" w14:textId="049D2064" w:rsidR="004727DC"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4727DC">
              <w:rPr>
                <w:rFonts w:ascii="Times New Roman" w:hAnsi="Times New Roman"/>
                <w:szCs w:val="18"/>
              </w:rPr>
              <w:t>274</w:t>
            </w:r>
            <w:r>
              <w:rPr>
                <w:rFonts w:ascii="Times New Roman" w:hAnsi="Times New Roman"/>
                <w:szCs w:val="18"/>
              </w:rPr>
              <w:t xml:space="preserve"> (</w:t>
            </w:r>
            <w:r w:rsidRPr="004727DC">
              <w:rPr>
                <w:rFonts w:ascii="Times New Roman" w:hAnsi="Times New Roman"/>
                <w:szCs w:val="18"/>
              </w:rPr>
              <w:t>68.8</w:t>
            </w:r>
            <w:r>
              <w:rPr>
                <w:rFonts w:ascii="Times New Roman" w:hAnsi="Times New Roman"/>
                <w:szCs w:val="18"/>
              </w:rPr>
              <w:t>%)</w:t>
            </w:r>
          </w:p>
        </w:tc>
        <w:tc>
          <w:tcPr>
            <w:tcW w:w="916" w:type="dxa"/>
            <w:vAlign w:val="center"/>
          </w:tcPr>
          <w:p w14:paraId="302BE85E" w14:textId="3430522B"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66" w:type="dxa"/>
            <w:vAlign w:val="center"/>
          </w:tcPr>
          <w:p w14:paraId="1F7E193B" w14:textId="207B5B89"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966" w:type="dxa"/>
            <w:vAlign w:val="center"/>
          </w:tcPr>
          <w:p w14:paraId="439ABBAC" w14:textId="6049DE26"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172" w:type="dxa"/>
            <w:vAlign w:val="center"/>
          </w:tcPr>
          <w:p w14:paraId="221E7F67" w14:textId="76E4F30D"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528" w:type="dxa"/>
            <w:vAlign w:val="center"/>
          </w:tcPr>
          <w:p w14:paraId="070A6059" w14:textId="5213948A"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732" w:type="dxa"/>
            <w:gridSpan w:val="2"/>
            <w:vAlign w:val="center"/>
          </w:tcPr>
          <w:p w14:paraId="341EE636" w14:textId="45FE53BC"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005" w:type="dxa"/>
            <w:vAlign w:val="center"/>
          </w:tcPr>
          <w:p w14:paraId="20728215" w14:textId="367436A3" w:rsidR="004727DC"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63F518A6" w14:textId="53771C95" w:rsidR="004727DC" w:rsidRPr="00CD1E71" w:rsidRDefault="004727DC"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4CBF7AE9" w14:textId="77A1B17F" w:rsidR="004727DC" w:rsidRPr="00EE40D9" w:rsidRDefault="007927FB" w:rsidP="004727DC">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7927FB">
              <w:rPr>
                <w:rFonts w:ascii="Times New Roman" w:hAnsi="Times New Roman"/>
                <w:szCs w:val="18"/>
              </w:rPr>
              <w:t xml:space="preserve">4 November </w:t>
            </w:r>
            <w:r>
              <w:rPr>
                <w:rFonts w:ascii="Times New Roman" w:hAnsi="Times New Roman"/>
                <w:szCs w:val="18"/>
              </w:rPr>
              <w:t>-</w:t>
            </w:r>
            <w:r w:rsidRPr="007927FB">
              <w:rPr>
                <w:rFonts w:ascii="Times New Roman" w:hAnsi="Times New Roman"/>
                <w:szCs w:val="18"/>
              </w:rPr>
              <w:t xml:space="preserve"> 8 December 2022</w:t>
            </w:r>
          </w:p>
        </w:tc>
      </w:tr>
      <w:tr w:rsidR="000E6859" w:rsidRPr="00CD1E71" w14:paraId="6EF47AFE"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278F5A75" w14:textId="022BD769" w:rsidR="000E6859" w:rsidRPr="00380B23" w:rsidRDefault="000E6859" w:rsidP="00622815">
            <w:pPr>
              <w:tabs>
                <w:tab w:val="left" w:pos="7925"/>
              </w:tabs>
              <w:autoSpaceDE w:val="0"/>
              <w:autoSpaceDN w:val="0"/>
              <w:adjustRightInd w:val="0"/>
              <w:snapToGrid w:val="0"/>
              <w:spacing w:line="240" w:lineRule="auto"/>
              <w:jc w:val="center"/>
              <w:rPr>
                <w:rFonts w:ascii="Times New Roman" w:hAnsi="Times New Roman"/>
                <w:szCs w:val="18"/>
              </w:rPr>
            </w:pPr>
            <w:r w:rsidRPr="00872B6F">
              <w:rPr>
                <w:rFonts w:ascii="Times New Roman" w:hAnsi="Times New Roman"/>
                <w:szCs w:val="18"/>
              </w:rPr>
              <w:t>Alhasan K,</w:t>
            </w:r>
            <w:r>
              <w:rPr>
                <w:rFonts w:ascii="Times New Roman" w:hAnsi="Times New Roman"/>
                <w:szCs w:val="18"/>
              </w:rPr>
              <w:t xml:space="preserve"> et al. </w:t>
            </w:r>
            <w:r>
              <w:rPr>
                <w:rFonts w:ascii="Times New Roman" w:hAnsi="Times New Roman"/>
                <w:szCs w:val="18"/>
              </w:rPr>
              <w:fldChar w:fldCharType="begin"/>
            </w:r>
            <w:r w:rsidR="00B827B0">
              <w:rPr>
                <w:rFonts w:ascii="Times New Roman" w:hAnsi="Times New Roman"/>
                <w:szCs w:val="18"/>
              </w:rPr>
              <w:instrText xml:space="preserve"> ADDIN ZOTERO_ITEM CSL_CITATION {"citationID":"bhH0Qky8","properties":{"formattedCitation":"(25)","plainCitation":"(25)","noteIndex":0},"citationItems":[{"id":12582,"uris":["http://zotero.org/users/6456139/items/9SWEP5IJ"],"itemData":{"id":12582,"type":"article-journal","abstract":"BACKGROUND: In response to the global Mpox outbreaks, this survey aimed to assess the knowledge, perceptions, and advocacy of Mpox vaccines among solid organ transplant healthcare workers (HCWs) in Saudi Arabia.\nMETHODS: A cross-sectional survey was conducted among solid organ transplant HCWs in Saudi Arabia from 15 August to 5 September 2022. A total of 199 responses were received from participants primarily working in the kidney (54.8%) and liver (14.6%) transplant units.\nRESULTS: The survey found that most participants were aware of the 2022 Mpox outbreak, but the majority were more concerned about COVID-19 than Mpox. While the majority of participants thought laboratory personnel and HCWs in direct contact with Mpox patients should receive the vaccine, less than 60% believed that all HCWs should be vaccinated. Additionally, over half of the participants lacked knowledge of animal-human transmission of the virus.\nCONCLUSION: The results highlight the need for increased education on Mpox among transplant HCWs in Saudi Arabia, particularly regarding the virus's transmission dynamics and vaccines. This education is crucial to improve HCWs' understanding of this emerging disease, especially given their vulnerability during the COVID-19 pandemic.","container-title":"Healthcare (Basel, Switzerland)","DOI":"10.3390/healthcare11040603","ISSN":"2227-9032","issue":"4","journalAbbreviation":"Healthcare (Basel)","language":"eng","note":"PMID: 36833136\nPMCID: PMC9957203","page":"603","source":"PubMed","title":"Mpox Perceptions and Vaccine Advocacy among the Healthcare Workers of Solid Organ Transplant Centers: A Multicenter, Cross-Sectional Survey in Saudi Arabia","title-short":"Mpox Perceptions and Vaccine Advocacy among the Healthcare Workers of Solid Organ Transplant Centers","volume":"11","author":[{"family":"Alhasan","given":"Khalid"},{"family":"Sallam","given":"Malik"},{"family":"Aljamaan","given":"Fadi"},{"family":"Ali","given":"Tariq"},{"family":"Al-Jedai","given":"Ahmed"},{"family":"Nazmi","given":"Ahmed"},{"family":"Ajlan","given":"Aziza"},{"family":"Aleid","given":"Hassan"},{"family":"Karar","given":"Enaam"},{"family":"Al-Awwami","given":"Moheeb"},{"family":"Almojalli","given":"Hamad"},{"family":"Shah","given":"Yaser Zahir"},{"family":"Mohammed","given":"Amir Eltayeb Ismail"},{"family":"Barry","given":"Mazin"},{"family":"Alsubaie","given":"Sarah"},{"family":"Altheaby","given":"Abdulrahman"},{"family":"Almaghrabi","given":"Reem S."},{"family":"Askandarani","given":"Sumayah"},{"family":"Memish","given":"Ziad A."},{"family":"Al-Tawfiq","given":"Jaffar A."},{"family":"Broering","given":"Dieter Clemens"},{"family":"Temsah","given":"Mohamad-Hani"}],"issued":{"date-parts":[["2023",2,17]]}}}],"schema":"https://github.com/citation-style-language/schema/raw/master/csl-citation.json"} </w:instrText>
            </w:r>
            <w:r>
              <w:rPr>
                <w:rFonts w:ascii="Times New Roman" w:hAnsi="Times New Roman"/>
                <w:szCs w:val="18"/>
              </w:rPr>
              <w:fldChar w:fldCharType="separate"/>
            </w:r>
            <w:r w:rsidR="00B827B0" w:rsidRPr="00B827B0">
              <w:rPr>
                <w:rFonts w:ascii="Times New Roman" w:hAnsi="Times New Roman"/>
              </w:rPr>
              <w:t>(25)</w:t>
            </w:r>
            <w:r>
              <w:rPr>
                <w:rFonts w:ascii="Times New Roman" w:hAnsi="Times New Roman"/>
                <w:szCs w:val="18"/>
              </w:rPr>
              <w:fldChar w:fldCharType="end"/>
            </w:r>
          </w:p>
        </w:tc>
        <w:tc>
          <w:tcPr>
            <w:tcW w:w="638" w:type="dxa"/>
            <w:vAlign w:val="center"/>
          </w:tcPr>
          <w:p w14:paraId="418DFD91" w14:textId="16000340" w:rsidR="000E6859" w:rsidRPr="00CD1E7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7F456CF4" w14:textId="19896D91" w:rsidR="000E6859" w:rsidRPr="00CD1E7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2571BF35" w14:textId="483D19CF" w:rsidR="000E6859" w:rsidRPr="00AD43A7"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17C123C1" w14:textId="5B53DA00" w:rsidR="000E6859"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199</w:t>
            </w:r>
          </w:p>
        </w:tc>
        <w:tc>
          <w:tcPr>
            <w:tcW w:w="1272" w:type="dxa"/>
            <w:vAlign w:val="center"/>
          </w:tcPr>
          <w:p w14:paraId="6785723C" w14:textId="1AA4FF78" w:rsidR="000E6859" w:rsidRPr="00CD1E7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Healthcare Workers</w:t>
            </w:r>
          </w:p>
        </w:tc>
        <w:tc>
          <w:tcPr>
            <w:tcW w:w="716" w:type="dxa"/>
            <w:vAlign w:val="center"/>
          </w:tcPr>
          <w:p w14:paraId="057C60CF" w14:textId="59CD0CCB" w:rsidR="000E6859" w:rsidRPr="00DB635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74</w:t>
            </w:r>
          </w:p>
        </w:tc>
        <w:tc>
          <w:tcPr>
            <w:tcW w:w="616" w:type="dxa"/>
            <w:vAlign w:val="center"/>
          </w:tcPr>
          <w:p w14:paraId="0F9AA617" w14:textId="0AC812F5" w:rsidR="000E6859"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22815">
              <w:rPr>
                <w:rFonts w:ascii="Times New Roman" w:hAnsi="Times New Roman"/>
                <w:szCs w:val="18"/>
              </w:rPr>
              <w:t>125</w:t>
            </w:r>
          </w:p>
        </w:tc>
        <w:tc>
          <w:tcPr>
            <w:tcW w:w="966" w:type="dxa"/>
            <w:vAlign w:val="center"/>
          </w:tcPr>
          <w:p w14:paraId="3AE27F5F" w14:textId="0F2E3712" w:rsidR="000E6859" w:rsidRDefault="0082486D"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96 </w:t>
            </w:r>
            <w:r w:rsidR="000E6859">
              <w:rPr>
                <w:rFonts w:ascii="Times New Roman" w:hAnsi="Times New Roman"/>
                <w:szCs w:val="18"/>
              </w:rPr>
              <w:t>(</w:t>
            </w:r>
            <w:r w:rsidR="000E6859" w:rsidRPr="000E6859">
              <w:rPr>
                <w:rFonts w:ascii="Times New Roman" w:hAnsi="Times New Roman"/>
                <w:szCs w:val="18"/>
              </w:rPr>
              <w:t>48</w:t>
            </w:r>
            <w:r w:rsidR="000E6859">
              <w:rPr>
                <w:rFonts w:ascii="Times New Roman" w:hAnsi="Times New Roman"/>
                <w:szCs w:val="18"/>
              </w:rPr>
              <w:t>.2%)</w:t>
            </w:r>
          </w:p>
        </w:tc>
        <w:tc>
          <w:tcPr>
            <w:tcW w:w="916" w:type="dxa"/>
            <w:vAlign w:val="center"/>
          </w:tcPr>
          <w:p w14:paraId="1E3D3023" w14:textId="3938880B" w:rsidR="000E6859" w:rsidRPr="00DB635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66" w:type="dxa"/>
            <w:vAlign w:val="center"/>
          </w:tcPr>
          <w:p w14:paraId="2C6C7347" w14:textId="347DF7CD" w:rsidR="000E6859" w:rsidRPr="00F41850"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966" w:type="dxa"/>
            <w:vAlign w:val="center"/>
          </w:tcPr>
          <w:p w14:paraId="578F25FC" w14:textId="6D31B1E4" w:rsidR="000E6859" w:rsidRPr="00136EEC"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172" w:type="dxa"/>
            <w:vAlign w:val="center"/>
          </w:tcPr>
          <w:p w14:paraId="29B1216B" w14:textId="764F1C22" w:rsidR="000E6859"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528" w:type="dxa"/>
            <w:vAlign w:val="center"/>
          </w:tcPr>
          <w:p w14:paraId="0B5BDCCB" w14:textId="4E8F7E9B" w:rsidR="000E6859"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732" w:type="dxa"/>
            <w:gridSpan w:val="2"/>
            <w:vAlign w:val="center"/>
          </w:tcPr>
          <w:p w14:paraId="3F306F09" w14:textId="762844E5" w:rsidR="000E6859" w:rsidRDefault="0082486D"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136 </w:t>
            </w:r>
            <w:r w:rsidR="000E6859">
              <w:rPr>
                <w:rFonts w:ascii="Times New Roman" w:hAnsi="Times New Roman"/>
                <w:szCs w:val="18"/>
              </w:rPr>
              <w:t>(68.3%)</w:t>
            </w:r>
          </w:p>
        </w:tc>
        <w:tc>
          <w:tcPr>
            <w:tcW w:w="1005" w:type="dxa"/>
            <w:vAlign w:val="center"/>
          </w:tcPr>
          <w:p w14:paraId="4020923F" w14:textId="2817C748" w:rsidR="000E6859" w:rsidRDefault="0082486D"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61 </w:t>
            </w:r>
            <w:r w:rsidR="000E6859">
              <w:rPr>
                <w:rFonts w:ascii="Times New Roman" w:hAnsi="Times New Roman"/>
                <w:szCs w:val="18"/>
              </w:rPr>
              <w:t>(30.7%)</w:t>
            </w:r>
          </w:p>
        </w:tc>
        <w:tc>
          <w:tcPr>
            <w:tcW w:w="816" w:type="dxa"/>
            <w:vAlign w:val="center"/>
          </w:tcPr>
          <w:p w14:paraId="3C975CE5" w14:textId="38519BF8" w:rsidR="000E6859" w:rsidRPr="00CD1E71" w:rsidRDefault="000E685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15D38726" w14:textId="1E252EAD" w:rsidR="000E6859" w:rsidRPr="00587D1A" w:rsidRDefault="00EE40D9" w:rsidP="00622815">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EE40D9">
              <w:rPr>
                <w:rFonts w:ascii="Times New Roman" w:hAnsi="Times New Roman"/>
                <w:szCs w:val="18"/>
              </w:rPr>
              <w:t xml:space="preserve">15 August </w:t>
            </w:r>
            <w:r>
              <w:rPr>
                <w:rFonts w:ascii="Times New Roman" w:hAnsi="Times New Roman"/>
                <w:szCs w:val="18"/>
              </w:rPr>
              <w:t xml:space="preserve">- </w:t>
            </w:r>
            <w:r w:rsidRPr="00EE40D9">
              <w:rPr>
                <w:rFonts w:ascii="Times New Roman" w:hAnsi="Times New Roman"/>
                <w:szCs w:val="18"/>
              </w:rPr>
              <w:t>5 September 2022</w:t>
            </w:r>
          </w:p>
        </w:tc>
      </w:tr>
      <w:tr w:rsidR="00C72EB0" w:rsidRPr="00CD1E71" w14:paraId="4E0426FA"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1B0AB0C6" w14:textId="06ACAB8B"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380B23">
              <w:rPr>
                <w:rFonts w:ascii="Times New Roman" w:hAnsi="Times New Roman"/>
                <w:szCs w:val="18"/>
              </w:rPr>
              <w:lastRenderedPageBreak/>
              <w:t>Torres TS,</w:t>
            </w:r>
            <w:r>
              <w:rPr>
                <w:rFonts w:ascii="Times New Roman" w:hAnsi="Times New Roman"/>
                <w:szCs w:val="18"/>
              </w:rPr>
              <w:t xml:space="preserve"> et al. </w:t>
            </w:r>
            <w:r>
              <w:rPr>
                <w:rFonts w:ascii="Times New Roman" w:hAnsi="Times New Roman"/>
                <w:szCs w:val="18"/>
              </w:rPr>
              <w:fldChar w:fldCharType="begin"/>
            </w:r>
            <w:r w:rsidR="00B827B0">
              <w:rPr>
                <w:rFonts w:ascii="Times New Roman" w:hAnsi="Times New Roman"/>
                <w:szCs w:val="18"/>
              </w:rPr>
              <w:instrText xml:space="preserve"> ADDIN ZOTERO_ITEM CSL_CITATION {"citationID":"n86dNj2t","properties":{"formattedCitation":"(26)","plainCitation":"(26)","noteIndex":0},"citationItems":[{"id":12456,"uris":["http://zotero.org/users/6456139/items/6MBYJGAM"],"itemData":{"id":12456,"type":"article-journal","abstract":"BACKGROUND: The 2022 multicountry mpox outbreak positioned the condition as a public health emergency of international concern. By May 2023, Brazil ranked second globally in the cumulative number of mpox cases and deaths. The higher incidence of mpox among gay and other men who have sex with men in the current mpox outbreak deepens the stigma and discrimination against sexual and gender minorities (SGM). This might worsen the structural barriers impacting access to health services, which ultimately leads to undertesting and underreporting of cases. There are no data available on mpox knowledge and stigma in Latin America.\nOBJECTIVE: We aimed to evaluate mpox knowledge, stigma, and willingness to vaccinate for mpox among SGM, and to describe sociodemographic and behavioral characteristics according to self-reported mpox diagnosis.\nMETHODS: A cross-sectional, internet-based survey was conducted in a convenience sample of adults (aged &gt;18 years) living in Brazil recruited through advertisements on dating apps, social media, referral institutions for infectious diseases websites, and mass media (October-November 2022). We compared participants' characteristics according to self-reported mpox diagnosis using chi-square test or Fisher exact test for qualitative variables and Kruskal-Wallis test for quantitative variables.\nRESULTS: We enrolled 6236 participants: 5685 (91.2%) were cisgender men; 6032 (96.7%) were gay, bisexual, or pansexual; 3877 (62.2%) were White; 4902 (78.7%) had tertiary education; and 4070 (65.2%) reported low or middle income. Most participants (n=5258, 84.4%) agreed or strongly agreed that \"LGBTQIA+ individuals are being discriminated and stigmatized due to mpox.\" Mpox awareness was 96.9% (n=6044), and 5008 (95.1%) were willing to get vaccinated for mpox. Overall, 324 (5.2%) reported an mpox diagnosis. Among these, 318 (98.1%) reported lesions, 178 (56%) local pain, and 316 (99.4%) sought health care. Among participants not reporting a diagnosis, 288 (4.9%) had a suspicious lesion, but only 158 (54.9%) of these had sought health care. Compared to participants with no diagnosis, those reporting an mpox diagnosis were younger (P&lt;.001), reported more sex partners (P&lt;.001), and changes in sexual behavior after mpox onset (P=.002). Moreover, participants diagnosed with mpox reported more frequently being tested for HIV in the prior 3 months (P&lt;.001), living with HIV (P&lt;.001), currently using HIV pre-exposure prophylaxis (P&lt;.001), and previous sexually transmitted infection diagnosis (P&lt;.001).\nCONCLUSIONS: Our results point to high mpox knowledge and willingness to vaccinate among SGM in Brazil. Participants self-reporting mpox diagnosis more frequently reported to be living with HIV, STI diagnosis, and current pre-exposure prophylaxis use, highlighting the importance of an mpox assessment that includes comprehensive sexual health screenings. Efforts to decrease stigma related to mpox among SGM are necessary to avoid mpox underdiagnosis.","container-title":"JMIR public health and surveillance","DOI":"10.2196/46489","ISSN":"2369-2960","journalAbbreviation":"JMIR Public Health Surveill","language":"eng","note":"PMID: 37459174","page":"e46489","source":"PubMed","title":"Evaluation of Mpox Knowledge, Stigma, and Willingness to Vaccinate for Mpox: Cross-Sectional Web-Based Survey Among Sexual and Gender Minorities","title-short":"Evaluation of Mpox Knowledge, Stigma, and Willingness to Vaccinate for Mpox","volume":"9","author":[{"family":"Torres","given":"Thiago Silva"},{"family":"Silva","given":"Mayara Secco Torres"},{"family":"Coutinho","given":"Carolina"},{"family":"Hoagland","given":"Brenda"},{"family":"Jalil","given":"Emilia Moreira"},{"family":"Cardoso","given":"Sandra Wagner"},{"family":"Moreira","given":"Julio"},{"family":"Magalhaes","given":"Monica Avelar"},{"family":"Luz","given":"Paula Mendes"},{"family":"Veloso","given":"Valdilea G."},{"family":"Grinsztejn","given":"Beatriz"}],"issued":{"date-parts":[["2023",7,17]]}}}],"schema":"https://github.com/citation-style-language/schema/raw/master/csl-citation.json"} </w:instrText>
            </w:r>
            <w:r>
              <w:rPr>
                <w:rFonts w:ascii="Times New Roman" w:hAnsi="Times New Roman"/>
                <w:szCs w:val="18"/>
              </w:rPr>
              <w:fldChar w:fldCharType="separate"/>
            </w:r>
            <w:r w:rsidR="00B827B0" w:rsidRPr="00B827B0">
              <w:rPr>
                <w:rFonts w:ascii="Times New Roman" w:hAnsi="Times New Roman"/>
              </w:rPr>
              <w:t>(26)</w:t>
            </w:r>
            <w:r>
              <w:rPr>
                <w:rFonts w:ascii="Times New Roman" w:hAnsi="Times New Roman"/>
                <w:szCs w:val="18"/>
              </w:rPr>
              <w:fldChar w:fldCharType="end"/>
            </w:r>
          </w:p>
        </w:tc>
        <w:tc>
          <w:tcPr>
            <w:tcW w:w="638" w:type="dxa"/>
            <w:vAlign w:val="center"/>
          </w:tcPr>
          <w:p w14:paraId="042C6D28" w14:textId="03022C4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3764471D" w14:textId="0568BC5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1D08E420" w14:textId="330CBB7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AD43A7">
              <w:rPr>
                <w:rFonts w:ascii="Times New Roman" w:hAnsi="Times New Roman"/>
                <w:szCs w:val="18"/>
              </w:rPr>
              <w:t>Brazil</w:t>
            </w:r>
          </w:p>
        </w:tc>
        <w:tc>
          <w:tcPr>
            <w:tcW w:w="850" w:type="dxa"/>
            <w:vAlign w:val="center"/>
          </w:tcPr>
          <w:p w14:paraId="79246920" w14:textId="53AC130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6236</w:t>
            </w:r>
          </w:p>
        </w:tc>
        <w:tc>
          <w:tcPr>
            <w:tcW w:w="1272" w:type="dxa"/>
            <w:vAlign w:val="center"/>
          </w:tcPr>
          <w:p w14:paraId="04E1F819" w14:textId="6035D8F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LGBTI community</w:t>
            </w:r>
          </w:p>
        </w:tc>
        <w:tc>
          <w:tcPr>
            <w:tcW w:w="716" w:type="dxa"/>
            <w:vAlign w:val="center"/>
          </w:tcPr>
          <w:p w14:paraId="6BF79A24" w14:textId="315D6DC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DB6351">
              <w:rPr>
                <w:rFonts w:ascii="Times New Roman" w:hAnsi="Times New Roman"/>
                <w:szCs w:val="18"/>
              </w:rPr>
              <w:t>6236</w:t>
            </w:r>
            <w:r w:rsidRPr="00CD1E71">
              <w:rPr>
                <w:rFonts w:ascii="Times New Roman" w:hAnsi="Times New Roman"/>
                <w:szCs w:val="18"/>
              </w:rPr>
              <w:t>*</w:t>
            </w:r>
          </w:p>
        </w:tc>
        <w:tc>
          <w:tcPr>
            <w:tcW w:w="616" w:type="dxa"/>
            <w:vAlign w:val="center"/>
          </w:tcPr>
          <w:p w14:paraId="14E146B9" w14:textId="684A663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0</w:t>
            </w:r>
          </w:p>
        </w:tc>
        <w:tc>
          <w:tcPr>
            <w:tcW w:w="966" w:type="dxa"/>
            <w:vAlign w:val="center"/>
          </w:tcPr>
          <w:p w14:paraId="2162F390" w14:textId="5EAED6C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916" w:type="dxa"/>
            <w:vAlign w:val="center"/>
          </w:tcPr>
          <w:p w14:paraId="6C26924F" w14:textId="2B5D628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DB6351">
              <w:rPr>
                <w:rFonts w:ascii="Times New Roman" w:hAnsi="Times New Roman"/>
                <w:szCs w:val="18"/>
              </w:rPr>
              <w:t>4793 (76.9</w:t>
            </w:r>
            <w:r>
              <w:rPr>
                <w:rFonts w:ascii="Times New Roman" w:hAnsi="Times New Roman"/>
                <w:szCs w:val="18"/>
              </w:rPr>
              <w:t>%</w:t>
            </w:r>
            <w:r w:rsidRPr="00DB6351">
              <w:rPr>
                <w:rFonts w:ascii="Times New Roman" w:hAnsi="Times New Roman"/>
                <w:szCs w:val="18"/>
              </w:rPr>
              <w:t>)</w:t>
            </w:r>
          </w:p>
        </w:tc>
        <w:tc>
          <w:tcPr>
            <w:tcW w:w="866" w:type="dxa"/>
            <w:vAlign w:val="center"/>
          </w:tcPr>
          <w:p w14:paraId="1EC7C6FB" w14:textId="6FCC3F5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F41850">
              <w:rPr>
                <w:rFonts w:ascii="Times New Roman" w:hAnsi="Times New Roman"/>
                <w:szCs w:val="18"/>
              </w:rPr>
              <w:t>853 (13.7</w:t>
            </w:r>
            <w:r>
              <w:rPr>
                <w:rFonts w:ascii="Times New Roman" w:hAnsi="Times New Roman"/>
                <w:szCs w:val="18"/>
              </w:rPr>
              <w:t>%</w:t>
            </w:r>
            <w:r w:rsidRPr="00F41850">
              <w:rPr>
                <w:rFonts w:ascii="Times New Roman" w:hAnsi="Times New Roman"/>
                <w:szCs w:val="18"/>
              </w:rPr>
              <w:t>)</w:t>
            </w:r>
          </w:p>
        </w:tc>
        <w:tc>
          <w:tcPr>
            <w:tcW w:w="966" w:type="dxa"/>
            <w:vAlign w:val="center"/>
          </w:tcPr>
          <w:p w14:paraId="71293C69" w14:textId="4055754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136EEC">
              <w:rPr>
                <w:rFonts w:ascii="Times New Roman" w:hAnsi="Times New Roman"/>
                <w:szCs w:val="18"/>
              </w:rPr>
              <w:t>4519 (72.5</w:t>
            </w:r>
            <w:r>
              <w:rPr>
                <w:rFonts w:ascii="Times New Roman" w:hAnsi="Times New Roman"/>
                <w:szCs w:val="18"/>
              </w:rPr>
              <w:t>%</w:t>
            </w:r>
            <w:r w:rsidRPr="00136EEC">
              <w:rPr>
                <w:rFonts w:ascii="Times New Roman" w:hAnsi="Times New Roman"/>
                <w:szCs w:val="18"/>
              </w:rPr>
              <w:t>)</w:t>
            </w:r>
          </w:p>
        </w:tc>
        <w:tc>
          <w:tcPr>
            <w:tcW w:w="1172" w:type="dxa"/>
            <w:vAlign w:val="center"/>
          </w:tcPr>
          <w:p w14:paraId="55FF6EF2" w14:textId="170C0FE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528" w:type="dxa"/>
            <w:vAlign w:val="center"/>
          </w:tcPr>
          <w:p w14:paraId="43501BD8" w14:textId="4E5F800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66" w:type="dxa"/>
            <w:vAlign w:val="center"/>
          </w:tcPr>
          <w:p w14:paraId="734916D1" w14:textId="68B06C6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66" w:type="dxa"/>
            <w:vAlign w:val="center"/>
          </w:tcPr>
          <w:p w14:paraId="55FD3899" w14:textId="252D85F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1005" w:type="dxa"/>
            <w:vAlign w:val="center"/>
          </w:tcPr>
          <w:p w14:paraId="6E713C57" w14:textId="65258073" w:rsidR="00C72EB0"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0924D1FD" w14:textId="4B208EB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64989E77" w14:textId="03BC1C0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587D1A">
              <w:rPr>
                <w:rFonts w:ascii="Times New Roman" w:hAnsi="Times New Roman"/>
                <w:szCs w:val="18"/>
              </w:rPr>
              <w:t xml:space="preserve">October </w:t>
            </w:r>
            <w:r>
              <w:rPr>
                <w:rFonts w:ascii="Times New Roman" w:hAnsi="Times New Roman"/>
                <w:szCs w:val="18"/>
              </w:rPr>
              <w:t>-</w:t>
            </w:r>
            <w:r w:rsidRPr="00587D1A">
              <w:rPr>
                <w:rFonts w:ascii="Times New Roman" w:hAnsi="Times New Roman"/>
                <w:szCs w:val="18"/>
              </w:rPr>
              <w:t xml:space="preserve"> November 2022</w:t>
            </w:r>
          </w:p>
        </w:tc>
      </w:tr>
      <w:tr w:rsidR="00C72EB0" w:rsidRPr="00CD1E71" w14:paraId="489F49CE"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70E2AE7A" w14:textId="0F1CED40"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lang w:val="es-PE"/>
              </w:rPr>
            </w:pPr>
            <w:r w:rsidRPr="00CD1E71">
              <w:rPr>
                <w:rFonts w:ascii="Times New Roman" w:hAnsi="Times New Roman"/>
                <w:szCs w:val="18"/>
              </w:rPr>
              <w:t xml:space="preserve">Shafei AM,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{"citationID":"oPHJD1BU","properties":{"formattedCitation":"(27)","plainCitation":"(27)","noteIndex":0},"citationItems":[{"id":12450,"uris":["http://zotero.org/users/6456139/items/JZV2X2IM"],"itemData":{"id":12450,"type":"article-journal","abstract":"This study aimed to evaluate knowledge about monkeypox and confidence in dealing with monkeypox diagnosis and management among resident physicians in the Asir region of Saudi Arabia. The data of this cross-sectional study were collected online through a structured questionnaire (N = 315). Knowledge about monkeypox was assessed by 24 questions and a three-item scale assessed confidence in managing monkeypox cases. Multiple logistic regression analysis was performed to assess the associations. Overall, two-thirds of the respondents (67.3%) showed good knowledge about monkeypox and the rest of them (32.7%) had poor knowledge. Respondents who received a copy of the Saudi MOH protocol for monkeypox and attended any conference or lecture about monkeypox were more likely to have good knowledge about monkeypox. Moreover, almost two-thirds of the participants were not confident that they could diagnose or manage the monkeypox. Respondents who received information about monkeypox during residency or medical school had higher confidence in managing monkeypox cases. It can be concluded that the Saudi healthcare system has scope to take necessary steps to contain the monkeypox endemic. The Saudi MOH should arrange conferences and educational programs on monkeypox so that healthcare professionals can improve their knowledge and be confident in the management and diagnosis of monkeypox cases.","container-title":"Pathogens (Basel, Switzerland)","DOI":"10.3390/pathogens12070872","ISSN":"2076-0817","issue":"7","journalAbbreviation":"Pathogens","language":"eng","note":"PMID: 37513719","page":"872","source":"PubMed","title":"Resident Physicians' Knowledge and Preparedness Regarding Human Monkeypox: A Cross-Sectional Study from Saudi Arabia","title-short":"Resident Physicians' Knowledge and Preparedness Regarding Human Monkeypox","volume":"12","author":[{"family":"Shafei","given":"Ali Mohammad"},{"family":"Al-Mosaa","given":"Khalid M."},{"family":"Alshahrani","given":"Najm Z."},{"family":"ALAmmari","given":"Mohammed Hassan Mohammed"},{"family":"Almuhlafi","given":"Mashael Obaid Othman"},{"family":"Draim","given":"Nasser Hassan Awdah Al"},{"family":"Alwadie","given":"Afnan Misfer"},{"family":"Alghrab","given":"Abdullah Ibrahim"}],"issued":{"date-parts":[["2023",6,26]]}}}],"schema":"https://github.com/citation-style-language/schema/raw/master/csl-citation.json"}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(27)</w:t>
            </w:r>
            <w:r w:rsidRPr="00CD1E71">
              <w:rPr>
                <w:rFonts w:ascii="Times New Roman" w:hAnsi="Times New Roman"/>
                <w:szCs w:val="18"/>
                <w:lang w:val="es-PE"/>
              </w:rPr>
              <w:fldChar w:fldCharType="end"/>
            </w:r>
            <w:r w:rsidRPr="00CD1E71">
              <w:rPr>
                <w:rFonts w:ascii="Times New Roman" w:hAnsi="Times New Roman"/>
                <w:szCs w:val="18"/>
                <w:lang w:val="es-PE"/>
              </w:rPr>
              <w:t xml:space="preserve"> </w:t>
            </w:r>
          </w:p>
        </w:tc>
        <w:tc>
          <w:tcPr>
            <w:tcW w:w="638" w:type="dxa"/>
            <w:vAlign w:val="center"/>
          </w:tcPr>
          <w:p w14:paraId="434C620D" w14:textId="73D03C4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645A5D92" w14:textId="16A5EE4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79C48380" w14:textId="76B1E16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02F5C110" w14:textId="2120B8D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315</w:t>
            </w:r>
          </w:p>
        </w:tc>
        <w:tc>
          <w:tcPr>
            <w:tcW w:w="1272" w:type="dxa"/>
            <w:vAlign w:val="center"/>
          </w:tcPr>
          <w:p w14:paraId="28FC2428" w14:textId="7F60896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Healthcare Workers</w:t>
            </w:r>
          </w:p>
        </w:tc>
        <w:tc>
          <w:tcPr>
            <w:tcW w:w="716" w:type="dxa"/>
            <w:vAlign w:val="center"/>
          </w:tcPr>
          <w:p w14:paraId="6C03E5DA" w14:textId="3583A76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208</w:t>
            </w:r>
          </w:p>
        </w:tc>
        <w:tc>
          <w:tcPr>
            <w:tcW w:w="616" w:type="dxa"/>
            <w:vAlign w:val="center"/>
          </w:tcPr>
          <w:p w14:paraId="6C95CC6F" w14:textId="16B91D5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107</w:t>
            </w:r>
          </w:p>
        </w:tc>
        <w:tc>
          <w:tcPr>
            <w:tcW w:w="966" w:type="dxa"/>
            <w:vAlign w:val="center"/>
          </w:tcPr>
          <w:p w14:paraId="49D0C26C" w14:textId="56A84C8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152 (48.25%)</w:t>
            </w:r>
          </w:p>
        </w:tc>
        <w:tc>
          <w:tcPr>
            <w:tcW w:w="916" w:type="dxa"/>
            <w:vAlign w:val="center"/>
          </w:tcPr>
          <w:p w14:paraId="68BF8C10" w14:textId="118DC047"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176D320F" w14:textId="06160B5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12 (3.81%)</w:t>
            </w:r>
          </w:p>
        </w:tc>
        <w:tc>
          <w:tcPr>
            <w:tcW w:w="966" w:type="dxa"/>
            <w:vAlign w:val="center"/>
          </w:tcPr>
          <w:p w14:paraId="532620AC" w14:textId="214EBDE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33 (10.48%)</w:t>
            </w:r>
          </w:p>
        </w:tc>
        <w:tc>
          <w:tcPr>
            <w:tcW w:w="1172" w:type="dxa"/>
            <w:vAlign w:val="center"/>
          </w:tcPr>
          <w:p w14:paraId="78C03B4D" w14:textId="3C7351A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01AFEA7E" w14:textId="72F857F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54C39E71" w14:textId="631851E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6FA23782" w14:textId="4AA8C0D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2CB26A72" w14:textId="0E742AC7"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126 (40%)</w:t>
            </w:r>
          </w:p>
        </w:tc>
        <w:tc>
          <w:tcPr>
            <w:tcW w:w="816" w:type="dxa"/>
            <w:vAlign w:val="center"/>
          </w:tcPr>
          <w:p w14:paraId="3D385AA2" w14:textId="4DF4356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35F9BB9D" w14:textId="3792B4C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 March - 1 May 2023</w:t>
            </w:r>
          </w:p>
        </w:tc>
      </w:tr>
      <w:tr w:rsidR="00C72EB0" w:rsidRPr="00CD1E71" w14:paraId="3FCDF698" w14:textId="11EC997A"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1847FA20" w14:textId="5AC986B9" w:rsidR="00C72EB0" w:rsidRPr="002D19BB"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lang w:val="es-PE"/>
              </w:rPr>
              <w:t xml:space="preserve">Al-Mustapha AI, et al. </w:t>
            </w:r>
            <w:r w:rsidRPr="00CD1E71">
              <w:rPr>
                <w:rFonts w:ascii="Times New Roman" w:hAnsi="Times New Roman"/>
                <w:szCs w:val="18"/>
                <w:lang w:val="es-PE"/>
              </w:rPr>
              <w:fldChar w:fldCharType="begin"/>
            </w:r>
            <w:r w:rsidR="00B827B0">
              <w:rPr>
                <w:rFonts w:ascii="Times New Roman" w:hAnsi="Times New Roman"/>
                <w:szCs w:val="18"/>
                <w:lang w:val="es-PE"/>
              </w:rPr>
              <w:instrText xml:space="preserve"> ADDIN ZOTERO_ITEM CSL_CITATION {"citationID":"KKSlRyJV","properties":{"formattedCitation":"(28)","plainCitation":"(28)","noteIndex":0},"citationItems":[{"id":11694,"uris":["http://zotero.org/users/6456139/items/XYQ5BSUF"],"itemData":{"id":11694,"type":"article-journal","abstract":"The Monkeypox Disease (MPXD) gained attention due to its widened geographical distribution outside of Africa, Hence, a it was declared a global health emergency. The index case in Europe was from a Nigerian traveller. This study assessed public awareness and knowledge of the MPXD by conducting an online, cross-sectional survey of educated Nigerians. A total of 822 respondents were recruited using the snowball sampling method between the 16th to 29th of August 2022. More responses were retrieved from the Northeastern geopolitical region (30.1%, n=220) than other regions. Descriptive statistics revealed that 89% (n=731/822) of the study participants were aware of the MPXD but only 58.7% (n=429/731) of them had good knowledge of the disease with a mean knowledge score of 5.31±2.09. The main knowledge gaps were in the incubation period of the disease, the signs and symptoms, its mode of transmission, and preventive practices needed to curb the spread of the monkeypox virus (MPXV). Specifically, only 24.5% (n=179) of them knew that MPXV can be transmitted via sexual contact. Most of the study participants (79.2%, n=651) opined that we can prevent the occurrence of public health emergencies in the future. The multivariable logistic regression analysis revealed that of the socio-demographic variables, the male gender (OR: 1.69; 95% CI: 1.22,2.33); Ph.D. level education (1.44; 95% CI: 1.048,4.23); and being homosexual (OR:1.65; 95% CI: 1.07,3.78) were significantly associated with good knowledge of MPXD. Despite the varying prevalence across the country, the region of</w:instrText>
            </w:r>
            <w:r w:rsidR="00B827B0" w:rsidRPr="008A3FD1">
              <w:rPr>
                <w:rFonts w:ascii="Times New Roman" w:hAnsi="Times New Roman"/>
                <w:szCs w:val="18"/>
              </w:rPr>
              <w:instrText xml:space="preserve"> residence within Nigeria did not influence the knowledge of MPXD among the respondents. The knowledge gaps necessitate intensified public health risk communication with a focus on modes of transmission and the preventive measures needed to curb the spread of the MPXV.","container-title":"BMC public health","DOI":"10.1186/s12889-023-15398-0","ISSN":"1471-2458","issue":"1","journalAbbreviation":"BMC Public Health","language":"eng","note":"PMID: 36991417\nPMCID: PMC10054201","page":"591","source":"PubMed","title":"A cross-sectional survey of public knowledge of the monkeypox disease in Nigeria","volume":"23","author":[{"family":"Al-Mustapha","given":"Ahmad Ibrahim"},{"family":"Ogundijo","given":"Oluwaseun Adeolu"},{"family":"Sikiru","given":"Nafisah Ayinde"},{"family":"Kolawole","given":"Barakat"},{"family":"Oyewo","given":"Muftau"},{"family":"El-Nadi","given":"Hager"},{"family":"Mustapha","given":"Ashiru Mohammed"},{"family":"Adebudo","given":"Lucky Icomiare"},{"family":"Odukoya","given":"Adesoji"},{"family":"Asiegbu","given":"Emmanuella Chinenye"},{"family":"Nanven","given":"Magdalene B."},</w:instrText>
            </w:r>
            <w:r w:rsidR="00B827B0" w:rsidRPr="00B827B0">
              <w:rPr>
                <w:rFonts w:ascii="Times New Roman" w:hAnsi="Times New Roman"/>
                <w:szCs w:val="18"/>
              </w:rPr>
              <w:instrText xml:space="preserve">{"family":"Lawal-Atolagbe","given":"Taibat"},{"family":"Lawal-Lah","given":"Fatima"},{"family":"Awoyale","given":"Oladayo David"},{"family":"Abubakar","given":"Ahmed Tijani"},{"family":"Sahabi","given":"Kabiru"},{"family":"Babandi","given":"Zaharadeen S."}],"issued":{"date-parts":[["2023",3,29]]}}}],"schema":"https://github.com/citation-style-language/schema/raw/master/csl-citation.json"}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(28)</w:t>
            </w:r>
            <w:r w:rsidRPr="00CD1E71">
              <w:rPr>
                <w:rFonts w:ascii="Times New Roman" w:hAnsi="Times New Roman"/>
                <w:szCs w:val="18"/>
                <w:lang w:val="es-PE"/>
              </w:rPr>
              <w:fldChar w:fldCharType="end"/>
            </w:r>
          </w:p>
        </w:tc>
        <w:tc>
          <w:tcPr>
            <w:tcW w:w="638" w:type="dxa"/>
            <w:vAlign w:val="center"/>
          </w:tcPr>
          <w:p w14:paraId="1C53511A" w14:textId="447D75D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435B241E" w14:textId="7E5EB90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1A856C4A" w14:textId="12EDF8F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Nigeria</w:t>
            </w:r>
          </w:p>
        </w:tc>
        <w:tc>
          <w:tcPr>
            <w:tcW w:w="850" w:type="dxa"/>
            <w:vAlign w:val="center"/>
          </w:tcPr>
          <w:p w14:paraId="0B98211D" w14:textId="4E7431D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822</w:t>
            </w:r>
          </w:p>
        </w:tc>
        <w:tc>
          <w:tcPr>
            <w:tcW w:w="1272" w:type="dxa"/>
            <w:vAlign w:val="center"/>
          </w:tcPr>
          <w:p w14:paraId="663AFAEC" w14:textId="5AA9858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General population</w:t>
            </w:r>
          </w:p>
        </w:tc>
        <w:tc>
          <w:tcPr>
            <w:tcW w:w="716" w:type="dxa"/>
            <w:vAlign w:val="center"/>
          </w:tcPr>
          <w:p w14:paraId="62EB95B8" w14:textId="3473BC1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472</w:t>
            </w:r>
          </w:p>
        </w:tc>
        <w:tc>
          <w:tcPr>
            <w:tcW w:w="616" w:type="dxa"/>
            <w:vAlign w:val="center"/>
          </w:tcPr>
          <w:p w14:paraId="02DBA823" w14:textId="5703C5D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342</w:t>
            </w:r>
          </w:p>
        </w:tc>
        <w:tc>
          <w:tcPr>
            <w:tcW w:w="966" w:type="dxa"/>
            <w:vAlign w:val="center"/>
          </w:tcPr>
          <w:p w14:paraId="507D3B92" w14:textId="79F1B02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209 (28.6%)</w:t>
            </w:r>
          </w:p>
        </w:tc>
        <w:tc>
          <w:tcPr>
            <w:tcW w:w="916" w:type="dxa"/>
            <w:vAlign w:val="center"/>
          </w:tcPr>
          <w:p w14:paraId="651B63C8" w14:textId="39A7D3E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244 (33.4%)</w:t>
            </w:r>
          </w:p>
        </w:tc>
        <w:tc>
          <w:tcPr>
            <w:tcW w:w="866" w:type="dxa"/>
            <w:vAlign w:val="center"/>
          </w:tcPr>
          <w:p w14:paraId="3FAF64C5" w14:textId="12AF2B4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94 (12.9%)</w:t>
            </w:r>
          </w:p>
        </w:tc>
        <w:tc>
          <w:tcPr>
            <w:tcW w:w="966" w:type="dxa"/>
            <w:vAlign w:val="center"/>
          </w:tcPr>
          <w:p w14:paraId="42A1E7B2" w14:textId="122167A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187 (25.6%)</w:t>
            </w:r>
          </w:p>
        </w:tc>
        <w:tc>
          <w:tcPr>
            <w:tcW w:w="1172" w:type="dxa"/>
            <w:vAlign w:val="center"/>
          </w:tcPr>
          <w:p w14:paraId="1C92512C" w14:textId="00B50A7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49 (6.7%)</w:t>
            </w:r>
          </w:p>
        </w:tc>
        <w:tc>
          <w:tcPr>
            <w:tcW w:w="1528" w:type="dxa"/>
            <w:vAlign w:val="center"/>
          </w:tcPr>
          <w:p w14:paraId="5648614A" w14:textId="6C47E11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54 (7.4%)</w:t>
            </w:r>
          </w:p>
        </w:tc>
        <w:tc>
          <w:tcPr>
            <w:tcW w:w="866" w:type="dxa"/>
            <w:vAlign w:val="center"/>
          </w:tcPr>
          <w:p w14:paraId="45235FC2" w14:textId="5C5CBBB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73 (10%)</w:t>
            </w:r>
          </w:p>
        </w:tc>
        <w:tc>
          <w:tcPr>
            <w:tcW w:w="866" w:type="dxa"/>
            <w:vAlign w:val="center"/>
          </w:tcPr>
          <w:p w14:paraId="1F713282" w14:textId="33BAB51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48806D8F" w14:textId="1E994C2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3E784893" w14:textId="53AA54B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3CC88BA0" w14:textId="23EFAF1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16 – 29 August 2022</w:t>
            </w:r>
          </w:p>
        </w:tc>
      </w:tr>
      <w:tr w:rsidR="00C72EB0" w:rsidRPr="00CD1E71" w14:paraId="0A7994B8"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4B736929" w14:textId="0528590B"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lang w:val="es-PE"/>
              </w:rPr>
            </w:pPr>
            <w:r w:rsidRPr="00CD1E71">
              <w:rPr>
                <w:rFonts w:ascii="Times New Roman" w:hAnsi="Times New Roman"/>
                <w:szCs w:val="18"/>
              </w:rPr>
              <w:t xml:space="preserve">Ibrahim AM,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{"citationID":"l08HgXYY","properties":{"formattedCitation":"(29)","plainCitation":"(29)","noteIndex":0},"citationItems":[{"id":12444,"uris":["http://zotero.org/users/6456139/items/WWL6P5SR"],"itemData":{"id":12444,"type":"article-journal","abstract":"Objectives: This research aims to assess the base level of knowledge and attitude of Applied Medical Sciences Students regarding mpox and whether an educational intervention could improve their knowledge and attitude. Methods: A quasi-experimental research was used, involving 960 medical students from Applied Medical Sciences College at Prince Sattam Bin Abdulaziz University, KSA. They were recruited from the beginning of November 2022 till the mid of January 2023 based on the non-randomized sampling method. A standardized, anonymous, and closed-ended questionnaire was used, compromising three main sections: participants' demographics, knowledge, and attitudes toward the mpox epidemic. Results: Total knowledge scores of the studied sample in the pretest phase were 45.43 ± 6.29 compared to 65.03 ± 2.93 in the post-test phase. Besides, total attitude scores were 48.62 ± 4.78 before program implementation, while after conducting the program reached 70.65 ± 5.13. There was a notable improvement in the total knowledge score of the sample studied after the intervention was implemented, particularly for neurological manifestations. Conclusion: After the program's implementation, there was an obvious improvement in the medical students' total knowledge and attitude scores concerning the mpox epidemic. It is necessary to initiate well-organized training initiatives for all other medical faculties, paramedics, and applied health institutions in Saudi Arabia.","container-title":"The Libyan Journal of Medicine","DOI":"10.1080/19932820.2023.2222448","ISSN":"1819-6357","issue":"1","journalAbbreviation":"Libyan J Med","language":"eng","note":"PMID: 37300843\nPMCID: PMC10259327","page":"2222448","source":"PubMed","title":"Knowledge and attitudes towards mpox and effect of intervention among College of Applied Medical Sciences students","volume":"18","author":[{"family":"Ibrahim","given":"Ateya Megahed"},{"family":"Zaghamir","given":"Donia Elsaid Fathi"}],"issued":{"date-parts":[["2023",12]]}}}],"schema":"https://github.com/citation-style-language/schema/raw/master/csl-citation.json"}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(29)</w:t>
            </w:r>
            <w:r w:rsidRPr="00CD1E71">
              <w:rPr>
                <w:rFonts w:ascii="Times New Roman" w:hAnsi="Times New Roman"/>
                <w:szCs w:val="18"/>
                <w:lang w:val="es-PE"/>
              </w:rPr>
              <w:fldChar w:fldCharType="end"/>
            </w:r>
          </w:p>
        </w:tc>
        <w:tc>
          <w:tcPr>
            <w:tcW w:w="638" w:type="dxa"/>
            <w:vAlign w:val="center"/>
          </w:tcPr>
          <w:p w14:paraId="2596150D" w14:textId="461AAC3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09B24E52" w14:textId="084CE44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187354EA" w14:textId="01BF036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1B8D6688" w14:textId="4DC9576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960</w:t>
            </w:r>
          </w:p>
        </w:tc>
        <w:tc>
          <w:tcPr>
            <w:tcW w:w="1272" w:type="dxa"/>
            <w:vAlign w:val="center"/>
          </w:tcPr>
          <w:p w14:paraId="1AA33ADD" w14:textId="5431860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Medical Students</w:t>
            </w:r>
          </w:p>
        </w:tc>
        <w:tc>
          <w:tcPr>
            <w:tcW w:w="716" w:type="dxa"/>
            <w:vAlign w:val="center"/>
          </w:tcPr>
          <w:p w14:paraId="0315E065" w14:textId="381081E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422</w:t>
            </w:r>
          </w:p>
        </w:tc>
        <w:tc>
          <w:tcPr>
            <w:tcW w:w="616" w:type="dxa"/>
            <w:vAlign w:val="center"/>
          </w:tcPr>
          <w:p w14:paraId="794E2754" w14:textId="52CC3EC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538</w:t>
            </w:r>
          </w:p>
        </w:tc>
        <w:tc>
          <w:tcPr>
            <w:tcW w:w="966" w:type="dxa"/>
            <w:vAlign w:val="center"/>
          </w:tcPr>
          <w:p w14:paraId="4647BAE7" w14:textId="465C6BE0" w:rsidR="00C72EB0" w:rsidRPr="00CD1E71" w:rsidRDefault="00961F95"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557 </w:t>
            </w:r>
            <w:r w:rsidR="00C72EB0" w:rsidRPr="00CD1E71">
              <w:rPr>
                <w:rFonts w:ascii="Times New Roman" w:hAnsi="Times New Roman"/>
                <w:szCs w:val="18"/>
              </w:rPr>
              <w:t>(58%)</w:t>
            </w:r>
          </w:p>
        </w:tc>
        <w:tc>
          <w:tcPr>
            <w:tcW w:w="916" w:type="dxa"/>
            <w:vAlign w:val="center"/>
          </w:tcPr>
          <w:p w14:paraId="48DA045D" w14:textId="59931F8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832" w:type="dxa"/>
            <w:gridSpan w:val="2"/>
            <w:vAlign w:val="center"/>
          </w:tcPr>
          <w:p w14:paraId="102AA812" w14:textId="5C1FBB86" w:rsidR="00C72EB0" w:rsidRPr="00CD1E71" w:rsidRDefault="00715B67"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192 </w:t>
            </w:r>
            <w:r w:rsidR="00C72EB0" w:rsidRPr="00CD1E71">
              <w:rPr>
                <w:rFonts w:ascii="Times New Roman" w:hAnsi="Times New Roman"/>
                <w:szCs w:val="18"/>
              </w:rPr>
              <w:t>(20%)</w:t>
            </w:r>
          </w:p>
        </w:tc>
        <w:tc>
          <w:tcPr>
            <w:tcW w:w="1172" w:type="dxa"/>
            <w:vAlign w:val="center"/>
          </w:tcPr>
          <w:p w14:paraId="4F7E6DDD" w14:textId="142E097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4049A162" w14:textId="36181898" w:rsidR="00C72EB0" w:rsidRPr="00CD1E71" w:rsidRDefault="00715B67"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58 </w:t>
            </w:r>
            <w:r w:rsidR="00C72EB0" w:rsidRPr="00CD1E71">
              <w:rPr>
                <w:rFonts w:ascii="Times New Roman" w:hAnsi="Times New Roman"/>
                <w:szCs w:val="18"/>
              </w:rPr>
              <w:t>(6%)</w:t>
            </w:r>
          </w:p>
        </w:tc>
        <w:tc>
          <w:tcPr>
            <w:tcW w:w="866" w:type="dxa"/>
            <w:vAlign w:val="center"/>
          </w:tcPr>
          <w:p w14:paraId="63C10E3B" w14:textId="6313874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004BE147" w14:textId="63ECB37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1CFBDC9E" w14:textId="5D9F354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7A0E0D39" w14:textId="01F7DD9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081E38E6" w14:textId="34DA7C3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November 2022 - January 2023</w:t>
            </w:r>
          </w:p>
        </w:tc>
      </w:tr>
      <w:tr w:rsidR="00C72EB0" w:rsidRPr="00CD1E71" w14:paraId="67181AEF"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0E67D123" w14:textId="3FFDC1A4"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Fu L,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{"citationID":"dwMXsR42","properties":{"formattedCitation":"(30)","plainCitation":"(30)","noteIndex":0},"citationItems":[{"id":12375,"uris":["http://zotero.org/users/6456139/items/SWU25J9W"],"itemData":{"id":12375,"type":"article-journal","abstract":"BACKGROUND: Men who have sex with men (MSM) living with HIV make up the majority of cases in the current Mpox outbreak. We aimed to investigate the perception of and vaccine readiness towards Mpox among MSM living with HIV in China.\nMETHODS: This cross-sectional online study was conducted from 10 August to 9 September 2022. Participants responded to survey questions about their socio-demographic information, HIV status, sexual behaviors, knowledge of Mpox, and attitudes towards Mpox vaccines.\nRESULTS: A total of 577 MSM living with HIV participated in the study. A total of 37.6% expressed concerns about the Mpox epidemic in China, and 56.8% were willing to get the Mpox vaccine. Men who had &gt; four sexual partners in the previous three months (aOR = 1.9 95% CI: 1.2-2.8 Ref: 0), had close contact with &gt; four individuals in a day (3.1, 1.5-6.5 Ref: 0-3), were worried about the Mpox epidemic in China (1.6, 1.1-2.3 Ref: No), and believed that Mpox vaccines are safe (6.6, 2.7-16.4 Ref: No or not sure) and effective (1.9, 1.1-3.3 Ref: No) for people living with HIV were more likely to be willing to get the Mpox vaccine. MSM living with HIV with a high school education or below (0.5, 0.3-0.9 Ref: Postgraduate diploma), and sometimes (0.5, 0.3-0.8 Ref: Often), seldom, or never (0.5, 0.3-0.9 Ref: Often) followed news about Mpox were unwilling to get the Mpox vaccine.\nCONCLUSION: The ongoing Mpox pandemic has not attracted widespread concerns among MSM living with HIV in China. Having more sexual partners and close contacts, worrying about the Mpox epidemic, and believing in the vaccine's safety and efficacy were predictors of their willingness to get the Mpox vaccine. Efforts should be made to raise awareness of the potential risk of Mpox in this at-risk population. Public health strategies should fully address predictors of vaccination willingness.","container-title":"Vaccines","DOI":"10.3390/vaccines11030528","ISSN":"2076-393X","issue":"3","journalAbbreviation":"Vaccines (Basel)","language":"eng","note":"PMID: 36992114\nPMCID: PMC10059946","page":"528","source":"PubMed","title":"Perception of and Vaccine Readiness towards Mpox among Men Who Have Sex with Men Living with HIV in China: A Cross-Sectional Study","title-short":"Perception of and Vaccine Readiness towards Mpox among Men Who Have Sex with Men Living with HIV in China","volume":"11","author":[{"family":"Fu","given":"Leiwen"},{"family":"Sun","given":"Yinghui"},{"family":"Li","given":"Yuwei"},{"family":"Wang","given":"Bingyi"},{"family":"Yang","given":"Luoyao"},{"family":"Tian","given":"Tian"},{"family":"Wu","given":"Xinsheng"},{"family":"Peng","given":"Xin"},{"family":"Liu","given":"Qi"},{"family":"Chen","given":"Yuanyi"},{"family":"Lin","given":"Yi-Fan"},{"family":"Li","given":"Hui"},{"family":"Meng","given":"Xiaojun"},{"family":"Zou","given":"Huachun"}],"issued":{"date-parts":[["2023",2,23]]}}}],"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(30)</w:t>
            </w:r>
            <w:r w:rsidRPr="00CD1E71">
              <w:rPr>
                <w:rFonts w:ascii="Times New Roman" w:hAnsi="Times New Roman"/>
                <w:szCs w:val="18"/>
                <w:lang w:val="es-PE"/>
              </w:rPr>
              <w:fldChar w:fldCharType="end"/>
            </w:r>
          </w:p>
        </w:tc>
        <w:tc>
          <w:tcPr>
            <w:tcW w:w="638" w:type="dxa"/>
            <w:vAlign w:val="center"/>
          </w:tcPr>
          <w:p w14:paraId="3FCEDF7E" w14:textId="142ECD1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7E60ABF4" w14:textId="627EBC9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5DB19EE8" w14:textId="5A8B344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China</w:t>
            </w:r>
          </w:p>
        </w:tc>
        <w:tc>
          <w:tcPr>
            <w:tcW w:w="850" w:type="dxa"/>
            <w:vAlign w:val="center"/>
          </w:tcPr>
          <w:p w14:paraId="022A2072" w14:textId="372809C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577</w:t>
            </w:r>
          </w:p>
        </w:tc>
        <w:tc>
          <w:tcPr>
            <w:tcW w:w="1272" w:type="dxa"/>
            <w:vAlign w:val="center"/>
          </w:tcPr>
          <w:p w14:paraId="252B7A0D" w14:textId="6514CF9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LGBTI community</w:t>
            </w:r>
          </w:p>
        </w:tc>
        <w:tc>
          <w:tcPr>
            <w:tcW w:w="716" w:type="dxa"/>
            <w:vAlign w:val="center"/>
          </w:tcPr>
          <w:p w14:paraId="0FF606E4" w14:textId="1000CB4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577*</w:t>
            </w:r>
          </w:p>
        </w:tc>
        <w:tc>
          <w:tcPr>
            <w:tcW w:w="616" w:type="dxa"/>
            <w:vAlign w:val="center"/>
          </w:tcPr>
          <w:p w14:paraId="6C730BDA" w14:textId="4362A3B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0</w:t>
            </w:r>
          </w:p>
        </w:tc>
        <w:tc>
          <w:tcPr>
            <w:tcW w:w="966" w:type="dxa"/>
            <w:vAlign w:val="center"/>
          </w:tcPr>
          <w:p w14:paraId="149A9EC9" w14:textId="68E52F8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16" w:type="dxa"/>
            <w:vAlign w:val="center"/>
          </w:tcPr>
          <w:p w14:paraId="505A31CD" w14:textId="41AA1F8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461 (79.9%)</w:t>
            </w:r>
          </w:p>
        </w:tc>
        <w:tc>
          <w:tcPr>
            <w:tcW w:w="866" w:type="dxa"/>
            <w:vAlign w:val="center"/>
          </w:tcPr>
          <w:p w14:paraId="0ACA50C7" w14:textId="1DF7881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2138" w:type="dxa"/>
            <w:gridSpan w:val="2"/>
            <w:vAlign w:val="center"/>
          </w:tcPr>
          <w:p w14:paraId="35D9AB89" w14:textId="3AFCA07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166 (28.8%)</w:t>
            </w:r>
          </w:p>
        </w:tc>
        <w:tc>
          <w:tcPr>
            <w:tcW w:w="1528" w:type="dxa"/>
            <w:vAlign w:val="center"/>
          </w:tcPr>
          <w:p w14:paraId="1072A6C9" w14:textId="19BBCBF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25 (4.3%)</w:t>
            </w:r>
          </w:p>
        </w:tc>
        <w:tc>
          <w:tcPr>
            <w:tcW w:w="866" w:type="dxa"/>
            <w:vAlign w:val="center"/>
          </w:tcPr>
          <w:p w14:paraId="77CBB909" w14:textId="16B183D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4D2BE94D" w14:textId="40DBDBB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384F0DD5" w14:textId="5E38CCD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0E8987E9" w14:textId="054B642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39860FC7" w14:textId="188DA086"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10 August - 9 September 2022</w:t>
            </w:r>
          </w:p>
        </w:tc>
      </w:tr>
      <w:tr w:rsidR="00C72EB0" w:rsidRPr="00CD1E71" w14:paraId="4F5F1AB9"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3BE9C28F" w14:textId="1A670A1F"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lang w:val="es-PE"/>
              </w:rPr>
            </w:pPr>
            <w:r w:rsidRPr="00CD1E71">
              <w:rPr>
                <w:rFonts w:ascii="Times New Roman" w:hAnsi="Times New Roman"/>
                <w:szCs w:val="18"/>
              </w:rPr>
              <w:t xml:space="preserve">Jamaleddine Y,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{"citationID":"MUHEHRnO","properties":{"formattedCitation":"(31)","plainCitation":"(31)","noteIndex":0},"citationItems":[{"id":11689,"uris":["http://zotero.org/users/6456139/items/RTHUDQAU"],"itemData":{"id":11689,"type":"article-journal","abstract":"INTRODUCTION: Monkeypox is a currently re-emerging disease in the world and several cases have been detected in Lebanon. For this reason, an assessment of the knowledge and attitude of the Lebanese population towards monkeypox and smallpox or monkeypox vaccines had to be done.\nMETHODS: A cross-sectional study was conducted using a questionnaire developed from previous literature among a sample of Lebanese residents. It recorded the sociodemographic characteristics and comorbidities of the participants and analyzed the patterns of knowledge and attitudes in Lebanon.\nRESULTS: Among 493 participants, it was found that there is a generally low knowledge of and an average attitude toward monkeypox. However, knowledge is better with higher educational levels, COVID-19 vaccination, and residency in the south of Lebanon and poorer with marriage and residency in Beirut. Attitude is better in females but poorer with higher educational levels. Several other effectors have been devised too. As for vaccination, taking the smallpox vaccine as a proactive measure is predicted with previous COVID-19 vaccination and better attitude but not in the residents of the north of Lebanon and married Lebanese residents. Higher educational levels and a better attitude were positive predictions of taking the monkeypox vaccine whenever it is developed.\nCONCLUSION: This study revealed low level of knowledge and attitude towards monkeypox and its vaccines, which can be a rich resource when proactive measures are developed.","container-title":"Journal of Preventive Medicine and Hygiene","DOI":"10.15167/2421-4248/jpmh2023.64.1.2903","ISSN":"2421-4248","issue":"1","journalAbbreviation":"J Prev Med Hyg","language":"eng","note":"PMID: 37293454\nPMCID: PMC10246610","page":"E13-E26","source":"PubMed","title":"Knowledge and attitude towards monkeypox among the Lebanese population and their attitude towards vaccination","volume":"64","author":[{"family":"Jamaleddine","given":"Youssef"},{"family":"El Ezz","given":"Asem Abou"},{"family":"Mahmoud","given":"Mahmoud"},{"family":"Ismail","given":"Omar"},{"family":"Saifan","given":"Ahmad"},{"family":"Mayta","given":"Zaid"},{"family":"Saab","given":"Abdallah"},{"family":"Salameh","given":"Pascale"}],"issued":{"date-parts":[["2023",3]]}}}],"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(31)</w:t>
            </w:r>
            <w:r w:rsidRPr="00CD1E71">
              <w:rPr>
                <w:rFonts w:ascii="Times New Roman" w:hAnsi="Times New Roman"/>
                <w:szCs w:val="18"/>
                <w:lang w:val="es-PE"/>
              </w:rPr>
              <w:fldChar w:fldCharType="end"/>
            </w:r>
          </w:p>
        </w:tc>
        <w:tc>
          <w:tcPr>
            <w:tcW w:w="638" w:type="dxa"/>
            <w:vAlign w:val="center"/>
          </w:tcPr>
          <w:p w14:paraId="11D9BF3E" w14:textId="393D0B1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698A7873" w14:textId="7E97323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003BC632" w14:textId="25BC0C7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Lebanon</w:t>
            </w:r>
          </w:p>
        </w:tc>
        <w:tc>
          <w:tcPr>
            <w:tcW w:w="850" w:type="dxa"/>
            <w:vAlign w:val="center"/>
          </w:tcPr>
          <w:p w14:paraId="102F2DA8" w14:textId="327DCB9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493</w:t>
            </w:r>
          </w:p>
        </w:tc>
        <w:tc>
          <w:tcPr>
            <w:tcW w:w="1272" w:type="dxa"/>
            <w:vAlign w:val="center"/>
          </w:tcPr>
          <w:p w14:paraId="7CF73010" w14:textId="25ED680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General population</w:t>
            </w:r>
          </w:p>
        </w:tc>
        <w:tc>
          <w:tcPr>
            <w:tcW w:w="716" w:type="dxa"/>
            <w:vAlign w:val="center"/>
          </w:tcPr>
          <w:p w14:paraId="31FBE090" w14:textId="746AD38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119</w:t>
            </w:r>
          </w:p>
        </w:tc>
        <w:tc>
          <w:tcPr>
            <w:tcW w:w="616" w:type="dxa"/>
            <w:vAlign w:val="center"/>
          </w:tcPr>
          <w:p w14:paraId="26E2BF05" w14:textId="7458F96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374</w:t>
            </w:r>
          </w:p>
        </w:tc>
        <w:tc>
          <w:tcPr>
            <w:tcW w:w="966" w:type="dxa"/>
            <w:vAlign w:val="center"/>
          </w:tcPr>
          <w:p w14:paraId="63C6D9F6" w14:textId="6BE0FF0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261 (52.9%)</w:t>
            </w:r>
          </w:p>
        </w:tc>
        <w:tc>
          <w:tcPr>
            <w:tcW w:w="916" w:type="dxa"/>
            <w:vAlign w:val="center"/>
          </w:tcPr>
          <w:p w14:paraId="3C64B9DC" w14:textId="390BD22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152 (30.8)</w:t>
            </w:r>
          </w:p>
        </w:tc>
        <w:tc>
          <w:tcPr>
            <w:tcW w:w="866" w:type="dxa"/>
            <w:vAlign w:val="center"/>
          </w:tcPr>
          <w:p w14:paraId="5EA4A694" w14:textId="3D80662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7F36AF77" w14:textId="1026FEC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111 (22.5%)</w:t>
            </w:r>
          </w:p>
        </w:tc>
        <w:tc>
          <w:tcPr>
            <w:tcW w:w="1172" w:type="dxa"/>
            <w:vAlign w:val="center"/>
          </w:tcPr>
          <w:p w14:paraId="4D5408EA" w14:textId="4BDF2D8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6322FF45" w14:textId="424CD6B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80 (16.2%)</w:t>
            </w:r>
          </w:p>
        </w:tc>
        <w:tc>
          <w:tcPr>
            <w:tcW w:w="866" w:type="dxa"/>
            <w:vAlign w:val="center"/>
          </w:tcPr>
          <w:p w14:paraId="3C3332C5" w14:textId="7F7878F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134 (27.2%)</w:t>
            </w:r>
          </w:p>
        </w:tc>
        <w:tc>
          <w:tcPr>
            <w:tcW w:w="866" w:type="dxa"/>
            <w:vAlign w:val="center"/>
          </w:tcPr>
          <w:p w14:paraId="6BC5BEE5" w14:textId="476FD54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82 (16.6%)</w:t>
            </w:r>
          </w:p>
        </w:tc>
        <w:tc>
          <w:tcPr>
            <w:tcW w:w="1005" w:type="dxa"/>
            <w:vAlign w:val="center"/>
          </w:tcPr>
          <w:p w14:paraId="617B2778" w14:textId="6AE87FD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6D977167" w14:textId="4BD2650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518AA815" w14:textId="215D89E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6–20 September 2022</w:t>
            </w:r>
          </w:p>
        </w:tc>
      </w:tr>
      <w:tr w:rsidR="00C72EB0" w:rsidRPr="00CD1E71" w14:paraId="5FC7826B" w14:textId="1525B6A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3A48400B" w14:textId="27A6CFEE"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Ahmed SK,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{"citationID":"SxogmHDB","properties":{"formattedCitation":"(32)","plainCitation":"(32)","noteIndex":0},"citationItems":[{"id":11686,"uris":["http://zotero.org/users/6456139/items/JFTMUR6P"],"itemData":{"id":11686,"type":"article-journal","abstract":"The rapid spread of monkeypox (mpox) has been declared as a public health emergency of international concern (PHEIC). The present study aimed to assess the knowledge, attitude, and worry levels of the general population in the Kurdistan region of Iraq regarding the ongoing mpox multi-country outbreak. An online cross-sectional survey was conducted between 27-30 July 2022, using a convenience sampling method. The questionnaire was adapted from previous studies addressing the same topic. The independent Student's t-test, one-way ANOVA, and logistic regression were used to assess possible factors associated with knowledge, attitude, and worry toward mpox. A total of 510 respondents were included in the final analysis. The participants showed a moderate level of mpox knowledge, a neutral attitude towards mpox, and a relatively moderate worry level. The logistic regression analysis showed that age, gender, marital status, religion, level of education, and place of residence were associated with mpox knowledge; however, the significant variables in the multivariate regression analysis were gender, religion, level of education, and residential area. Gender and residential area were associated with attitudes toward mpox; however, the significant variables in the multivariate regression analysis were gender and residential areas. The worry toward mpox was influenced by gender, marital status, religion, and place of residence, yet the significant variables in the multivariate regression analysis were gender, religion, educational level, and residential area. In conclusion, the Kurdish population had moderate knowledge, a neutral attitude, and a moderate level of worry about mpox. Considering the continuous rapid rise in mpox cases in several countries, and its possible risk as pandemic amid the ongoing COVID-19 pandemic, proactive control measures, adequate disease prevention strategies, and preparedness plans need to be formulated and immediately implemented to tackle the appearance of fears among people, and to safeguard the mental health of the public.","container-title":"Vaccines","DOI":"10.3390/vaccines11030610","ISSN":"2076-393X","issue":"3","journalAbbreviation":"Vaccines (Basel)","language":"eng","note":"PMID: 36992194\nPMCID: PMC10054073","page":"610","source":"PubMed","title":"Knowledge, Attitude and Worry in the Kurdistan Region of Iraq during the Mpox (Monkeypox) Outbreak in 2022: An Online Cross-Sectional Study","title-short":"Knowledge, Attitude and Worry in the Kurdistan Region of Iraq during the Mpox (Monkeypox) Outbreak in 2022","volume":"11","author":[{"family":"Ahmed","given":"Sirwan Khalid"},{"family":"Abdulqadir","given":"Salar Omar"},{"family":"Omar","given":"Rukhsar Muhammad"},{"family":"Abdullah","given":"Ardalan Jabbar"},{"family":"Rahman","given":"Hawre Asaad"},{"family":"Hussein","given":"Safin Hassan"},{"family":"Mohammed Amin","given":"Halkawt Ismail"},{"family":"Chandran","given":"Deepak"},{"family":"Sharma","given":"Anil Kumar"},{"family":"Dhama","given":"Kuldeep"},{"family":"Sallam","given":"Malik"},{"family":"Harapan","given":"Harapan"},{"family":"Salari","given":"Nader"},{"family":"Chakraborty","given":"Chiranjib"},{"family":"Abdulla","given":"Araz Qadir"}],"issued":{"date-parts":[["2023",3,8]]}}}],"schema":"https://github.com/citation-style-language/schema/raw/master/csl-citation.json"}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(32)</w:t>
            </w:r>
            <w:r w:rsidRPr="00CD1E71">
              <w:rPr>
                <w:rFonts w:ascii="Times New Roman" w:hAnsi="Times New Roman"/>
                <w:szCs w:val="18"/>
              </w:rPr>
              <w:fldChar w:fldCharType="end"/>
            </w:r>
          </w:p>
        </w:tc>
        <w:tc>
          <w:tcPr>
            <w:tcW w:w="638" w:type="dxa"/>
            <w:vAlign w:val="center"/>
          </w:tcPr>
          <w:p w14:paraId="00CDBA5F" w14:textId="5C31340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6F736FDA" w14:textId="5FF14DF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3A96F7E1" w14:textId="501DC4D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Iraq</w:t>
            </w:r>
          </w:p>
        </w:tc>
        <w:tc>
          <w:tcPr>
            <w:tcW w:w="850" w:type="dxa"/>
            <w:vAlign w:val="center"/>
          </w:tcPr>
          <w:p w14:paraId="4CB05784" w14:textId="0B45447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510</w:t>
            </w:r>
          </w:p>
        </w:tc>
        <w:tc>
          <w:tcPr>
            <w:tcW w:w="1272" w:type="dxa"/>
            <w:vAlign w:val="center"/>
          </w:tcPr>
          <w:p w14:paraId="241A488F" w14:textId="27E13BA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General population</w:t>
            </w:r>
          </w:p>
        </w:tc>
        <w:tc>
          <w:tcPr>
            <w:tcW w:w="716" w:type="dxa"/>
            <w:vAlign w:val="center"/>
          </w:tcPr>
          <w:p w14:paraId="00F41819" w14:textId="5F06AEB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277</w:t>
            </w:r>
          </w:p>
        </w:tc>
        <w:tc>
          <w:tcPr>
            <w:tcW w:w="616" w:type="dxa"/>
            <w:vAlign w:val="center"/>
          </w:tcPr>
          <w:p w14:paraId="2F4D3367" w14:textId="60330BA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233</w:t>
            </w:r>
          </w:p>
        </w:tc>
        <w:tc>
          <w:tcPr>
            <w:tcW w:w="966" w:type="dxa"/>
            <w:vAlign w:val="center"/>
          </w:tcPr>
          <w:p w14:paraId="3FB9B25D" w14:textId="78068C26" w:rsidR="00C72EB0" w:rsidRPr="00CD1E71" w:rsidRDefault="00871164"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 xml:space="preserve">316 </w:t>
            </w:r>
            <w:r w:rsidR="00C72EB0" w:rsidRPr="00CD1E71">
              <w:rPr>
                <w:rFonts w:ascii="Times New Roman" w:hAnsi="Times New Roman"/>
                <w:szCs w:val="18"/>
              </w:rPr>
              <w:t>(62%)</w:t>
            </w:r>
          </w:p>
        </w:tc>
        <w:tc>
          <w:tcPr>
            <w:tcW w:w="916" w:type="dxa"/>
            <w:vAlign w:val="center"/>
          </w:tcPr>
          <w:p w14:paraId="1C99FD06" w14:textId="4831023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51FC64C0" w14:textId="7AAF1F1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2138" w:type="dxa"/>
            <w:gridSpan w:val="2"/>
            <w:vAlign w:val="center"/>
          </w:tcPr>
          <w:p w14:paraId="63804F98" w14:textId="66CBC675" w:rsidR="00C72EB0" w:rsidRPr="00CD1E71" w:rsidRDefault="00871164"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 xml:space="preserve">56 </w:t>
            </w:r>
            <w:r w:rsidR="00C72EB0" w:rsidRPr="00CD1E71">
              <w:rPr>
                <w:rFonts w:ascii="Times New Roman" w:hAnsi="Times New Roman"/>
                <w:szCs w:val="18"/>
              </w:rPr>
              <w:t>(11%)</w:t>
            </w:r>
          </w:p>
        </w:tc>
        <w:tc>
          <w:tcPr>
            <w:tcW w:w="1528" w:type="dxa"/>
            <w:vAlign w:val="center"/>
          </w:tcPr>
          <w:p w14:paraId="7677B322" w14:textId="602B8500" w:rsidR="00C72EB0" w:rsidRPr="00CD1E71" w:rsidRDefault="00871164"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 xml:space="preserve">46 </w:t>
            </w:r>
            <w:r w:rsidR="00C72EB0" w:rsidRPr="00CD1E71">
              <w:rPr>
                <w:rFonts w:ascii="Times New Roman" w:hAnsi="Times New Roman"/>
                <w:szCs w:val="18"/>
              </w:rPr>
              <w:t>(9%)</w:t>
            </w:r>
          </w:p>
        </w:tc>
        <w:tc>
          <w:tcPr>
            <w:tcW w:w="866" w:type="dxa"/>
            <w:vAlign w:val="center"/>
          </w:tcPr>
          <w:p w14:paraId="034D0566" w14:textId="251B85C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5AA3C5D7" w14:textId="1A242DC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17E42E91" w14:textId="3506127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5AB1FC81" w14:textId="4CA6039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62DCDC0A" w14:textId="796629E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27–30 July 2022</w:t>
            </w:r>
          </w:p>
        </w:tc>
      </w:tr>
      <w:tr w:rsidR="00C72EB0" w:rsidRPr="00CD1E71" w14:paraId="2850445A"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28A47FD6" w14:textId="3EA28928"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Swed S,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{"citationID":"2zBrHXQ6","properties":{"formattedCitation":"(33)","plainCitation":"(33)","noteIndex":0},"citationItems":[{"id":11730,"uris":["http://zotero.org/users/6456139/items/Q5VGZGJY"],"itemData":{"id":11730,"type":"article-journal","abstract":"Background &amp; aim\nThe monkeypox virus (MPXV), an Orthopoxvirus family member, is the zoonotic agent that causes mpox (formerly known as monkeypox). The ongoing mpox pandemic has caused cases across continents involving 110 countries. This study aimed to assess mpox knowledge and its determinants among healthcare personnel.\nMethods\nThis cross-sectional study was conducted from June 6 to June 25, 2022, among 17 Arab countries. The self-administered questionnaire consists of 53 questions assessing the knowledge about the monkeypox virus.\nResults\nIn total, 5874 medical students and clinical doctors from 17 Arab countries participated in this study. Only 13.8% (n = 812) of respondents have ever received information about mpox during their studies in medicine. The mean knowledge score was 13.84, and the median score was 15 (range 1–34). More than half (51.3%, n = 3012) have heard about mpox before. A low proportion of the participants had a good level of knowledge on mpox. Only 11.7% of respondents had correctly identified the natural host and the incubation period of mpox. More than half (58.9%) were aware of the signs and symptoms of mpox. Few respondents (28%) believed that mpox and smallpox have similar signs and symptoms. Specialist doctors had higher knowledge of mpox (AOR = 2.96, 95% CI = 2.24–3.92, p &lt; 0.001) than other cadres.\nConclusion\nMpox awareness among Arabic medical students and practitioners is low; hence immediate action in creating awareness among arab healthcare professionals is the need of the hour. This is crucial in the mpox early detection and prevention of its spread.","container-title":"New Microbes and New Infections","DOI":"10.1016/j.nmni.2023.101146","ISSN":"2052-2975","journalAbbreviation":"New Microbes and New Infections","language":"en","page":"101146","source":"ScienceDirect","title":"Knowledge of mpox and its determinants among the healthcare personnel in Arabic regions: A multi-country cross-sectional study","title-short":"Knowledge of mpox and its determinants among the healthcare personnel in Arabic regions","volume":"54","author":[{"family":"Swed","given":"Sarya"},{"family":"Bohsas","given":"Haidara"},{"family":"Patwary","given":"Muhammad Mainuddin"},{"family":"Alibrahim","given":"Hidar"},{"family":"Rakab","given":"Amine"},{"family":"Nashwan","given":"Abdulqadir J."},{"family":"Hafez","given":"Wael"},{"family":"Hassan","given":"Noheir A. I."},{"family":"Shoib","given":"Sheikh"},{"family":"Elsayed","given":"Mohamed"},{"family":"Sawaf","given":"Bisher"},{"family":"Albuni","given":"Mhd Kutaiba"},{"family":"Battikh","given":"Elias"},{"family":"Mohamed","given":"Gihan","dropping-particle":"mustafa kamal"},{"family":"AlBozom","given":"Adel"},{"family":"Shaddad","given":"Ebrahim"},{"family":"fathey","given":"Sherihan"},{"family":"Nu Htay","given":"Mila Nu"},{"family":"Sah","given":"Sanjit"},{"family":"Cherrez-Ojeda","given":"Ivan"},{"family":"Mohanty","given":"Aroop"},{"family":"Padhi","given":"Bijaya Kumar"},{"family":"Rodriguez-Morales","given":"Alfonso J."},{"family":"Gandhi P","given":"Aravind"},{"family":"Sah","given":"Ranjit"}],"issued":{"date-parts":[["2023",9,1]]}}}],"schema":"https://github.com/citation-style-language/schema/raw/master/csl-citation.json"}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(33)</w:t>
            </w:r>
            <w:r w:rsidRPr="00CD1E71">
              <w:rPr>
                <w:rFonts w:ascii="Times New Roman" w:hAnsi="Times New Roman"/>
                <w:szCs w:val="18"/>
              </w:rPr>
              <w:fldChar w:fldCharType="end"/>
            </w:r>
          </w:p>
        </w:tc>
        <w:tc>
          <w:tcPr>
            <w:tcW w:w="638" w:type="dxa"/>
            <w:vAlign w:val="center"/>
          </w:tcPr>
          <w:p w14:paraId="49C8EC90" w14:textId="55521FE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3C283684" w14:textId="4A9EA2A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6DC03680" w14:textId="42D1DFC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Arabic regions</w:t>
            </w:r>
          </w:p>
        </w:tc>
        <w:tc>
          <w:tcPr>
            <w:tcW w:w="850" w:type="dxa"/>
            <w:vAlign w:val="center"/>
          </w:tcPr>
          <w:p w14:paraId="01F7B075" w14:textId="0883386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5874</w:t>
            </w:r>
          </w:p>
        </w:tc>
        <w:tc>
          <w:tcPr>
            <w:tcW w:w="1272" w:type="dxa"/>
            <w:vAlign w:val="center"/>
          </w:tcPr>
          <w:p w14:paraId="163937F9" w14:textId="2D17901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Healthcare Workers</w:t>
            </w:r>
          </w:p>
        </w:tc>
        <w:tc>
          <w:tcPr>
            <w:tcW w:w="716" w:type="dxa"/>
            <w:vAlign w:val="center"/>
          </w:tcPr>
          <w:p w14:paraId="2C24F92B" w14:textId="7AFFDA9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2455</w:t>
            </w:r>
          </w:p>
        </w:tc>
        <w:tc>
          <w:tcPr>
            <w:tcW w:w="616" w:type="dxa"/>
            <w:vAlign w:val="center"/>
          </w:tcPr>
          <w:p w14:paraId="2177A976" w14:textId="4470E33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3419</w:t>
            </w:r>
          </w:p>
        </w:tc>
        <w:tc>
          <w:tcPr>
            <w:tcW w:w="966" w:type="dxa"/>
            <w:vAlign w:val="center"/>
          </w:tcPr>
          <w:p w14:paraId="06ACC83F" w14:textId="0A0FF54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5280 (89.9%)</w:t>
            </w:r>
          </w:p>
        </w:tc>
        <w:tc>
          <w:tcPr>
            <w:tcW w:w="916" w:type="dxa"/>
            <w:vAlign w:val="center"/>
          </w:tcPr>
          <w:p w14:paraId="32D42C1F" w14:textId="102BBCE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4858 (82.7%)</w:t>
            </w:r>
          </w:p>
        </w:tc>
        <w:tc>
          <w:tcPr>
            <w:tcW w:w="866" w:type="dxa"/>
            <w:vAlign w:val="center"/>
          </w:tcPr>
          <w:p w14:paraId="2D8ACB17" w14:textId="0D8CD3C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2B1EEF07" w14:textId="6A818C9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2218 (37.8%)</w:t>
            </w:r>
          </w:p>
        </w:tc>
        <w:tc>
          <w:tcPr>
            <w:tcW w:w="1172" w:type="dxa"/>
            <w:vAlign w:val="center"/>
          </w:tcPr>
          <w:p w14:paraId="09743385" w14:textId="1ECE90C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15F8CF0F" w14:textId="2159C12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3116 (53.0%)</w:t>
            </w:r>
          </w:p>
        </w:tc>
        <w:tc>
          <w:tcPr>
            <w:tcW w:w="866" w:type="dxa"/>
            <w:vAlign w:val="center"/>
          </w:tcPr>
          <w:p w14:paraId="18EBF00D" w14:textId="70B8ADE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35184D2B" w14:textId="6354C66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1FC41E49" w14:textId="0095D67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NR</w:t>
            </w:r>
          </w:p>
        </w:tc>
        <w:tc>
          <w:tcPr>
            <w:tcW w:w="816" w:type="dxa"/>
            <w:vAlign w:val="center"/>
          </w:tcPr>
          <w:p w14:paraId="409DFFA8" w14:textId="27DB367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3E218DF8" w14:textId="6A1730F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6-25 June 2022</w:t>
            </w:r>
          </w:p>
        </w:tc>
      </w:tr>
      <w:tr w:rsidR="00C72EB0" w:rsidRPr="00CD1E71" w14:paraId="02884E10"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4C26C7A5" w14:textId="455F28C4"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Elkhwesky Z,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{"citationID":"2FtWuqck","properties":{"formattedCitation":"(34)","plainCitation":"(34)","noteIndex":0},"citationItems":[{"id":11727,"uris":["http://zotero.org/users/6456139/items/RYLRF9AE"],"itemData":{"id":11727,"type":"article-journal","abstract":"BACKGROUND: The re-emerging human monkeypox virus (MPXV) poses a global threat. The rising number of confirmed MPXV cases worldwide is a significant reason for concern. This study aims to investigate (1) hotel employees' knowledge in Egypt of MPXV source, signs/symptoms, transmission, prevention, and treatment, (2) the primary sources of their information about MPXV, (3) whether or not they received information about MPXV from their hotels, and (4) the differences of employees' knowledge in terms of gender, age, marital status, level of education, type of contract, professional category, hotel department, type of hotel, seniority in the hotel, and the number of hotel rooms.\nMETHODS: Using a quantitative approach, we collected data from 453 employees in Egyptian hotels via a web-based questionnaire. The survey included questions regarding the MPXV source, signs/symptoms, transmission, prevention, and treatment, as well as its primary information sources. The questionnaire also included questions regarding participants' demographics and hotel characteristics.\nRESULTS: The findings indicated that more than half of hotel employees have inadequate knowledge of MPXV. Additionally, the majority of employees selected social media as their primary source of MPXV-related information. Surprisingly, most participants reported that their hotels neglected to provide them with the MPXV's information. Age, marital status, education, professional category, and tenure in the hotel all have a significant impact on their MPXV knowledge level.\nCONCLUSION: The current paper presents significant implications for both theory and practice. This study provides government agencies and hotels with guidelines for preventing the outbreak of MPXV. According to our knowledge, this is the first study conducted with hotel employees in the MPXV Egyptian context.","container-title":"Travel Medicine and Infectious Disease","DOI":"10.1016/j.tmaid.2023.102574","ISSN":"1873-0442","journalAbbreviation":"Travel Med Infect Dis","language":"eng","note":"PMID: 37061148\nPMCID: PMC10102563","page":"102574","source":"PubMed","title":"Hotel employees' knowledge of monkeypox's source, symptoms, transmission, prevention, and treatment in Egypt","volume":"53","author":[{"family":"Elkhwesky","given":"Zakaria"},{"family":"Derhab","given":"Neama"},{"family":"Elkhwesky","given":"Fady Fayez Youssif"},{"family":"Abuelhassan","given":"Abuelhassan Elshazly"},{"family":"Hassan","given":"Hamada"}],"issued":{"date-parts":[["2023"]]}}}],"schema":"https://github.com/citation-style-language/schema/raw/master/csl-citation.json"}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(34)</w:t>
            </w:r>
            <w:r w:rsidRPr="00CD1E71">
              <w:rPr>
                <w:rFonts w:ascii="Times New Roman" w:hAnsi="Times New Roman"/>
                <w:szCs w:val="18"/>
                <w:lang w:val="es-PE"/>
              </w:rPr>
              <w:fldChar w:fldCharType="end"/>
            </w:r>
          </w:p>
        </w:tc>
        <w:tc>
          <w:tcPr>
            <w:tcW w:w="638" w:type="dxa"/>
            <w:vAlign w:val="center"/>
          </w:tcPr>
          <w:p w14:paraId="06C5F470" w14:textId="509F05C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733F2AF3" w14:textId="7FAE82E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595FAA4E" w14:textId="64E1CF2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Egypt</w:t>
            </w:r>
          </w:p>
        </w:tc>
        <w:tc>
          <w:tcPr>
            <w:tcW w:w="850" w:type="dxa"/>
            <w:vAlign w:val="center"/>
          </w:tcPr>
          <w:p w14:paraId="46156041" w14:textId="45D5248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453</w:t>
            </w:r>
          </w:p>
        </w:tc>
        <w:tc>
          <w:tcPr>
            <w:tcW w:w="1272" w:type="dxa"/>
            <w:vAlign w:val="center"/>
          </w:tcPr>
          <w:p w14:paraId="3D1A895C" w14:textId="1CE7E1B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Hotel employees</w:t>
            </w:r>
          </w:p>
        </w:tc>
        <w:tc>
          <w:tcPr>
            <w:tcW w:w="716" w:type="dxa"/>
            <w:vAlign w:val="center"/>
          </w:tcPr>
          <w:p w14:paraId="3E146FE7" w14:textId="06CB98B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363</w:t>
            </w:r>
          </w:p>
        </w:tc>
        <w:tc>
          <w:tcPr>
            <w:tcW w:w="616" w:type="dxa"/>
            <w:vAlign w:val="center"/>
          </w:tcPr>
          <w:p w14:paraId="3115D6D2" w14:textId="4BAEF096"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90</w:t>
            </w:r>
          </w:p>
        </w:tc>
        <w:tc>
          <w:tcPr>
            <w:tcW w:w="966" w:type="dxa"/>
            <w:vAlign w:val="center"/>
          </w:tcPr>
          <w:p w14:paraId="2DDF1154" w14:textId="41B1C91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351 (77.5%)</w:t>
            </w:r>
          </w:p>
        </w:tc>
        <w:tc>
          <w:tcPr>
            <w:tcW w:w="916" w:type="dxa"/>
            <w:vAlign w:val="center"/>
          </w:tcPr>
          <w:p w14:paraId="6A07E9BC" w14:textId="2315EB4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832" w:type="dxa"/>
            <w:gridSpan w:val="2"/>
            <w:vAlign w:val="center"/>
          </w:tcPr>
          <w:p w14:paraId="012B603C" w14:textId="32FB7B0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220 (48.6%)</w:t>
            </w:r>
          </w:p>
        </w:tc>
        <w:tc>
          <w:tcPr>
            <w:tcW w:w="1172" w:type="dxa"/>
            <w:vAlign w:val="center"/>
          </w:tcPr>
          <w:p w14:paraId="11DFD923" w14:textId="31194D7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0859168D" w14:textId="7302686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212 (46.8%)</w:t>
            </w:r>
          </w:p>
        </w:tc>
        <w:tc>
          <w:tcPr>
            <w:tcW w:w="866" w:type="dxa"/>
            <w:vAlign w:val="center"/>
          </w:tcPr>
          <w:p w14:paraId="6F09C238" w14:textId="5E188D4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6372260D" w14:textId="28FEF87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1694D9D7" w14:textId="356834B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141 (</w:t>
            </w:r>
            <w:r w:rsidRPr="00CC5B87">
              <w:rPr>
                <w:rFonts w:ascii="Times New Roman" w:hAnsi="Times New Roman"/>
                <w:szCs w:val="18"/>
              </w:rPr>
              <w:t>31.1%</w:t>
            </w:r>
            <w:r>
              <w:rPr>
                <w:rFonts w:ascii="Times New Roman" w:hAnsi="Times New Roman"/>
                <w:szCs w:val="18"/>
              </w:rPr>
              <w:t>)</w:t>
            </w:r>
          </w:p>
        </w:tc>
        <w:tc>
          <w:tcPr>
            <w:tcW w:w="816" w:type="dxa"/>
            <w:vAlign w:val="center"/>
          </w:tcPr>
          <w:p w14:paraId="1AE6320A" w14:textId="41CAA7D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699B368A" w14:textId="67ADE74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September 2022</w:t>
            </w:r>
          </w:p>
        </w:tc>
      </w:tr>
      <w:tr w:rsidR="00C72EB0" w:rsidRPr="00CD1E71" w14:paraId="625178CD"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6ADE68ED" w14:textId="0BD64F1D"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Youssef D,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{"citationID":"MnxZbJrX","properties":{"formattedCitation":"(35)","plainCitation":"(35)","noteIndex":0},"citationItems":[{"id":11724,"uris":["http://zotero.org/users/6456139/items/C7B4X54E"],"itemData":{"id":11724,"type":"article-journal","abstract":"INTRODUCTION: The ongoing multi-country outbreak of monkeypox (MPX) that emerges in non-endemic areas is a rare and unprecedented event that has sparked a widespread public health concern. Lebanon has reported four confirmed cases of MPX so far. Since good knowledge about the MPX virus and its associated disease is paramount for helping the Lebanese population prepare for a possible outbreak, therefore, it is important to assess their current level of knowledge regarding MPX and to identify its associated factors to highlight any knowledge gaps that need to be filled.\nMETHODS: An online cross-sectional study was conducted over the first 2 weeks of August 2022 among adults aged 18 years and above recruited from all Lebanese provinces using a convenience sampling technique. An anonymous, Arabic, self-reported questionnaire covering all main aspects of knowledge regarding MPX was developed and adapted based on the available literature. The Chi-square test was used to determine the associations between knowledge levels and independent variables including baseline characteristics. Multivariable logistic regression was also carried out on the significant variables in the bivariate analyses to identify the factors associated with the good knowledge level.\nRESULTS: A total of 793 Lebanese adults participated in the study. The overall level of knowledge level regarding human MPX was poor among the Lebanese population; with only 33.04% of them having a good knowledge level </w:instrText>
            </w:r>
            <w:r w:rsidR="00B827B0">
              <w:rPr>
                <w:rFonts w:ascii="Times New Roman" w:hAnsi="Times New Roman" w:hint="eastAsia"/>
                <w:szCs w:val="18"/>
              </w:rPr>
              <w:instrText>≥</w:instrText>
            </w:r>
            <w:r w:rsidR="00B827B0">
              <w:rPr>
                <w:rFonts w:ascii="Times New Roman" w:hAnsi="Times New Roman"/>
                <w:szCs w:val="18"/>
              </w:rPr>
              <w:instrText xml:space="preserve"> 60%. Knowledge gaps and a substantial poor knowledge level were found in the majority of MPX knowledge domains especially those related to the routes of transmission (76.67%), clinical presentation and symptoms (71.63%), treatment (86.25%), and severity of the disease (91.3%). Interestingly, participants have a good knowledge level of the precautionary measures (80.45%), and the response to a suspected infection (65.20%). Female gender [(aOR = 0.870, CI 95% (0.613-0.941)], increased age 49 [aOR = 0.743, CI 95% (0.381-0.908)], and living in rural areas [aOR = 0.412, CI 95% (0.227-0.861)] were found negatively associated with a good level of knowledge. However, participants with higher educational levels [aOR = 1.243, CI 95% (1.032-3.801)], those working in the medical field [aOR = 1.932, CI 95% (1.331-3.419)], those suffering from chronic disease/immunodeficiency [aOR = 1.231, CI 95% (1.128-2.002)], and participants with moderate/high economic situations [aOR = 2.131, CI 95% (1.431-4.221)] were more likely to have a good knowledge score compared to their counterparts.\nCONCLUSIONS: The current study pointed out to poor knowledge level regarding MPX among the Lebanese population with substantial knowledge gaps in most aspects of MPX knowledge. The findings stress the urgent need to raise awareness and proactively fill the unveiled gaps, especially among less informed groups.","container-title":"Journal of Pharmaceutical Policy and Practice","DOI":"10.1186/s40545-023-00544-1","ISSN":"2052-3211","issue":"1","journalAbbreviation":"J Pharm Policy Pract","language":"eng","note":"PMID: 36882801\nPMCID: PMC9990574","page":"39","source":"PubMed","title":"When a neglected tropical zoonotic disease emerges in non-endemic countries: need to proactively fill the unveiled knowledge gaps towards human monkeypox among the Lebanese population","title-short":"When a neglected tropical zoonotic disease emerges in non-endemic countries","volume":"16","author":[{"family":"Youssef","given":"Dalal"},{"family":"Abboud","given":"Edmond"},{"family":"Kawtharani","given":"Malak"},{"family":"Zheim","given":"Zahraa"},{"family":"Abou Arrage","given":"Nisrine"},{"family":"Youssef","given":"Janet"}],"issued":{"date-parts":[["2023",3,7]]}}}],"schema":"https://github.com/citation-style-language/schema/raw/master/csl-citation.json"}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(35)</w:t>
            </w:r>
            <w:r w:rsidRPr="00CD1E71">
              <w:rPr>
                <w:rFonts w:ascii="Times New Roman" w:hAnsi="Times New Roman"/>
                <w:szCs w:val="18"/>
              </w:rPr>
              <w:fldChar w:fldCharType="end"/>
            </w:r>
          </w:p>
        </w:tc>
        <w:tc>
          <w:tcPr>
            <w:tcW w:w="638" w:type="dxa"/>
            <w:vAlign w:val="center"/>
          </w:tcPr>
          <w:p w14:paraId="716C49C0" w14:textId="2AF2C20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2023</w:t>
            </w:r>
          </w:p>
        </w:tc>
        <w:tc>
          <w:tcPr>
            <w:tcW w:w="927" w:type="dxa"/>
            <w:vAlign w:val="center"/>
          </w:tcPr>
          <w:p w14:paraId="62563C1D" w14:textId="3E09CCE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214D1DFF" w14:textId="19075FC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Lebanon</w:t>
            </w:r>
          </w:p>
        </w:tc>
        <w:tc>
          <w:tcPr>
            <w:tcW w:w="850" w:type="dxa"/>
            <w:vAlign w:val="center"/>
          </w:tcPr>
          <w:p w14:paraId="268483F9" w14:textId="4AF28AF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793</w:t>
            </w:r>
          </w:p>
        </w:tc>
        <w:tc>
          <w:tcPr>
            <w:tcW w:w="1272" w:type="dxa"/>
            <w:vAlign w:val="center"/>
          </w:tcPr>
          <w:p w14:paraId="44C7B41C" w14:textId="55CB1E7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General population</w:t>
            </w:r>
          </w:p>
        </w:tc>
        <w:tc>
          <w:tcPr>
            <w:tcW w:w="716" w:type="dxa"/>
            <w:vAlign w:val="center"/>
          </w:tcPr>
          <w:p w14:paraId="3C55690B" w14:textId="6C5CC68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231</w:t>
            </w:r>
          </w:p>
        </w:tc>
        <w:tc>
          <w:tcPr>
            <w:tcW w:w="616" w:type="dxa"/>
            <w:vAlign w:val="center"/>
          </w:tcPr>
          <w:p w14:paraId="33ABA0CA" w14:textId="3E38CFD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562</w:t>
            </w:r>
          </w:p>
        </w:tc>
        <w:tc>
          <w:tcPr>
            <w:tcW w:w="966" w:type="dxa"/>
            <w:vAlign w:val="center"/>
          </w:tcPr>
          <w:p w14:paraId="5A443E65" w14:textId="2E01D71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463 (58.39%)</w:t>
            </w:r>
          </w:p>
        </w:tc>
        <w:tc>
          <w:tcPr>
            <w:tcW w:w="916" w:type="dxa"/>
            <w:vAlign w:val="center"/>
          </w:tcPr>
          <w:p w14:paraId="03D22D6F" w14:textId="2C4CABC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3004" w:type="dxa"/>
            <w:gridSpan w:val="3"/>
            <w:vAlign w:val="center"/>
          </w:tcPr>
          <w:p w14:paraId="4C3C62D4" w14:textId="3C7CE06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545 (68.73%)</w:t>
            </w:r>
          </w:p>
        </w:tc>
        <w:tc>
          <w:tcPr>
            <w:tcW w:w="1528" w:type="dxa"/>
            <w:vAlign w:val="center"/>
          </w:tcPr>
          <w:p w14:paraId="39A3E87E" w14:textId="5E90FAE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350 (44.14%)</w:t>
            </w:r>
          </w:p>
        </w:tc>
        <w:tc>
          <w:tcPr>
            <w:tcW w:w="1732" w:type="dxa"/>
            <w:gridSpan w:val="2"/>
            <w:vAlign w:val="center"/>
          </w:tcPr>
          <w:p w14:paraId="5BF8E700" w14:textId="0AC89A4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422 (53.22%)</w:t>
            </w:r>
          </w:p>
        </w:tc>
        <w:tc>
          <w:tcPr>
            <w:tcW w:w="1005" w:type="dxa"/>
            <w:vAlign w:val="center"/>
          </w:tcPr>
          <w:p w14:paraId="2CC2D648" w14:textId="5B79616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D33BCE">
              <w:rPr>
                <w:rFonts w:ascii="Times New Roman" w:hAnsi="Times New Roman"/>
                <w:szCs w:val="18"/>
              </w:rPr>
              <w:t>420 (52.96%)</w:t>
            </w:r>
          </w:p>
        </w:tc>
        <w:tc>
          <w:tcPr>
            <w:tcW w:w="816" w:type="dxa"/>
            <w:vAlign w:val="center"/>
          </w:tcPr>
          <w:p w14:paraId="2397B8D5" w14:textId="6775C99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5A329A2C" w14:textId="2DDC360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August 2022</w:t>
            </w:r>
          </w:p>
        </w:tc>
      </w:tr>
      <w:tr w:rsidR="00C72EB0" w:rsidRPr="00CD1E71" w14:paraId="700896B0" w14:textId="5B707371"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6AAF3F88" w14:textId="1C8E4B82"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Sahin TK,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{"citationID":"btn4M0ZH","properties":{"formattedCitation":"(36)","plainCitation":"(36)","noteIndex":0},"citationItems":[{"id":11721,"uris":["http://zotero.org/users/6456139/items/CM364ISU"],"itemData":{"id":11721,"type":"article-journal","abstract":"Background: In May 2022, the monkeypox virus outbreak in multiple countries on various continents marked a potential resurgence of the disease as a global health issue. Considering the crucial role of physicians in mitigating the monkeypox outbreak, we sought to evaluate physicians’ knowledge, attitude, concerns, and vaccine acceptance for monkeypox, in the shadow of the COVID-19 pandemic. Methods: A large-scale, cross-sectional survey was conducted among 283 physicians between 20 August−2 September 2022, in Turkey. The participants’ sociodemographic characteristics, knowledge, attitudes, concerns, and vaccine acceptance toward monkeypox infection were collected via a questionnaire. Results: Our study revealed that 32.5% of phy</w:instrText>
            </w:r>
            <w:r w:rsidR="00B827B0">
              <w:rPr>
                <w:rFonts w:ascii="Times New Roman" w:hAnsi="Times New Roman" w:hint="eastAsia"/>
                <w:szCs w:val="18"/>
              </w:rPr>
              <w:instrText>sicians achieved a good level of knowledge; similarly, 31.4% of the physicians planned to have the monkeypox vaccine. Multivariate binary logistic regression analysis showed that female physicians (p = 0.031) and older people (</w:instrText>
            </w:r>
            <w:r w:rsidR="00B827B0">
              <w:rPr>
                <w:rFonts w:ascii="Times New Roman" w:hAnsi="Times New Roman" w:hint="eastAsia"/>
                <w:szCs w:val="18"/>
              </w:rPr>
              <w:instrText>≥</w:instrText>
            </w:r>
            <w:r w:rsidR="00B827B0">
              <w:rPr>
                <w:rFonts w:ascii="Times New Roman" w:hAnsi="Times New Roman" w:hint="eastAsia"/>
                <w:szCs w:val="18"/>
              </w:rPr>
              <w:instrText>30 vs. &lt;30) were more likel</w:instrText>
            </w:r>
            <w:r w:rsidR="00B827B0">
              <w:rPr>
                <w:rFonts w:ascii="Times New Roman" w:hAnsi="Times New Roman"/>
                <w:szCs w:val="18"/>
              </w:rPr>
              <w:instrText xml:space="preserve">y to be knowledgeable about monkeypox (p = 0.007). We found that participants from divisions of internal medicine (p = 0.033) who knew about the monkeypox disease during medical school or residency (p = 0.005) and were previously exposed to COVID-19 disease (p = 0.005) were more likely to have a good knowledge score of monkeypox. We also found that physicians with a good knowledge score were more worried about monkeypox compared to COVID-19 (AOR: 2.22; 95% CI:1.13−4.33; p = 0.019). Additionally, those who had information on monkeypox during medical education (AOR = 2.16, 95% CI = 1.10−4.21; p = 0.024) were more likely to receive the smallpox vaccine to prevent monkeypox viral infection when available. Conclusions: The present study pointed out that physicians in Turkey have unsatisfactory levels of knowledge about the emerging monkeypox. This study results can impede attempts to detect and manage cases of monkeypox and should be addressed through appropriate and timely awareness and educational programs, alerts, and seminars. These might serve as the basis for policymakers’ decisions about promoting national monkeypox vaccination strategies and addressing potential vaccine hesitancy and misinformation when needed.","container-title":"Vaccines","DOI":"10.3390/vaccines11010019","ISSN":"2076-393X","issue":"1","journalAbbreviation":"Vaccines (Basel)","language":"eng","note":"PMID: 36679864\nPMCID: PMC9863926","page":"19","source":"PubMed","title":"Knowledge and Attitudes of Turkish Physicians towards Human Monkeypox Disease and Related Vaccination: A Cross-Sectional Study","title-short":"Knowledge and Attitudes of Turkish Physicians towards Human Monkeypox Disease and Related Vaccination","volume":"11","author":[{"family":"Sahin","given":"Taha Koray"},{"family":"Erul","given":"Enes"},{"family":"Aksun","given":"Melek Seren"},{"family":"Sonmezer","given":"Meliha Cagla"},{"family":"Unal","given":"Serhat"},{"family":"Akova","given":"Murat"}],"issued":{"date-parts":[["2022",12,21]]}}}],"schema":"https://github.com/citation-style-language/schema/raw/master/csl-citation.json"}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(36)</w:t>
            </w:r>
            <w:r w:rsidRPr="00CD1E71">
              <w:rPr>
                <w:rFonts w:ascii="Times New Roman" w:hAnsi="Times New Roman"/>
                <w:szCs w:val="18"/>
              </w:rPr>
              <w:fldChar w:fldCharType="end"/>
            </w:r>
          </w:p>
        </w:tc>
        <w:tc>
          <w:tcPr>
            <w:tcW w:w="638" w:type="dxa"/>
            <w:vAlign w:val="center"/>
          </w:tcPr>
          <w:p w14:paraId="60253D6A" w14:textId="34F0DA66"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2022</w:t>
            </w:r>
          </w:p>
        </w:tc>
        <w:tc>
          <w:tcPr>
            <w:tcW w:w="927" w:type="dxa"/>
            <w:vAlign w:val="center"/>
          </w:tcPr>
          <w:p w14:paraId="0FB1F2C3" w14:textId="16F7389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38BAE1DB" w14:textId="25422EC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 xml:space="preserve">Turkey </w:t>
            </w:r>
          </w:p>
        </w:tc>
        <w:tc>
          <w:tcPr>
            <w:tcW w:w="850" w:type="dxa"/>
            <w:vAlign w:val="center"/>
          </w:tcPr>
          <w:p w14:paraId="74775F2E" w14:textId="7708634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283</w:t>
            </w:r>
          </w:p>
        </w:tc>
        <w:tc>
          <w:tcPr>
            <w:tcW w:w="1272" w:type="dxa"/>
            <w:vAlign w:val="center"/>
          </w:tcPr>
          <w:p w14:paraId="228B52A3" w14:textId="17D65BD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Physicians</w:t>
            </w:r>
          </w:p>
        </w:tc>
        <w:tc>
          <w:tcPr>
            <w:tcW w:w="716" w:type="dxa"/>
            <w:vAlign w:val="center"/>
          </w:tcPr>
          <w:p w14:paraId="7610AE24" w14:textId="158EED8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117</w:t>
            </w:r>
          </w:p>
        </w:tc>
        <w:tc>
          <w:tcPr>
            <w:tcW w:w="616" w:type="dxa"/>
            <w:vAlign w:val="center"/>
          </w:tcPr>
          <w:p w14:paraId="78F59E93" w14:textId="273A148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166</w:t>
            </w:r>
          </w:p>
        </w:tc>
        <w:tc>
          <w:tcPr>
            <w:tcW w:w="966" w:type="dxa"/>
            <w:vAlign w:val="center"/>
          </w:tcPr>
          <w:p w14:paraId="19B6B1FE" w14:textId="7D0B61B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147 (51.9%)</w:t>
            </w:r>
          </w:p>
        </w:tc>
        <w:tc>
          <w:tcPr>
            <w:tcW w:w="916" w:type="dxa"/>
            <w:vAlign w:val="center"/>
          </w:tcPr>
          <w:p w14:paraId="0EDAB2B3" w14:textId="3CB1597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832" w:type="dxa"/>
            <w:gridSpan w:val="2"/>
            <w:vAlign w:val="center"/>
          </w:tcPr>
          <w:p w14:paraId="5536F8E4" w14:textId="03C05FE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79 (27.9%)</w:t>
            </w:r>
          </w:p>
        </w:tc>
        <w:tc>
          <w:tcPr>
            <w:tcW w:w="1172" w:type="dxa"/>
            <w:vAlign w:val="center"/>
          </w:tcPr>
          <w:p w14:paraId="2718A10D" w14:textId="16126AEC"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066F3AD5" w14:textId="2C3EE39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45 (15.9%)</w:t>
            </w:r>
          </w:p>
        </w:tc>
        <w:tc>
          <w:tcPr>
            <w:tcW w:w="866" w:type="dxa"/>
            <w:vAlign w:val="center"/>
          </w:tcPr>
          <w:p w14:paraId="37340A37" w14:textId="01EA34D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2A53AEC7" w14:textId="01DBB4D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1C82FED8" w14:textId="484E127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BE3341">
              <w:rPr>
                <w:rFonts w:ascii="Times New Roman" w:hAnsi="Times New Roman"/>
                <w:szCs w:val="18"/>
              </w:rPr>
              <w:t>138 (48.8</w:t>
            </w:r>
            <w:r>
              <w:rPr>
                <w:rFonts w:ascii="Times New Roman" w:hAnsi="Times New Roman"/>
                <w:szCs w:val="18"/>
              </w:rPr>
              <w:t>%</w:t>
            </w:r>
            <w:r w:rsidRPr="00BE3341">
              <w:rPr>
                <w:rFonts w:ascii="Times New Roman" w:hAnsi="Times New Roman"/>
                <w:szCs w:val="18"/>
              </w:rPr>
              <w:t>)</w:t>
            </w:r>
          </w:p>
        </w:tc>
        <w:tc>
          <w:tcPr>
            <w:tcW w:w="816" w:type="dxa"/>
            <w:vAlign w:val="center"/>
          </w:tcPr>
          <w:p w14:paraId="27FAC256" w14:textId="49A365B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0409992F" w14:textId="2BEB1F8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 August–2 September 2022</w:t>
            </w:r>
          </w:p>
        </w:tc>
      </w:tr>
      <w:tr w:rsidR="00C72EB0" w:rsidRPr="00CD1E71" w14:paraId="6F89EAAA"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58048970" w14:textId="66499E22"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lastRenderedPageBreak/>
              <w:t xml:space="preserve">Alshahrani NZ,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{"citationID":"WMA0Vh1e","properties":{"formattedCitation":"(37)","plainCitation":"(37)","noteIndex":0},"citationItems":[{"id":11697,"uris":["http://zotero.org/users/6456139/items/GAE2RF82"],"itemData":{"id":11697,"type":"article-journal","abstract":"INTRODUCTION: The recent multi-nation outbreaks of human monkeypox in non-endemic areas have created an emerging public health issue. Medical students who will become future healthcare providers are directly associated with community people and can easily sensitize the general population, so it is crucial to assess their degree of knowledge and attitudes regarding recently emerging infections or pathogens. However, studies on medical students' perception of the monkeypox virus are scarce in Saudi Arabia. Therefore, the objective of this study was to assess the monkeypox virus-related knowledge and attitudes among medical students in the country.\nMETHODS: A cross-sectional study was conducted from May to July 2022 among undergraduate medical students at King Khalid University, Abha, Saudi Arabia. A systematic random sampling technique was applied to select the study participants. A self-administered questionnaire was used to gather data on sociodemographic characteristics, knowledge and attitudes toward the monkeypox virus. Descriptive statistics and Chi-square tests were performed.\nRESULTS: A total of 314 medical students were recruited for this study. The findings from this study showed that the vast majority of medical students (72%) had poor knowledge about the monkeypox virus. Respondents' age, grade point average (GPA), fathers' education level, and training received about the monkeypox virus were significantly associated with the level of knowledge about the monkeypox virus (p &lt; 0.05). Nearly half of the respondents (45.9%) agreed that the monkeypox virus could be transmitted to Saudi Arabia. Overall, this study showed that the awareness levels regarding the monkeypox virus were significantly higher among seniors as compared to junior students.\nCONCLUSION: The study found poor knowledge of the monkeypox virus among currently enrolled medical students in the country's highest-ranked medical school. This finding emphasizes the urgent need to increase their knowledge because controlling outbreaks requires significant cooperation from knowledgeable and skilled healthcare providers.","container-title":"Cureus","DOI":"10.7759/cureus.28060","ISSN":"2168-8184","issue":"8","journalAbbreviation":"Cureus","language":"eng","note":"PMID: 36127980\nPMCID: PMC9477600","page":"e28060","source":"PubMed","title":"Medical Students' Perception Regarding the Re-emerging Monkeypox Virus: An Institution-Based Cross-Sectional Study From Saudi Arabia","title-short":"Medical Students' Perception Regarding the Re-emerging Monkeypox Virus","volume":"14","author":[{"family":"Alshahrani","given":"Najim Z."},{"family":"Mitra","given":"Sayan"},{"family":"Alkuwaiti","given":"Ali A."},{"family":"Alhumam","given":"Maathir N."},{"family":"Altmimi","given":"Sarah Muqbil B."},{"family":"Alamri","given":"Mohammad Hassan M."},{"family":"Albalawi","given":"Zainab Atallah S."},{"family":"Almorgi","given":"Majed W."},{"family":"Alharbi","given":"Hamad Khulaif D."},{"family":"Alshahrani","given":"Sultan M."}],"issued":{"date-parts":[["2022",8]]}}}],"schema":"https://github.com/citation-style-language/schema/raw/master/csl-citation.json"}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(37)</w:t>
            </w:r>
            <w:r w:rsidRPr="00CD1E71">
              <w:rPr>
                <w:rFonts w:ascii="Times New Roman" w:hAnsi="Times New Roman"/>
                <w:szCs w:val="18"/>
                <w:lang w:val="es-PE"/>
              </w:rPr>
              <w:fldChar w:fldCharType="end"/>
            </w:r>
          </w:p>
        </w:tc>
        <w:tc>
          <w:tcPr>
            <w:tcW w:w="638" w:type="dxa"/>
            <w:vAlign w:val="center"/>
          </w:tcPr>
          <w:p w14:paraId="41197623" w14:textId="2258F7B7"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2022</w:t>
            </w:r>
          </w:p>
        </w:tc>
        <w:tc>
          <w:tcPr>
            <w:tcW w:w="927" w:type="dxa"/>
            <w:vAlign w:val="center"/>
          </w:tcPr>
          <w:p w14:paraId="08D5FE80" w14:textId="4A23F122"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1491298D" w14:textId="5FE6946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1FF3D0C7" w14:textId="2BD7C7E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314</w:t>
            </w:r>
          </w:p>
        </w:tc>
        <w:tc>
          <w:tcPr>
            <w:tcW w:w="1272" w:type="dxa"/>
            <w:vAlign w:val="center"/>
          </w:tcPr>
          <w:p w14:paraId="679D31DD" w14:textId="101BA66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Medical Students</w:t>
            </w:r>
          </w:p>
        </w:tc>
        <w:tc>
          <w:tcPr>
            <w:tcW w:w="716" w:type="dxa"/>
            <w:vAlign w:val="center"/>
          </w:tcPr>
          <w:p w14:paraId="148EE7BE" w14:textId="0FCBA8F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131</w:t>
            </w:r>
          </w:p>
        </w:tc>
        <w:tc>
          <w:tcPr>
            <w:tcW w:w="616" w:type="dxa"/>
            <w:vAlign w:val="center"/>
          </w:tcPr>
          <w:p w14:paraId="495D328C" w14:textId="131CF22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183</w:t>
            </w:r>
          </w:p>
        </w:tc>
        <w:tc>
          <w:tcPr>
            <w:tcW w:w="966" w:type="dxa"/>
            <w:vAlign w:val="center"/>
          </w:tcPr>
          <w:p w14:paraId="17690C7D" w14:textId="35A725B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195 (62.1%)</w:t>
            </w:r>
          </w:p>
        </w:tc>
        <w:tc>
          <w:tcPr>
            <w:tcW w:w="916" w:type="dxa"/>
            <w:vAlign w:val="center"/>
          </w:tcPr>
          <w:p w14:paraId="3410D2E7" w14:textId="0C70954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0477CA4E" w14:textId="5E533B9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0298B269" w14:textId="2000951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97 (30.8%)</w:t>
            </w:r>
          </w:p>
        </w:tc>
        <w:tc>
          <w:tcPr>
            <w:tcW w:w="1172" w:type="dxa"/>
            <w:vAlign w:val="center"/>
          </w:tcPr>
          <w:p w14:paraId="37010FBB" w14:textId="402C7A1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3EC54B82" w14:textId="7850FEA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13 (4.2%)</w:t>
            </w:r>
          </w:p>
        </w:tc>
        <w:tc>
          <w:tcPr>
            <w:tcW w:w="866" w:type="dxa"/>
            <w:vAlign w:val="center"/>
          </w:tcPr>
          <w:p w14:paraId="31EE8B26" w14:textId="578DAB1E"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275D113D" w14:textId="70AC808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490207B8" w14:textId="769237C5"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52318F">
              <w:rPr>
                <w:rFonts w:ascii="Times New Roman" w:hAnsi="Times New Roman"/>
                <w:szCs w:val="18"/>
              </w:rPr>
              <w:t>46 (14.7</w:t>
            </w:r>
            <w:r>
              <w:rPr>
                <w:rFonts w:ascii="Times New Roman" w:hAnsi="Times New Roman"/>
                <w:szCs w:val="18"/>
              </w:rPr>
              <w:t>%</w:t>
            </w:r>
            <w:r w:rsidRPr="0052318F">
              <w:rPr>
                <w:rFonts w:ascii="Times New Roman" w:hAnsi="Times New Roman"/>
                <w:szCs w:val="18"/>
              </w:rPr>
              <w:t>)</w:t>
            </w:r>
          </w:p>
        </w:tc>
        <w:tc>
          <w:tcPr>
            <w:tcW w:w="816" w:type="dxa"/>
            <w:vAlign w:val="center"/>
          </w:tcPr>
          <w:p w14:paraId="386B223C" w14:textId="68776F9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010D1FCF" w14:textId="4FB2921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24 May - 20 July 2022</w:t>
            </w:r>
          </w:p>
        </w:tc>
      </w:tr>
      <w:tr w:rsidR="00C72EB0" w:rsidRPr="00CD1E71" w14:paraId="721867E3"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71D09296" w14:textId="370D2F92"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Alshahrani NZ,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{"citationID":"z23bCsrc","properties":{"formattedCitation":"(38)","plainCitation":"(38)","noteIndex":0},"citationItems":[{"id":11739,"uris":["http://zotero.org/users/6456139/items/DFGHMJCL"],"itemData":{"id":11739,"type":"article-journal","abstract":"Monkeypox is re-emerging and spreading over the world, posing a serious threat to human life, especially in non-endemic countries, including Saudi Arabia. Due to the paucity of research on knowledge about monkeypox in Saudi Arabia, this study aimed to evaluate the general population’s knowledge of monkeypox in a sample of the country. A web-based cross-sectional survey was conducted from 25 May 2022 to 15 July 2022. Participants’ knowledge about monkeypox on a 23-item scale and socio-demographic characteristics were gathered in the survey. Pearson’s Chi-square test was used to compare knowledge level (categorized into high and low) and explanatory variables. Out of 480, only 48% of the respondents had high knowledge (mean score &gt; 14). Participants’ age, marital status, residential region, living in the urban area, education level, employment status, being a healthcare worker, income, and smoking status were significantly associated with the level of knowledge about monkeypox (p &lt; 0.01). Overall, social media (75.0%) was the most frequently reported source from where participants obtained monkeypox-related information followed by TV and radio (45.6%), family or friend (15.6%), and healthcare provider (13.8%). We found that overall knowledge of monkeypox infection was slightly poor among the Saudi population. These findings highlight the urgent need for public education on monkeypox to promote awareness and engage the public ahead of the outbreak.","container-title":"Pathogens (Basel, Switzerland)","DOI":"10.3390/pathogens11080904","ISSN":"2076-0817","issue":"8","journalAbbreviation":"Pathogens","language":"eng","note":"PMID: 36015025\nPMCID: PMC9414752","page":"904","source":"PubMed","title":"Assessment of Knowledge of Monkeypox Viral Infection among the General Population in Saudi Arabia","volume":"11","author":[{"family":"Alshahrani","given":"Najim Z."},{"family":"Alzahrani","given":"Faris"},{"family":"Alarifi","given":"Abdullah M."},{"family":"Algethami","given":"Mohammed R."},{"family":"Alhumam","given":"Maathir Naser"},{"family":"Ayied","given":"Hatim Abdullah Mohammed"},{"family":"Awan","given":"Ahmed Zuhier"},{"family":"Almutairi","given":"Abdullah Faisal"},{"family":"Bamakhrama","given":"Saeed Abdullah"},{"family":"Almushari","given":"Budur Saad"},{"family":"Sah","given":"Ranjit"}],"issued":{"date-parts":[["2022",8,11]]}}}],"schema":"https://github.com/citation-style-language/schema/raw/master/csl-citation.json"}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(38)</w:t>
            </w:r>
            <w:r w:rsidRPr="00CD1E71">
              <w:rPr>
                <w:rFonts w:ascii="Times New Roman" w:hAnsi="Times New Roman"/>
                <w:szCs w:val="18"/>
              </w:rPr>
              <w:fldChar w:fldCharType="end"/>
            </w:r>
          </w:p>
        </w:tc>
        <w:tc>
          <w:tcPr>
            <w:tcW w:w="638" w:type="dxa"/>
            <w:vAlign w:val="center"/>
          </w:tcPr>
          <w:p w14:paraId="699472B6" w14:textId="1BFC0F0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2022</w:t>
            </w:r>
          </w:p>
        </w:tc>
        <w:tc>
          <w:tcPr>
            <w:tcW w:w="927" w:type="dxa"/>
            <w:vAlign w:val="center"/>
          </w:tcPr>
          <w:p w14:paraId="7F019172" w14:textId="2FDA663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7A35C0BD" w14:textId="6890864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Saudi Arabia</w:t>
            </w:r>
          </w:p>
        </w:tc>
        <w:tc>
          <w:tcPr>
            <w:tcW w:w="850" w:type="dxa"/>
            <w:vAlign w:val="center"/>
          </w:tcPr>
          <w:p w14:paraId="7B301C73" w14:textId="0B7B3486"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480</w:t>
            </w:r>
          </w:p>
        </w:tc>
        <w:tc>
          <w:tcPr>
            <w:tcW w:w="1272" w:type="dxa"/>
            <w:vAlign w:val="center"/>
          </w:tcPr>
          <w:p w14:paraId="7FC0697A" w14:textId="109AA20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General population</w:t>
            </w:r>
          </w:p>
        </w:tc>
        <w:tc>
          <w:tcPr>
            <w:tcW w:w="716" w:type="dxa"/>
            <w:vAlign w:val="center"/>
          </w:tcPr>
          <w:p w14:paraId="139B5759" w14:textId="17473DA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198</w:t>
            </w:r>
          </w:p>
        </w:tc>
        <w:tc>
          <w:tcPr>
            <w:tcW w:w="616" w:type="dxa"/>
            <w:vAlign w:val="center"/>
          </w:tcPr>
          <w:p w14:paraId="4972A5B5" w14:textId="2315690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282</w:t>
            </w:r>
          </w:p>
        </w:tc>
        <w:tc>
          <w:tcPr>
            <w:tcW w:w="966" w:type="dxa"/>
            <w:vAlign w:val="center"/>
          </w:tcPr>
          <w:p w14:paraId="4E4BE952" w14:textId="5531FED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360 (75.0%)</w:t>
            </w:r>
          </w:p>
        </w:tc>
        <w:tc>
          <w:tcPr>
            <w:tcW w:w="916" w:type="dxa"/>
            <w:vAlign w:val="center"/>
          </w:tcPr>
          <w:p w14:paraId="5142BD17" w14:textId="620BFD8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832" w:type="dxa"/>
            <w:gridSpan w:val="2"/>
            <w:vAlign w:val="center"/>
          </w:tcPr>
          <w:p w14:paraId="70263D1F" w14:textId="3605414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219 (45.6%)</w:t>
            </w:r>
          </w:p>
        </w:tc>
        <w:tc>
          <w:tcPr>
            <w:tcW w:w="1172" w:type="dxa"/>
            <w:vAlign w:val="center"/>
          </w:tcPr>
          <w:p w14:paraId="0603AF86" w14:textId="1B70921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528" w:type="dxa"/>
            <w:vAlign w:val="center"/>
          </w:tcPr>
          <w:p w14:paraId="56715276" w14:textId="725B6E8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75 (15.6%)</w:t>
            </w:r>
          </w:p>
        </w:tc>
        <w:tc>
          <w:tcPr>
            <w:tcW w:w="866" w:type="dxa"/>
            <w:vAlign w:val="center"/>
          </w:tcPr>
          <w:p w14:paraId="54756E34" w14:textId="66340771"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3811ABF7" w14:textId="46F67DFA"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03E00368" w14:textId="4822392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D92345">
              <w:rPr>
                <w:rFonts w:ascii="Times New Roman" w:hAnsi="Times New Roman"/>
                <w:szCs w:val="18"/>
              </w:rPr>
              <w:t>42 (8.8</w:t>
            </w:r>
            <w:r>
              <w:rPr>
                <w:rFonts w:ascii="Times New Roman" w:hAnsi="Times New Roman"/>
                <w:szCs w:val="18"/>
              </w:rPr>
              <w:t>%</w:t>
            </w:r>
            <w:r w:rsidRPr="00D92345">
              <w:rPr>
                <w:rFonts w:ascii="Times New Roman" w:hAnsi="Times New Roman"/>
                <w:szCs w:val="18"/>
              </w:rPr>
              <w:t>)</w:t>
            </w:r>
          </w:p>
        </w:tc>
        <w:tc>
          <w:tcPr>
            <w:tcW w:w="816" w:type="dxa"/>
            <w:vAlign w:val="center"/>
          </w:tcPr>
          <w:p w14:paraId="18FEEBDD" w14:textId="6DEEF95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06AB3B8E" w14:textId="09C6160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25 May - 15 July 2022</w:t>
            </w:r>
          </w:p>
        </w:tc>
      </w:tr>
      <w:tr w:rsidR="00C72EB0" w:rsidRPr="00CD1E71" w14:paraId="24D67F93"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26EA834D" w14:textId="03A74AE3"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Riad A,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{"citationID":"RKSVmGU0","properties":{"formattedCitation":"(39)","plainCitation":"(39)","noteIndex":0},"citationItems":[{"id":12353,"uris":["http://zotero.org/users/6456139/items/2KG75W2I"],"itemData":{"id":12353,"type":"article-journal","abstract":"BACKGROUND: The recent human monkeypox virus (HMPXV) outbreak in non-endemic countries that started in May 2022 has raised concerns among public health authorities worldwide. Healthcare workers (HCWs) play a decisive role during epidemics in transmitting accurate information to the public and motivating them to pursue protective behaviours, including immunisation.\nMETHODS: A cross-sectional survey-based study was conducted in the Czech Republic in September 2022 to evaluate HMPXV-related knowledge and vaccination perceptions among HCWs. The study utilised a digital self-administered questionnaire (SAQ) to collect data from the target population. The proposed SAQ inquired about participants' sociodemographic and anamnestic characteristics, perceived knowledge of HMPXV, factual knowledge, and vaccination perceptions according to the health belief model (HBM).\nRESULTS: A total of 341 participants were included in this study; most of them were females (88.9%), allied HCWs (89.4%), heterosexuals (87.1%), married (61.9%), and vaccinated against COVID-19 (91.2%). Only 8.8% of the participants agreed to receive vaccination against HMPXV; 44.9% rejected it, while 46.3% were hesitant. While digital news portals (47.5%) and social media (25.8%) were among the most utilised sources of information about HMPXV, the scientific journals (5.6%), ECDC (5%), and the U.S. CDC (1.5%) were the least common sources. The participants demonstrated suboptimal levels of factual knowledge, especially regarding HMPXV vaccines (1.5 ± 1.2 (0-4)) and treatments (0.9 ± 0.9 (0-4)). Additionally, several misconceptions were detectable among the participants, regarding topics such as the availability of effective vaccines and antivirals against HMPXV, the risk of vertical transmission, and homosexual stigmatisation. The HBM indicated that the cues to action and perceived susceptibility were the most important constructs to predict HMPXV vaccine acceptance.\nCONCLUSIONS: the findings of this study call upon public health practitioners and health policymakers in the Czech Republic to act accordingly in order to determine the drivers of vaccine hesitancy among Czech HCWs. Dedicated educational campaigns should aim to counter the HCWs' misconceptions around HMPXV, and future studies should aim to explore the prevalence and drivers of HMPXV vaccine hesitancy among the general population.","container-title":"Vaccines","DOI":"10.3390/vaccines10122022","ISSN":"2076-393X","issue":"12","journalAbbreviation":"Vaccines (Basel)","language":"eng","note":"PMID: 36560432\nPMCID: PMC9788212","page":"2022","source":"PubMed","title":"Monkeypox Knowledge and Vaccine Hesitancy of Czech Healthcare Workers: A Health Belief Model (HBM)-Based Study","title-short":"Monkeypox Knowledge and Vaccine Hesitancy of Czech Healthcare Workers","volume":"10","author":[{"family":"Riad","given":"Abanoub"},{"family":"Drobov","given":"Anton"},{"family":"Rozmarinová","given":"Jana"},{"family":"Drapáčová","given":"Pavla"},{"family":"Klugarová","given":"Jitka"},{"family":"Dušek","given":"Ladislav"},{"family":"Pokorná","given":"Andrea"},{"family":"Klugar","given":"Miloslav"}],"issued":{"date-parts":[["2022",11,26]]}}}],"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(39)</w:t>
            </w:r>
            <w:r w:rsidRPr="00CD1E71">
              <w:rPr>
                <w:rFonts w:ascii="Times New Roman" w:hAnsi="Times New Roman"/>
                <w:szCs w:val="18"/>
              </w:rPr>
              <w:fldChar w:fldCharType="end"/>
            </w:r>
          </w:p>
        </w:tc>
        <w:tc>
          <w:tcPr>
            <w:tcW w:w="638" w:type="dxa"/>
            <w:vAlign w:val="center"/>
          </w:tcPr>
          <w:p w14:paraId="0DBBF186" w14:textId="1D08C56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2022</w:t>
            </w:r>
          </w:p>
        </w:tc>
        <w:tc>
          <w:tcPr>
            <w:tcW w:w="927" w:type="dxa"/>
            <w:vAlign w:val="center"/>
          </w:tcPr>
          <w:p w14:paraId="7E2D5F44" w14:textId="7A920C4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2DACBFBF" w14:textId="2D63E31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Czech Republic</w:t>
            </w:r>
          </w:p>
        </w:tc>
        <w:tc>
          <w:tcPr>
            <w:tcW w:w="850" w:type="dxa"/>
            <w:vAlign w:val="center"/>
          </w:tcPr>
          <w:p w14:paraId="5744C898" w14:textId="05E06D97"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341</w:t>
            </w:r>
          </w:p>
        </w:tc>
        <w:tc>
          <w:tcPr>
            <w:tcW w:w="1272" w:type="dxa"/>
            <w:vAlign w:val="center"/>
          </w:tcPr>
          <w:p w14:paraId="04D050A1" w14:textId="1B12920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Healthcare Workers</w:t>
            </w:r>
          </w:p>
        </w:tc>
        <w:tc>
          <w:tcPr>
            <w:tcW w:w="716" w:type="dxa"/>
            <w:vAlign w:val="center"/>
          </w:tcPr>
          <w:p w14:paraId="46B1E90F" w14:textId="6587F6C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33</w:t>
            </w:r>
          </w:p>
        </w:tc>
        <w:tc>
          <w:tcPr>
            <w:tcW w:w="616" w:type="dxa"/>
            <w:vAlign w:val="center"/>
          </w:tcPr>
          <w:p w14:paraId="3246C39C" w14:textId="3BD5097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303</w:t>
            </w:r>
          </w:p>
        </w:tc>
        <w:tc>
          <w:tcPr>
            <w:tcW w:w="966" w:type="dxa"/>
            <w:vAlign w:val="center"/>
          </w:tcPr>
          <w:p w14:paraId="5FCB055F" w14:textId="79DB3B87"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88 (25.8%)</w:t>
            </w:r>
          </w:p>
        </w:tc>
        <w:tc>
          <w:tcPr>
            <w:tcW w:w="916" w:type="dxa"/>
            <w:vAlign w:val="center"/>
          </w:tcPr>
          <w:p w14:paraId="0A99F537" w14:textId="6D2F5F7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4F610171" w14:textId="131A013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57812A4F" w14:textId="59ADFA0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172" w:type="dxa"/>
            <w:vAlign w:val="center"/>
          </w:tcPr>
          <w:p w14:paraId="114105DF" w14:textId="6C7E776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162 (47.5%)</w:t>
            </w:r>
          </w:p>
        </w:tc>
        <w:tc>
          <w:tcPr>
            <w:tcW w:w="1528" w:type="dxa"/>
            <w:vAlign w:val="center"/>
          </w:tcPr>
          <w:p w14:paraId="068B0871" w14:textId="5B86F77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1ECF9505" w14:textId="20989A2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55 (16.1%)</w:t>
            </w:r>
          </w:p>
        </w:tc>
        <w:tc>
          <w:tcPr>
            <w:tcW w:w="866" w:type="dxa"/>
            <w:vAlign w:val="center"/>
          </w:tcPr>
          <w:p w14:paraId="1C949C9D" w14:textId="7141667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5 (1.5%)</w:t>
            </w:r>
          </w:p>
        </w:tc>
        <w:tc>
          <w:tcPr>
            <w:tcW w:w="1005" w:type="dxa"/>
            <w:vAlign w:val="center"/>
          </w:tcPr>
          <w:p w14:paraId="4F24AE7A" w14:textId="0F34DD99"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F40882">
              <w:rPr>
                <w:rFonts w:ascii="Times New Roman" w:hAnsi="Times New Roman"/>
                <w:szCs w:val="18"/>
              </w:rPr>
              <w:t>19 (5.6%)</w:t>
            </w:r>
          </w:p>
        </w:tc>
        <w:tc>
          <w:tcPr>
            <w:tcW w:w="816" w:type="dxa"/>
            <w:vAlign w:val="center"/>
          </w:tcPr>
          <w:p w14:paraId="0C48E491" w14:textId="43EF51DF"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6375449F" w14:textId="2CB65E1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September 2022</w:t>
            </w:r>
          </w:p>
        </w:tc>
      </w:tr>
      <w:tr w:rsidR="00C72EB0" w:rsidRPr="00CD1E71" w14:paraId="2A70ADB1" w14:textId="77777777" w:rsidTr="00653D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31E5A4CA" w14:textId="11C1D2A5"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Kaur A, et al. </w:t>
            </w:r>
            <w:r w:rsidRPr="00CD1E71">
              <w:rPr>
                <w:rFonts w:ascii="Times New Roman" w:hAnsi="Times New Roman"/>
                <w:szCs w:val="18"/>
                <w:lang w:val="es-PE"/>
              </w:rPr>
              <w:fldChar w:fldCharType="begin"/>
            </w:r>
            <w:r w:rsidR="00B827B0">
              <w:rPr>
                <w:rFonts w:ascii="Times New Roman" w:hAnsi="Times New Roman"/>
                <w:szCs w:val="18"/>
              </w:rPr>
              <w:instrText xml:space="preserve"> ADDIN ZOTERO_ITEM CSL_CITATION {"citationID":"JsrNHYo0","properties":{"formattedCitation":"(40)","plainCitation":"(40)","noteIndex":0},"citationItems":[{"id":11712,"uris":["http://zotero.org/users/6456139/items/GS375QQD"],"itemData":{"id":11712,"type":"article-journal","abstract":"BACKGROUND: The emergence of monkeypox has presented a new challenge for health agencies around the globe. There is significant increase in the number of cases that too in non-endemic countries with more than 18000 cases reported worldwide.\nOBJECTIVE: The present study was conducted to assess knowledge and awareness regarding monkeypox among dental professionals.\nMATERIALS AND METHOD: The present cross-sectional study among 410 subjects who were residing in a northern state of the country. Informed consent was obtained from all the subjects. Study sample was selected on the basis of Systematic random sampling methodology. A self-designed close-ended questionnaire written in English and verified by experts was utilized for the study. The questionnaire was delivered personally to study subjects to collect the required information. Chi-square test and ANOVA were used for statistical analysis.\nRESULTS: One-fourth (24.8%) of the subjects never heard about monkeypox disease. Negative response was given by 44.8% of subjects regarding resemblance of monkeypox with small pox. Only 31.2% of subjects had knowledge regarding oral manifestations of the disease. High knowledge scores were reported by only 28% of subjects. Higher knowledge levels were significantly related to education level and working profile of study subjects. Online media (Internet) was preferred as the main source to obtain more information by 42.2 of subjects.\nCONCLUSION: There was low level of knowledge regarding monkeypox among study subjects. There is an urgent need for dental professionals to keep themselves updated with recent knowledge on new emerging infectious diseases.","container-title":"Roczniki Panstwowego Zakladu Higieny","DOI":"10.32394/rpzh.2022.0226","ISSN":"0035-7715","issue":"3","journalAbbreviation":"Rocz Panstw Zakl Hig","language":"eng","note":"PMID: 36169392","page":"365-371","source":"PubMed","title":"Identifying monkeypox: do dental professionals have adequate knowledge and awareness?","title-short":"Identifying monkeypox","volume":"73","author":[{"family":"Kaur","given":"Ambreen"},{"family":"Goel","given":"Richa"},{"family":"Singh","given":"Ravinder"},{"family":"Bhardwaj","given":"Arvind"},{"family":"Kumari","given":"Raj"},{"family":"Gambhir","given":"Ramandeep Singh"}],"issued":{"date-parts":[["2022"]]}}}],"schema":"https://github.com/citation-style-language/schema/raw/master/csl-citation.json"} </w:instrText>
            </w:r>
            <w:r w:rsidRPr="00CD1E71">
              <w:rPr>
                <w:rFonts w:ascii="Times New Roman" w:hAnsi="Times New Roman"/>
                <w:szCs w:val="18"/>
                <w:lang w:val="es-PE"/>
              </w:rPr>
              <w:fldChar w:fldCharType="separate"/>
            </w:r>
            <w:r w:rsidR="00B827B0" w:rsidRPr="00B827B0">
              <w:rPr>
                <w:rFonts w:ascii="Times New Roman" w:hAnsi="Times New Roman"/>
              </w:rPr>
              <w:t>(40)</w:t>
            </w:r>
            <w:r w:rsidRPr="00CD1E71">
              <w:rPr>
                <w:rFonts w:ascii="Times New Roman" w:hAnsi="Times New Roman"/>
                <w:szCs w:val="18"/>
                <w:lang w:val="es-PE"/>
              </w:rPr>
              <w:fldChar w:fldCharType="end"/>
            </w:r>
          </w:p>
        </w:tc>
        <w:tc>
          <w:tcPr>
            <w:tcW w:w="638" w:type="dxa"/>
            <w:vAlign w:val="center"/>
          </w:tcPr>
          <w:p w14:paraId="51EF988C" w14:textId="35848657"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2022</w:t>
            </w:r>
          </w:p>
        </w:tc>
        <w:tc>
          <w:tcPr>
            <w:tcW w:w="927" w:type="dxa"/>
            <w:vAlign w:val="center"/>
          </w:tcPr>
          <w:p w14:paraId="6FBC116B" w14:textId="3822810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1CF5188E" w14:textId="1EBD106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India</w:t>
            </w:r>
          </w:p>
        </w:tc>
        <w:tc>
          <w:tcPr>
            <w:tcW w:w="850" w:type="dxa"/>
            <w:vAlign w:val="center"/>
          </w:tcPr>
          <w:p w14:paraId="01BBBB9C" w14:textId="562B5353"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410</w:t>
            </w:r>
          </w:p>
        </w:tc>
        <w:tc>
          <w:tcPr>
            <w:tcW w:w="1272" w:type="dxa"/>
            <w:vAlign w:val="center"/>
          </w:tcPr>
          <w:p w14:paraId="1A18EFBE" w14:textId="5728866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Dental professionals</w:t>
            </w:r>
          </w:p>
        </w:tc>
        <w:tc>
          <w:tcPr>
            <w:tcW w:w="716" w:type="dxa"/>
            <w:vAlign w:val="center"/>
          </w:tcPr>
          <w:p w14:paraId="49B21BF9" w14:textId="48B9ACF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232</w:t>
            </w:r>
          </w:p>
        </w:tc>
        <w:tc>
          <w:tcPr>
            <w:tcW w:w="616" w:type="dxa"/>
            <w:vAlign w:val="center"/>
          </w:tcPr>
          <w:p w14:paraId="50E80908" w14:textId="162D1709"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178</w:t>
            </w:r>
          </w:p>
        </w:tc>
        <w:tc>
          <w:tcPr>
            <w:tcW w:w="966" w:type="dxa"/>
            <w:vAlign w:val="center"/>
          </w:tcPr>
          <w:p w14:paraId="70AF4F1F" w14:textId="2CA3FB5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113 (42.2%)</w:t>
            </w:r>
          </w:p>
        </w:tc>
        <w:tc>
          <w:tcPr>
            <w:tcW w:w="916" w:type="dxa"/>
            <w:vAlign w:val="center"/>
          </w:tcPr>
          <w:p w14:paraId="107B4297" w14:textId="08E189FD"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63B644BD" w14:textId="32D2587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6277F51A" w14:textId="7E2C822F"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44 (16.4%)</w:t>
            </w:r>
          </w:p>
        </w:tc>
        <w:tc>
          <w:tcPr>
            <w:tcW w:w="1172" w:type="dxa"/>
            <w:vAlign w:val="center"/>
          </w:tcPr>
          <w:p w14:paraId="2F02DC9C" w14:textId="493A9A55"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27 (10%)</w:t>
            </w:r>
          </w:p>
        </w:tc>
        <w:tc>
          <w:tcPr>
            <w:tcW w:w="1528" w:type="dxa"/>
            <w:vAlign w:val="center"/>
          </w:tcPr>
          <w:p w14:paraId="1BD6114F" w14:textId="7B11A344"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43 (16.1%)</w:t>
            </w:r>
          </w:p>
        </w:tc>
        <w:tc>
          <w:tcPr>
            <w:tcW w:w="866" w:type="dxa"/>
            <w:vAlign w:val="center"/>
          </w:tcPr>
          <w:p w14:paraId="7E62C5DB" w14:textId="621C0A08"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2E4D71AC" w14:textId="383D925E"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223785F6" w14:textId="2EAD8C62"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Pr>
                <w:rFonts w:ascii="Times New Roman" w:hAnsi="Times New Roman"/>
                <w:szCs w:val="18"/>
              </w:rPr>
              <w:t>41 (15.3%)</w:t>
            </w:r>
          </w:p>
        </w:tc>
        <w:tc>
          <w:tcPr>
            <w:tcW w:w="816" w:type="dxa"/>
            <w:vAlign w:val="center"/>
          </w:tcPr>
          <w:p w14:paraId="6C0EAAEC" w14:textId="4D466FB0"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09C01EF7" w14:textId="6714140B" w:rsidR="00C72EB0" w:rsidRPr="00CD1E71" w:rsidRDefault="00C72EB0" w:rsidP="00C72EB0">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CD1E71">
              <w:rPr>
                <w:rFonts w:ascii="Times New Roman" w:hAnsi="Times New Roman"/>
                <w:szCs w:val="18"/>
              </w:rPr>
              <w:t>June 2022</w:t>
            </w:r>
          </w:p>
        </w:tc>
      </w:tr>
      <w:tr w:rsidR="00C72EB0" w:rsidRPr="00CD1E71" w14:paraId="576433DD" w14:textId="77777777" w:rsidTr="00653D49">
        <w:trPr>
          <w:trHeight w:val="608"/>
        </w:trPr>
        <w:tc>
          <w:tcPr>
            <w:cnfStyle w:val="001000000000" w:firstRow="0" w:lastRow="0" w:firstColumn="1" w:lastColumn="0" w:oddVBand="0" w:evenVBand="0" w:oddHBand="0" w:evenHBand="0" w:firstRowFirstColumn="0" w:firstRowLastColumn="0" w:lastRowFirstColumn="0" w:lastRowLastColumn="0"/>
            <w:tcW w:w="1305" w:type="dxa"/>
            <w:vAlign w:val="center"/>
          </w:tcPr>
          <w:p w14:paraId="3E8E324B" w14:textId="266AC8EE" w:rsidR="00C72EB0" w:rsidRPr="00CD1E71" w:rsidRDefault="00C72EB0" w:rsidP="00C72EB0">
            <w:pPr>
              <w:tabs>
                <w:tab w:val="left" w:pos="7925"/>
              </w:tabs>
              <w:autoSpaceDE w:val="0"/>
              <w:autoSpaceDN w:val="0"/>
              <w:adjustRightInd w:val="0"/>
              <w:snapToGrid w:val="0"/>
              <w:spacing w:line="240" w:lineRule="auto"/>
              <w:jc w:val="center"/>
              <w:rPr>
                <w:rFonts w:ascii="Times New Roman" w:hAnsi="Times New Roman"/>
                <w:szCs w:val="18"/>
              </w:rPr>
            </w:pPr>
            <w:r w:rsidRPr="00CD1E71">
              <w:rPr>
                <w:rFonts w:ascii="Times New Roman" w:hAnsi="Times New Roman"/>
                <w:szCs w:val="18"/>
              </w:rPr>
              <w:t xml:space="preserve">Harapan H, et al. </w:t>
            </w:r>
            <w:r w:rsidRPr="00CD1E71">
              <w:rPr>
                <w:rFonts w:ascii="Times New Roman" w:hAnsi="Times New Roman"/>
                <w:szCs w:val="18"/>
              </w:rPr>
              <w:fldChar w:fldCharType="begin"/>
            </w:r>
            <w:r w:rsidR="00B827B0">
              <w:rPr>
                <w:rFonts w:ascii="Times New Roman" w:hAnsi="Times New Roman"/>
                <w:szCs w:val="18"/>
              </w:rPr>
              <w:instrText xml:space="preserve"> ADDIN ZOTERO_ITEM CSL_CITATION {"citationID":"bu0wFFhD","properties":{"formattedCitation":"(41)","plainCitation":"(41)","noteIndex":0},"citationItems":[{"id":11703,"uris":["http://zotero.org/users/6456139/items/JE923GEV"],"itemData":{"id":11703,"type":"article-journal","abstract":"After the first, imported, laboratory-confirmed case of monkeypox in human was reported in Singapore on May 2019, countries in Asia started to strengthen disease surveillance systems. One challenge in preventing monkeypox is a lack of knowledge, particularly among healthcare workers. The aim of this study was to assess the knowledge of monkeypox among general practitioners (GPs) in Indonesia. A cross-sectional online survey was conducted. The survey collected participants' knowledge on a 21-item scale and explanatory variables. A two-step logistic regression analysis was employed to assess the predictors of knowledge of monkeypox. A total of 432 GPs were included; 10.0% and 36.5% of them had a good knowledge using an 80% and 70% cutoff point for knowledge domain, respectively. No explanatory variables were associated with knowledge when using 80% cutoff point. Using the lower cutoff, there was lower knowledge among GPs who graduated from universities located in Sumatra or other islands versus Java (adjusted odds ratio (aOR): 0.53; 95%CI: 0.28-0.97, p = 0.041) and among those were older than 30 years compared to younger GPs (aOR: 0.61; 95%CI: 0.39-0.96, p = 0.033). GPs working in private clinics had less knowledge compared to GPs in community health centers (aOR: 0.55; 95%CI: 0.31-0.99, p = 0.047). In conclusion, knowledge of monkeypox among GPs in Indonesia is relatively low in all groups. Increasing knowledge of monkeypox will be key to improving the capacity of GPs to respond to human monkeypox cases and to report into a disease surveillance system.","container-title":"Pathogens and Global Health","DOI":"10.1080/20477724.2020.1743037","ISSN":"2047-7732","issue":"2","journalAbbreviation":"Pathog Glob Health","language":"eng","note":"PMID: 32202967\nPMCID: PMC7170312","page":"68-75","source":"PubMed","title":"Knowledge of human monkeypox viral infection among general practitioners: a cross-sectional study in Indonesia","title-short":"Knowledge of human monkeypox viral infection among general practitioners","volume":"114","author":[{"family":"Harapan","given":"Harapan"},{"family":"Setiawan","given":"Abdul M."},{"family":"Yufika","given":"Amanda"},{"family":"Anwar","given":"Samsul"},{"family":"Wahyuni","given":"Sri"},{"family":"Asrizal","given":"Febrivan W."},{"family":"Sufri","given":"Muhammad R."},{"family":"Putra","given":"Reza P."},{"family":"Wijayanti","given":"Nanda P."},{"family":"Salwiyadi","given":"Salwiyadi"},{"family":"Maulana","given":"Razi"},{"family":"Khusna","given":"Afriyani"},{"family":"Nusrina","given":"Ina"},{"family":"Shidiq","given":"Muhammad"},{"family":"Fitriani","given":"Devi"},{"family":"Muharrir","given":"Muharrir"},{"family":"Husna","given":"Cut A."},{"family":"Yusri","given":"Fitria"},{"family":"Maulana","given":"Reza"},{"family":"Andalas","given":"Mohd"},{"family":"Wagner","given":"Abram L."},{"family":"Mudatsir","given":"Mudatsir"}],"issued":{"date-parts":[["2020",3]]}}}],"schema":"https://github.com/citation-style-language/schema/raw/master/csl-citation.json"} </w:instrText>
            </w:r>
            <w:r w:rsidRPr="00CD1E71">
              <w:rPr>
                <w:rFonts w:ascii="Times New Roman" w:hAnsi="Times New Roman"/>
                <w:szCs w:val="18"/>
              </w:rPr>
              <w:fldChar w:fldCharType="separate"/>
            </w:r>
            <w:r w:rsidR="00B827B0" w:rsidRPr="00B827B0">
              <w:rPr>
                <w:rFonts w:ascii="Times New Roman" w:hAnsi="Times New Roman"/>
              </w:rPr>
              <w:t>(41)</w:t>
            </w:r>
            <w:r w:rsidRPr="00CD1E71">
              <w:rPr>
                <w:rFonts w:ascii="Times New Roman" w:hAnsi="Times New Roman"/>
                <w:szCs w:val="18"/>
              </w:rPr>
              <w:fldChar w:fldCharType="end"/>
            </w:r>
          </w:p>
        </w:tc>
        <w:tc>
          <w:tcPr>
            <w:tcW w:w="638" w:type="dxa"/>
            <w:vAlign w:val="center"/>
          </w:tcPr>
          <w:p w14:paraId="702C4E58" w14:textId="13597F03"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2020</w:t>
            </w:r>
          </w:p>
        </w:tc>
        <w:tc>
          <w:tcPr>
            <w:tcW w:w="927" w:type="dxa"/>
            <w:vAlign w:val="center"/>
          </w:tcPr>
          <w:p w14:paraId="6EC683C5" w14:textId="6B6A3EE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Cross sectional</w:t>
            </w:r>
          </w:p>
        </w:tc>
        <w:tc>
          <w:tcPr>
            <w:tcW w:w="1117" w:type="dxa"/>
            <w:vAlign w:val="center"/>
          </w:tcPr>
          <w:p w14:paraId="50BA1BDE" w14:textId="65FCE3B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Indonesia</w:t>
            </w:r>
          </w:p>
        </w:tc>
        <w:tc>
          <w:tcPr>
            <w:tcW w:w="850" w:type="dxa"/>
            <w:vAlign w:val="center"/>
          </w:tcPr>
          <w:p w14:paraId="0ECC04DE" w14:textId="31B8A040"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432</w:t>
            </w:r>
          </w:p>
        </w:tc>
        <w:tc>
          <w:tcPr>
            <w:tcW w:w="1272" w:type="dxa"/>
            <w:vAlign w:val="center"/>
          </w:tcPr>
          <w:p w14:paraId="43E37DBB" w14:textId="12E876A4"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Physicians</w:t>
            </w:r>
          </w:p>
        </w:tc>
        <w:tc>
          <w:tcPr>
            <w:tcW w:w="716" w:type="dxa"/>
            <w:vAlign w:val="center"/>
          </w:tcPr>
          <w:p w14:paraId="095B5AE9" w14:textId="7B1C3EAD"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140</w:t>
            </w:r>
          </w:p>
        </w:tc>
        <w:tc>
          <w:tcPr>
            <w:tcW w:w="616" w:type="dxa"/>
            <w:vAlign w:val="center"/>
          </w:tcPr>
          <w:p w14:paraId="10BB464F" w14:textId="059D6F88"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292</w:t>
            </w:r>
          </w:p>
        </w:tc>
        <w:tc>
          <w:tcPr>
            <w:tcW w:w="966" w:type="dxa"/>
            <w:vAlign w:val="center"/>
          </w:tcPr>
          <w:p w14:paraId="7B84F7DF" w14:textId="04840C75" w:rsidR="00C72EB0" w:rsidRPr="00CD1E71" w:rsidRDefault="00025B0E"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318 </w:t>
            </w:r>
            <w:r w:rsidR="00C72EB0" w:rsidRPr="00CD1E71">
              <w:rPr>
                <w:rFonts w:ascii="Times New Roman" w:hAnsi="Times New Roman"/>
                <w:szCs w:val="18"/>
              </w:rPr>
              <w:t>(73.6%)</w:t>
            </w:r>
          </w:p>
        </w:tc>
        <w:tc>
          <w:tcPr>
            <w:tcW w:w="916" w:type="dxa"/>
            <w:vAlign w:val="center"/>
          </w:tcPr>
          <w:p w14:paraId="3726288A" w14:textId="44425F46"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4DEDF9CB" w14:textId="70F10C41"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966" w:type="dxa"/>
            <w:vAlign w:val="center"/>
          </w:tcPr>
          <w:p w14:paraId="3D94BB69" w14:textId="5DD7B125" w:rsidR="00C72EB0" w:rsidRPr="00CD1E71" w:rsidRDefault="00025B0E"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12 </w:t>
            </w:r>
            <w:r w:rsidR="00C72EB0" w:rsidRPr="00CD1E71">
              <w:rPr>
                <w:rFonts w:ascii="Times New Roman" w:hAnsi="Times New Roman"/>
                <w:szCs w:val="18"/>
              </w:rPr>
              <w:t>(2.8%)</w:t>
            </w:r>
          </w:p>
        </w:tc>
        <w:tc>
          <w:tcPr>
            <w:tcW w:w="1172" w:type="dxa"/>
            <w:vAlign w:val="center"/>
          </w:tcPr>
          <w:p w14:paraId="0DE67CBF" w14:textId="2FAB7C2A" w:rsidR="00C72EB0" w:rsidRPr="00CD1E71" w:rsidRDefault="00025B0E"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15 </w:t>
            </w:r>
            <w:r w:rsidR="00C72EB0" w:rsidRPr="00CD1E71">
              <w:rPr>
                <w:rFonts w:ascii="Times New Roman" w:hAnsi="Times New Roman"/>
                <w:szCs w:val="18"/>
              </w:rPr>
              <w:t>(3.5%)</w:t>
            </w:r>
          </w:p>
        </w:tc>
        <w:tc>
          <w:tcPr>
            <w:tcW w:w="1528" w:type="dxa"/>
            <w:vAlign w:val="center"/>
          </w:tcPr>
          <w:p w14:paraId="5E4C5771" w14:textId="33E2E132" w:rsidR="00C72EB0" w:rsidRPr="00CD1E71" w:rsidRDefault="00025B0E"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43 </w:t>
            </w:r>
            <w:r w:rsidR="00C72EB0" w:rsidRPr="00CD1E71">
              <w:rPr>
                <w:rFonts w:ascii="Times New Roman" w:hAnsi="Times New Roman"/>
                <w:szCs w:val="18"/>
              </w:rPr>
              <w:t>(10%)</w:t>
            </w:r>
          </w:p>
        </w:tc>
        <w:tc>
          <w:tcPr>
            <w:tcW w:w="866" w:type="dxa"/>
            <w:vAlign w:val="center"/>
          </w:tcPr>
          <w:p w14:paraId="31C382C3" w14:textId="5B81006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866" w:type="dxa"/>
            <w:vAlign w:val="center"/>
          </w:tcPr>
          <w:p w14:paraId="347C3E38" w14:textId="7EFA234B"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NR</w:t>
            </w:r>
          </w:p>
        </w:tc>
        <w:tc>
          <w:tcPr>
            <w:tcW w:w="1005" w:type="dxa"/>
            <w:vAlign w:val="center"/>
          </w:tcPr>
          <w:p w14:paraId="6ED25C11" w14:textId="6660A01F" w:rsidR="00C72EB0" w:rsidRPr="00CD1E71" w:rsidRDefault="00025B0E"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Pr>
                <w:rFonts w:ascii="Times New Roman" w:hAnsi="Times New Roman"/>
                <w:szCs w:val="18"/>
              </w:rPr>
              <w:t xml:space="preserve">41 </w:t>
            </w:r>
            <w:r w:rsidR="00C72EB0">
              <w:rPr>
                <w:rFonts w:ascii="Times New Roman" w:hAnsi="Times New Roman"/>
                <w:szCs w:val="18"/>
              </w:rPr>
              <w:t>(</w:t>
            </w:r>
            <w:r w:rsidR="00C72EB0" w:rsidRPr="0063090C">
              <w:rPr>
                <w:rFonts w:ascii="Times New Roman" w:hAnsi="Times New Roman"/>
                <w:szCs w:val="18"/>
              </w:rPr>
              <w:t>9.6%</w:t>
            </w:r>
            <w:r w:rsidR="00C72EB0">
              <w:rPr>
                <w:rFonts w:ascii="Times New Roman" w:hAnsi="Times New Roman"/>
                <w:szCs w:val="18"/>
              </w:rPr>
              <w:t>)</w:t>
            </w:r>
          </w:p>
        </w:tc>
        <w:tc>
          <w:tcPr>
            <w:tcW w:w="816" w:type="dxa"/>
            <w:vAlign w:val="center"/>
          </w:tcPr>
          <w:p w14:paraId="1D6BB9D8" w14:textId="471AEBBC"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Online survey</w:t>
            </w:r>
          </w:p>
        </w:tc>
        <w:tc>
          <w:tcPr>
            <w:tcW w:w="1083" w:type="dxa"/>
            <w:vAlign w:val="center"/>
          </w:tcPr>
          <w:p w14:paraId="48C56298" w14:textId="11FE1BDA" w:rsidR="00C72EB0" w:rsidRPr="00CD1E71" w:rsidRDefault="00C72EB0" w:rsidP="00C72EB0">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CD1E71">
              <w:rPr>
                <w:rFonts w:ascii="Times New Roman" w:hAnsi="Times New Roman"/>
                <w:szCs w:val="18"/>
              </w:rPr>
              <w:t>25 May - 25 July 2019</w:t>
            </w:r>
          </w:p>
        </w:tc>
      </w:tr>
    </w:tbl>
    <w:p w14:paraId="24F0A138" w14:textId="595F69CD" w:rsidR="00BA0BFD" w:rsidRDefault="00E979FD" w:rsidP="00733586">
      <w:pPr>
        <w:pStyle w:val="MDPI31text"/>
        <w:jc w:val="center"/>
        <w:rPr>
          <w:rFonts w:ascii="Times New Roman" w:hAnsi="Times New Roman"/>
          <w:sz w:val="24"/>
          <w:szCs w:val="28"/>
        </w:rPr>
      </w:pPr>
      <w:r>
        <w:rPr>
          <w:rFonts w:ascii="Times New Roman" w:hAnsi="Times New Roman"/>
          <w:snapToGrid/>
          <w:szCs w:val="20"/>
        </w:rPr>
        <w:t xml:space="preserve">M/F: Male/Female; </w:t>
      </w:r>
      <w:r w:rsidR="00964BBC" w:rsidRPr="00964BBC">
        <w:rPr>
          <w:rFonts w:ascii="Times New Roman" w:hAnsi="Times New Roman"/>
          <w:snapToGrid/>
          <w:szCs w:val="20"/>
        </w:rPr>
        <w:t>NR: Not reported</w:t>
      </w:r>
      <w:r>
        <w:rPr>
          <w:rFonts w:ascii="Times New Roman" w:hAnsi="Times New Roman"/>
          <w:snapToGrid/>
          <w:szCs w:val="20"/>
        </w:rPr>
        <w:t xml:space="preserve">; </w:t>
      </w:r>
      <w:r w:rsidR="00BC26DB">
        <w:t>*</w:t>
      </w:r>
      <w:r w:rsidR="001F48C4">
        <w:t xml:space="preserve">MSM: </w:t>
      </w:r>
      <w:r w:rsidR="001F48C4" w:rsidRPr="001F48C4">
        <w:rPr>
          <w:rFonts w:ascii="Times New Roman" w:hAnsi="Times New Roman"/>
          <w:snapToGrid/>
          <w:szCs w:val="20"/>
        </w:rPr>
        <w:t>men who have sex with men</w:t>
      </w:r>
    </w:p>
    <w:p w14:paraId="1D3A50A0" w14:textId="77777777" w:rsidR="006E0301" w:rsidRDefault="006E0301" w:rsidP="000550A9">
      <w:pPr>
        <w:pStyle w:val="MDPI31text"/>
        <w:ind w:left="0" w:firstLine="0"/>
        <w:rPr>
          <w:rFonts w:ascii="Times New Roman" w:hAnsi="Times New Roman"/>
          <w:sz w:val="24"/>
          <w:szCs w:val="28"/>
        </w:rPr>
      </w:pPr>
    </w:p>
    <w:p w14:paraId="1BA9AFD7" w14:textId="77777777" w:rsidR="006E0301" w:rsidRDefault="006E0301" w:rsidP="000550A9">
      <w:pPr>
        <w:pStyle w:val="MDPI31text"/>
        <w:ind w:left="0" w:firstLine="0"/>
        <w:rPr>
          <w:rFonts w:ascii="Times New Roman" w:hAnsi="Times New Roman"/>
          <w:sz w:val="24"/>
          <w:szCs w:val="28"/>
        </w:rPr>
      </w:pPr>
    </w:p>
    <w:p w14:paraId="3730CFDE" w14:textId="77777777" w:rsidR="006E0301" w:rsidRDefault="006E0301" w:rsidP="000550A9">
      <w:pPr>
        <w:pStyle w:val="MDPI31text"/>
        <w:ind w:left="0" w:firstLine="0"/>
        <w:rPr>
          <w:rFonts w:ascii="Times New Roman" w:hAnsi="Times New Roman"/>
          <w:sz w:val="24"/>
          <w:szCs w:val="28"/>
        </w:rPr>
      </w:pPr>
    </w:p>
    <w:p w14:paraId="3A41A7BC" w14:textId="66B4E573" w:rsidR="001A5520" w:rsidRPr="000550A9" w:rsidRDefault="001A5520" w:rsidP="000550A9">
      <w:pPr>
        <w:pStyle w:val="MDPI31text"/>
        <w:ind w:left="0" w:firstLine="0"/>
        <w:rPr>
          <w:rFonts w:ascii="Times New Roman" w:hAnsi="Times New Roman"/>
          <w:sz w:val="24"/>
          <w:szCs w:val="28"/>
        </w:rPr>
      </w:pPr>
    </w:p>
    <w:sectPr w:rsidR="001A5520" w:rsidRPr="000550A9" w:rsidSect="000C01E3">
      <w:pgSz w:w="19845" w:h="11907" w:orient="landscape" w:code="9"/>
      <w:pgMar w:top="1701" w:right="1418" w:bottom="1701" w:left="1418" w:header="1021" w:footer="340" w:gutter="0"/>
      <w:pgNumType w:start="23"/>
      <w:cols w:space="425"/>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ACFDC" w14:textId="77777777" w:rsidR="005221F7" w:rsidRDefault="005221F7">
      <w:pPr>
        <w:spacing w:line="240" w:lineRule="auto"/>
      </w:pPr>
      <w:r>
        <w:separator/>
      </w:r>
    </w:p>
  </w:endnote>
  <w:endnote w:type="continuationSeparator" w:id="0">
    <w:p w14:paraId="29DB9E96" w14:textId="77777777" w:rsidR="005221F7" w:rsidRDefault="005221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240728"/>
      <w:docPartObj>
        <w:docPartGallery w:val="Page Numbers (Bottom of Page)"/>
        <w:docPartUnique/>
      </w:docPartObj>
    </w:sdtPr>
    <w:sdtEndPr/>
    <w:sdtContent>
      <w:p w14:paraId="66807E81" w14:textId="569B2980" w:rsidR="008D70B3" w:rsidRDefault="008D70B3">
        <w:pPr>
          <w:pStyle w:val="Footer"/>
          <w:jc w:val="center"/>
        </w:pPr>
        <w:r>
          <w:fldChar w:fldCharType="begin"/>
        </w:r>
        <w:r>
          <w:instrText>PAGE   \* MERGEFORMAT</w:instrText>
        </w:r>
        <w:r>
          <w:fldChar w:fldCharType="separate"/>
        </w:r>
        <w:r>
          <w:rPr>
            <w:lang w:val="es-ES"/>
          </w:rPr>
          <w:t>2</w:t>
        </w:r>
        <w:r>
          <w:fldChar w:fldCharType="end"/>
        </w:r>
      </w:p>
    </w:sdtContent>
  </w:sdt>
  <w:p w14:paraId="5F90A80C" w14:textId="77777777" w:rsidR="008D70B3" w:rsidRDefault="008D7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510873"/>
      <w:docPartObj>
        <w:docPartGallery w:val="Page Numbers (Bottom of Page)"/>
        <w:docPartUnique/>
      </w:docPartObj>
    </w:sdtPr>
    <w:sdtEndPr/>
    <w:sdtContent>
      <w:p w14:paraId="1E177817" w14:textId="358BFA7E" w:rsidR="008D70B3" w:rsidRDefault="008D70B3">
        <w:pPr>
          <w:pStyle w:val="Footer"/>
          <w:jc w:val="center"/>
        </w:pPr>
        <w:r>
          <w:fldChar w:fldCharType="begin"/>
        </w:r>
        <w:r>
          <w:instrText>PAGE   \* MERGEFORMAT</w:instrText>
        </w:r>
        <w:r>
          <w:fldChar w:fldCharType="separate"/>
        </w:r>
        <w:r>
          <w:rPr>
            <w:lang w:val="es-ES"/>
          </w:rPr>
          <w:t>2</w:t>
        </w:r>
        <w:r>
          <w:fldChar w:fldCharType="end"/>
        </w:r>
      </w:p>
    </w:sdtContent>
  </w:sdt>
  <w:p w14:paraId="4707C230" w14:textId="77777777" w:rsidR="008D70B3" w:rsidRDefault="008D7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6C60A" w14:textId="77777777" w:rsidR="005221F7" w:rsidRDefault="005221F7">
      <w:pPr>
        <w:spacing w:line="240" w:lineRule="auto"/>
      </w:pPr>
      <w:r>
        <w:separator/>
      </w:r>
    </w:p>
  </w:footnote>
  <w:footnote w:type="continuationSeparator" w:id="0">
    <w:p w14:paraId="268C7A3C" w14:textId="77777777" w:rsidR="005221F7" w:rsidRDefault="005221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2E6D"/>
    <w:multiLevelType w:val="hybridMultilevel"/>
    <w:tmpl w:val="89DE7AB4"/>
    <w:lvl w:ilvl="0" w:tplc="F270330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E4EA68C0"/>
    <w:lvl w:ilvl="0" w:tplc="7634241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B46A9"/>
    <w:multiLevelType w:val="hybridMultilevel"/>
    <w:tmpl w:val="0F36FAF2"/>
    <w:lvl w:ilvl="0" w:tplc="278A602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440C7"/>
    <w:multiLevelType w:val="hybridMultilevel"/>
    <w:tmpl w:val="77241A6A"/>
    <w:lvl w:ilvl="0" w:tplc="D92C029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15:restartNumberingAfterBreak="0">
    <w:nsid w:val="589478C6"/>
    <w:multiLevelType w:val="hybridMultilevel"/>
    <w:tmpl w:val="77DE21FC"/>
    <w:lvl w:ilvl="0" w:tplc="036EFC60">
      <w:numFmt w:val="bullet"/>
      <w:lvlText w:val="-"/>
      <w:lvlJc w:val="left"/>
      <w:pPr>
        <w:ind w:left="644" w:hanging="360"/>
      </w:pPr>
      <w:rPr>
        <w:rFonts w:ascii="Arial" w:eastAsiaTheme="minorHAnsi"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2"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2"/>
  </w:num>
  <w:num w:numId="8">
    <w:abstractNumId w:val="10"/>
  </w:num>
  <w:num w:numId="9">
    <w:abstractNumId w:val="2"/>
  </w:num>
  <w:num w:numId="10">
    <w:abstractNumId w:val="10"/>
  </w:num>
  <w:num w:numId="11">
    <w:abstractNumId w:val="2"/>
  </w:num>
  <w:num w:numId="12">
    <w:abstractNumId w:val="12"/>
  </w:num>
  <w:num w:numId="13">
    <w:abstractNumId w:val="10"/>
  </w:num>
  <w:num w:numId="14">
    <w:abstractNumId w:val="2"/>
  </w:num>
  <w:num w:numId="15">
    <w:abstractNumId w:val="1"/>
  </w:num>
  <w:num w:numId="16">
    <w:abstractNumId w:val="8"/>
  </w:num>
  <w:num w:numId="17">
    <w:abstractNumId w:val="0"/>
  </w:num>
  <w:num w:numId="18">
    <w:abstractNumId w:val="10"/>
  </w:num>
  <w:num w:numId="19">
    <w:abstractNumId w:val="2"/>
  </w:num>
  <w:num w:numId="20">
    <w:abstractNumId w:val="1"/>
  </w:num>
  <w:num w:numId="21">
    <w:abstractNumId w:val="9"/>
  </w:num>
  <w:num w:numId="22">
    <w:abstractNumId w:val="6"/>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A"/>
    <w:rsid w:val="00002B37"/>
    <w:rsid w:val="00002C5A"/>
    <w:rsid w:val="00004D98"/>
    <w:rsid w:val="000104A3"/>
    <w:rsid w:val="000106C4"/>
    <w:rsid w:val="00012AC4"/>
    <w:rsid w:val="00012BED"/>
    <w:rsid w:val="0001667F"/>
    <w:rsid w:val="00022923"/>
    <w:rsid w:val="00023948"/>
    <w:rsid w:val="000246B2"/>
    <w:rsid w:val="0002554A"/>
    <w:rsid w:val="00025861"/>
    <w:rsid w:val="00025AE9"/>
    <w:rsid w:val="00025B0E"/>
    <w:rsid w:val="00026628"/>
    <w:rsid w:val="0003183D"/>
    <w:rsid w:val="00033CAE"/>
    <w:rsid w:val="000344BD"/>
    <w:rsid w:val="0003567E"/>
    <w:rsid w:val="0003664B"/>
    <w:rsid w:val="00037BEA"/>
    <w:rsid w:val="00040688"/>
    <w:rsid w:val="00041937"/>
    <w:rsid w:val="00041F86"/>
    <w:rsid w:val="00042049"/>
    <w:rsid w:val="00042C6B"/>
    <w:rsid w:val="0004465B"/>
    <w:rsid w:val="000469FC"/>
    <w:rsid w:val="00047C14"/>
    <w:rsid w:val="00050735"/>
    <w:rsid w:val="0005164C"/>
    <w:rsid w:val="00052072"/>
    <w:rsid w:val="00053A67"/>
    <w:rsid w:val="000550A9"/>
    <w:rsid w:val="0005524C"/>
    <w:rsid w:val="00056D61"/>
    <w:rsid w:val="0006068F"/>
    <w:rsid w:val="000614BB"/>
    <w:rsid w:val="00062D64"/>
    <w:rsid w:val="00062E50"/>
    <w:rsid w:val="000631FF"/>
    <w:rsid w:val="00063BA4"/>
    <w:rsid w:val="0006442A"/>
    <w:rsid w:val="000650EA"/>
    <w:rsid w:val="00065A83"/>
    <w:rsid w:val="00070BC3"/>
    <w:rsid w:val="0007286E"/>
    <w:rsid w:val="000729C1"/>
    <w:rsid w:val="00072F70"/>
    <w:rsid w:val="000736BD"/>
    <w:rsid w:val="0007477F"/>
    <w:rsid w:val="0007489C"/>
    <w:rsid w:val="00075264"/>
    <w:rsid w:val="0007580C"/>
    <w:rsid w:val="00075E0A"/>
    <w:rsid w:val="00076648"/>
    <w:rsid w:val="00077506"/>
    <w:rsid w:val="000778F0"/>
    <w:rsid w:val="0008021B"/>
    <w:rsid w:val="00080693"/>
    <w:rsid w:val="00080A20"/>
    <w:rsid w:val="00082A7A"/>
    <w:rsid w:val="000838D9"/>
    <w:rsid w:val="00084141"/>
    <w:rsid w:val="00085749"/>
    <w:rsid w:val="0008598A"/>
    <w:rsid w:val="00085AA7"/>
    <w:rsid w:val="00086C21"/>
    <w:rsid w:val="0009193E"/>
    <w:rsid w:val="000930DF"/>
    <w:rsid w:val="000946E3"/>
    <w:rsid w:val="000953F3"/>
    <w:rsid w:val="000A0093"/>
    <w:rsid w:val="000A02B5"/>
    <w:rsid w:val="000A04F4"/>
    <w:rsid w:val="000A3BA0"/>
    <w:rsid w:val="000A3C00"/>
    <w:rsid w:val="000A4071"/>
    <w:rsid w:val="000A5B3A"/>
    <w:rsid w:val="000A689E"/>
    <w:rsid w:val="000B6369"/>
    <w:rsid w:val="000B6BD8"/>
    <w:rsid w:val="000C01E3"/>
    <w:rsid w:val="000C2D80"/>
    <w:rsid w:val="000C34D0"/>
    <w:rsid w:val="000C3B7B"/>
    <w:rsid w:val="000C3D95"/>
    <w:rsid w:val="000C46A4"/>
    <w:rsid w:val="000C54B9"/>
    <w:rsid w:val="000C613F"/>
    <w:rsid w:val="000C66A4"/>
    <w:rsid w:val="000C777F"/>
    <w:rsid w:val="000C77E0"/>
    <w:rsid w:val="000C79F4"/>
    <w:rsid w:val="000D2039"/>
    <w:rsid w:val="000D3E83"/>
    <w:rsid w:val="000D45A8"/>
    <w:rsid w:val="000D4CAC"/>
    <w:rsid w:val="000D6169"/>
    <w:rsid w:val="000D6422"/>
    <w:rsid w:val="000E6859"/>
    <w:rsid w:val="000F291B"/>
    <w:rsid w:val="000F3297"/>
    <w:rsid w:val="000F45EC"/>
    <w:rsid w:val="000F6A20"/>
    <w:rsid w:val="0010213E"/>
    <w:rsid w:val="00102164"/>
    <w:rsid w:val="001035B5"/>
    <w:rsid w:val="001059AA"/>
    <w:rsid w:val="00112A0A"/>
    <w:rsid w:val="00113504"/>
    <w:rsid w:val="00113A18"/>
    <w:rsid w:val="00114006"/>
    <w:rsid w:val="00114401"/>
    <w:rsid w:val="0011698A"/>
    <w:rsid w:val="00117861"/>
    <w:rsid w:val="0012068C"/>
    <w:rsid w:val="00121956"/>
    <w:rsid w:val="00121F03"/>
    <w:rsid w:val="001228BC"/>
    <w:rsid w:val="0012318C"/>
    <w:rsid w:val="00125279"/>
    <w:rsid w:val="00125C4B"/>
    <w:rsid w:val="00125D79"/>
    <w:rsid w:val="00126EB4"/>
    <w:rsid w:val="00127ED1"/>
    <w:rsid w:val="00132D07"/>
    <w:rsid w:val="001331C0"/>
    <w:rsid w:val="001338EF"/>
    <w:rsid w:val="00133F29"/>
    <w:rsid w:val="00136EEC"/>
    <w:rsid w:val="00137C46"/>
    <w:rsid w:val="001402BF"/>
    <w:rsid w:val="00141221"/>
    <w:rsid w:val="00142E26"/>
    <w:rsid w:val="001437B6"/>
    <w:rsid w:val="001442D5"/>
    <w:rsid w:val="00144A8E"/>
    <w:rsid w:val="00146DDF"/>
    <w:rsid w:val="0015187A"/>
    <w:rsid w:val="00155875"/>
    <w:rsid w:val="00157EC6"/>
    <w:rsid w:val="0016006D"/>
    <w:rsid w:val="00162008"/>
    <w:rsid w:val="00162F64"/>
    <w:rsid w:val="00163A94"/>
    <w:rsid w:val="00165C48"/>
    <w:rsid w:val="0016616A"/>
    <w:rsid w:val="00167BF3"/>
    <w:rsid w:val="00170EB1"/>
    <w:rsid w:val="00171658"/>
    <w:rsid w:val="0017165E"/>
    <w:rsid w:val="00171AA9"/>
    <w:rsid w:val="00173016"/>
    <w:rsid w:val="00173710"/>
    <w:rsid w:val="00174E90"/>
    <w:rsid w:val="00175AD9"/>
    <w:rsid w:val="001765F2"/>
    <w:rsid w:val="001771A5"/>
    <w:rsid w:val="00177995"/>
    <w:rsid w:val="001812A9"/>
    <w:rsid w:val="00182526"/>
    <w:rsid w:val="001826BE"/>
    <w:rsid w:val="00183AB8"/>
    <w:rsid w:val="0018422C"/>
    <w:rsid w:val="00184470"/>
    <w:rsid w:val="00184D45"/>
    <w:rsid w:val="00185AD8"/>
    <w:rsid w:val="00186C1A"/>
    <w:rsid w:val="00187A46"/>
    <w:rsid w:val="001904C4"/>
    <w:rsid w:val="00190CF5"/>
    <w:rsid w:val="001933CC"/>
    <w:rsid w:val="00193B17"/>
    <w:rsid w:val="00194C32"/>
    <w:rsid w:val="001957FA"/>
    <w:rsid w:val="00197473"/>
    <w:rsid w:val="00197B95"/>
    <w:rsid w:val="00197DA5"/>
    <w:rsid w:val="001A16B7"/>
    <w:rsid w:val="001A24D2"/>
    <w:rsid w:val="001A5520"/>
    <w:rsid w:val="001A5766"/>
    <w:rsid w:val="001A5A7B"/>
    <w:rsid w:val="001A6900"/>
    <w:rsid w:val="001A7CF7"/>
    <w:rsid w:val="001B0391"/>
    <w:rsid w:val="001B0864"/>
    <w:rsid w:val="001B1B94"/>
    <w:rsid w:val="001B2E36"/>
    <w:rsid w:val="001B4743"/>
    <w:rsid w:val="001B50BA"/>
    <w:rsid w:val="001B5113"/>
    <w:rsid w:val="001B7E92"/>
    <w:rsid w:val="001C00E1"/>
    <w:rsid w:val="001C0217"/>
    <w:rsid w:val="001C14E5"/>
    <w:rsid w:val="001C2C8D"/>
    <w:rsid w:val="001C3A2B"/>
    <w:rsid w:val="001C4D4A"/>
    <w:rsid w:val="001C56D4"/>
    <w:rsid w:val="001C6217"/>
    <w:rsid w:val="001C6B53"/>
    <w:rsid w:val="001C7C73"/>
    <w:rsid w:val="001D0686"/>
    <w:rsid w:val="001D137C"/>
    <w:rsid w:val="001D19AC"/>
    <w:rsid w:val="001D297D"/>
    <w:rsid w:val="001D2D33"/>
    <w:rsid w:val="001D41F9"/>
    <w:rsid w:val="001D4670"/>
    <w:rsid w:val="001D54BC"/>
    <w:rsid w:val="001D67CF"/>
    <w:rsid w:val="001E0C33"/>
    <w:rsid w:val="001E14DE"/>
    <w:rsid w:val="001E188B"/>
    <w:rsid w:val="001E297A"/>
    <w:rsid w:val="001E2AEB"/>
    <w:rsid w:val="001E3E10"/>
    <w:rsid w:val="001E4109"/>
    <w:rsid w:val="001E4168"/>
    <w:rsid w:val="001E4928"/>
    <w:rsid w:val="001E4E45"/>
    <w:rsid w:val="001E50EA"/>
    <w:rsid w:val="001E518A"/>
    <w:rsid w:val="001E5538"/>
    <w:rsid w:val="001E5609"/>
    <w:rsid w:val="001E6CB1"/>
    <w:rsid w:val="001E72C2"/>
    <w:rsid w:val="001F0C32"/>
    <w:rsid w:val="001F11DE"/>
    <w:rsid w:val="001F1266"/>
    <w:rsid w:val="001F3A12"/>
    <w:rsid w:val="001F4302"/>
    <w:rsid w:val="001F4488"/>
    <w:rsid w:val="001F48C4"/>
    <w:rsid w:val="001F53CA"/>
    <w:rsid w:val="001F6C94"/>
    <w:rsid w:val="001F6D18"/>
    <w:rsid w:val="001F7E81"/>
    <w:rsid w:val="0020040B"/>
    <w:rsid w:val="002019E5"/>
    <w:rsid w:val="00203811"/>
    <w:rsid w:val="00204CD5"/>
    <w:rsid w:val="002055EE"/>
    <w:rsid w:val="0020566A"/>
    <w:rsid w:val="00205AC7"/>
    <w:rsid w:val="0020625A"/>
    <w:rsid w:val="00207800"/>
    <w:rsid w:val="00207818"/>
    <w:rsid w:val="0021123E"/>
    <w:rsid w:val="00213BE7"/>
    <w:rsid w:val="00214A6A"/>
    <w:rsid w:val="00214BBE"/>
    <w:rsid w:val="00215214"/>
    <w:rsid w:val="00215B17"/>
    <w:rsid w:val="00217B0F"/>
    <w:rsid w:val="00217FF7"/>
    <w:rsid w:val="0022099E"/>
    <w:rsid w:val="00220D17"/>
    <w:rsid w:val="002221A6"/>
    <w:rsid w:val="00222CDB"/>
    <w:rsid w:val="00223336"/>
    <w:rsid w:val="0022347D"/>
    <w:rsid w:val="002235A6"/>
    <w:rsid w:val="00223C61"/>
    <w:rsid w:val="00230264"/>
    <w:rsid w:val="00231A6D"/>
    <w:rsid w:val="00231C01"/>
    <w:rsid w:val="002351C5"/>
    <w:rsid w:val="00235497"/>
    <w:rsid w:val="00236323"/>
    <w:rsid w:val="0023763D"/>
    <w:rsid w:val="002414FE"/>
    <w:rsid w:val="0024193B"/>
    <w:rsid w:val="002426F8"/>
    <w:rsid w:val="00242B94"/>
    <w:rsid w:val="002439F9"/>
    <w:rsid w:val="002451AA"/>
    <w:rsid w:val="002472C6"/>
    <w:rsid w:val="00247739"/>
    <w:rsid w:val="00247DAA"/>
    <w:rsid w:val="002507CF"/>
    <w:rsid w:val="00250D27"/>
    <w:rsid w:val="00251401"/>
    <w:rsid w:val="0025253A"/>
    <w:rsid w:val="00253DE5"/>
    <w:rsid w:val="002546AB"/>
    <w:rsid w:val="0025599D"/>
    <w:rsid w:val="00256837"/>
    <w:rsid w:val="00257BA9"/>
    <w:rsid w:val="00261DA6"/>
    <w:rsid w:val="00262314"/>
    <w:rsid w:val="00262CAE"/>
    <w:rsid w:val="00263F02"/>
    <w:rsid w:val="00266D5D"/>
    <w:rsid w:val="002674D2"/>
    <w:rsid w:val="002701D6"/>
    <w:rsid w:val="00271140"/>
    <w:rsid w:val="002716B3"/>
    <w:rsid w:val="00271E45"/>
    <w:rsid w:val="00274107"/>
    <w:rsid w:val="00274D90"/>
    <w:rsid w:val="0027519E"/>
    <w:rsid w:val="002778A3"/>
    <w:rsid w:val="002802AC"/>
    <w:rsid w:val="00280709"/>
    <w:rsid w:val="0028197B"/>
    <w:rsid w:val="00281DD0"/>
    <w:rsid w:val="00284406"/>
    <w:rsid w:val="00284BEB"/>
    <w:rsid w:val="00284EFF"/>
    <w:rsid w:val="0028607E"/>
    <w:rsid w:val="00287176"/>
    <w:rsid w:val="0028726C"/>
    <w:rsid w:val="00287526"/>
    <w:rsid w:val="0029025F"/>
    <w:rsid w:val="002904EA"/>
    <w:rsid w:val="002905BF"/>
    <w:rsid w:val="002925D7"/>
    <w:rsid w:val="00292E33"/>
    <w:rsid w:val="00293826"/>
    <w:rsid w:val="00294656"/>
    <w:rsid w:val="0029599F"/>
    <w:rsid w:val="00295C87"/>
    <w:rsid w:val="002960D1"/>
    <w:rsid w:val="002A0736"/>
    <w:rsid w:val="002A2528"/>
    <w:rsid w:val="002A53BD"/>
    <w:rsid w:val="002A57F6"/>
    <w:rsid w:val="002B05EE"/>
    <w:rsid w:val="002B0E78"/>
    <w:rsid w:val="002B276E"/>
    <w:rsid w:val="002B3408"/>
    <w:rsid w:val="002B3A89"/>
    <w:rsid w:val="002B3D23"/>
    <w:rsid w:val="002B69DF"/>
    <w:rsid w:val="002B6FB7"/>
    <w:rsid w:val="002B7D7D"/>
    <w:rsid w:val="002C64B2"/>
    <w:rsid w:val="002C6D1E"/>
    <w:rsid w:val="002C7A7B"/>
    <w:rsid w:val="002C7B95"/>
    <w:rsid w:val="002D1293"/>
    <w:rsid w:val="002D18CB"/>
    <w:rsid w:val="002D19BB"/>
    <w:rsid w:val="002D2319"/>
    <w:rsid w:val="002D2742"/>
    <w:rsid w:val="002D2B5C"/>
    <w:rsid w:val="002D57A5"/>
    <w:rsid w:val="002D5CEB"/>
    <w:rsid w:val="002D69E2"/>
    <w:rsid w:val="002E16D3"/>
    <w:rsid w:val="002E3019"/>
    <w:rsid w:val="002E3319"/>
    <w:rsid w:val="002E576D"/>
    <w:rsid w:val="002E590F"/>
    <w:rsid w:val="002E5CEA"/>
    <w:rsid w:val="002E69BA"/>
    <w:rsid w:val="002E6E79"/>
    <w:rsid w:val="002E7A5D"/>
    <w:rsid w:val="002F2D81"/>
    <w:rsid w:val="002F3D49"/>
    <w:rsid w:val="002F55ED"/>
    <w:rsid w:val="003003CF"/>
    <w:rsid w:val="0030059B"/>
    <w:rsid w:val="00300BFD"/>
    <w:rsid w:val="0030280D"/>
    <w:rsid w:val="00302C67"/>
    <w:rsid w:val="00303D70"/>
    <w:rsid w:val="0030491A"/>
    <w:rsid w:val="00304D43"/>
    <w:rsid w:val="003053A6"/>
    <w:rsid w:val="0030550C"/>
    <w:rsid w:val="00306807"/>
    <w:rsid w:val="0031064A"/>
    <w:rsid w:val="003108DA"/>
    <w:rsid w:val="00310C13"/>
    <w:rsid w:val="003110C2"/>
    <w:rsid w:val="0031138B"/>
    <w:rsid w:val="0031166F"/>
    <w:rsid w:val="00313779"/>
    <w:rsid w:val="00313F35"/>
    <w:rsid w:val="0031462C"/>
    <w:rsid w:val="003151EC"/>
    <w:rsid w:val="00316574"/>
    <w:rsid w:val="00322BD2"/>
    <w:rsid w:val="00325FCF"/>
    <w:rsid w:val="00326141"/>
    <w:rsid w:val="00326D80"/>
    <w:rsid w:val="00327685"/>
    <w:rsid w:val="00330048"/>
    <w:rsid w:val="003327E0"/>
    <w:rsid w:val="003334D3"/>
    <w:rsid w:val="00333601"/>
    <w:rsid w:val="00336092"/>
    <w:rsid w:val="00344179"/>
    <w:rsid w:val="0034438A"/>
    <w:rsid w:val="00344597"/>
    <w:rsid w:val="00350BD8"/>
    <w:rsid w:val="00350C9E"/>
    <w:rsid w:val="00352D8F"/>
    <w:rsid w:val="00354E7C"/>
    <w:rsid w:val="003557AC"/>
    <w:rsid w:val="0035597A"/>
    <w:rsid w:val="00356DDB"/>
    <w:rsid w:val="00360AF1"/>
    <w:rsid w:val="0036349C"/>
    <w:rsid w:val="00364C3A"/>
    <w:rsid w:val="00364DC6"/>
    <w:rsid w:val="003663D4"/>
    <w:rsid w:val="00366EF1"/>
    <w:rsid w:val="00367BC3"/>
    <w:rsid w:val="0037013F"/>
    <w:rsid w:val="00370327"/>
    <w:rsid w:val="00373748"/>
    <w:rsid w:val="003774F7"/>
    <w:rsid w:val="00377A0D"/>
    <w:rsid w:val="0038056A"/>
    <w:rsid w:val="00380B23"/>
    <w:rsid w:val="00380D58"/>
    <w:rsid w:val="0038292E"/>
    <w:rsid w:val="0038322E"/>
    <w:rsid w:val="00383B27"/>
    <w:rsid w:val="00386FEA"/>
    <w:rsid w:val="003875A6"/>
    <w:rsid w:val="0039002C"/>
    <w:rsid w:val="00391FB8"/>
    <w:rsid w:val="003922B3"/>
    <w:rsid w:val="00392D86"/>
    <w:rsid w:val="003938DA"/>
    <w:rsid w:val="00394104"/>
    <w:rsid w:val="00395977"/>
    <w:rsid w:val="00395B0C"/>
    <w:rsid w:val="00396CE5"/>
    <w:rsid w:val="003A05F4"/>
    <w:rsid w:val="003A07AE"/>
    <w:rsid w:val="003A177B"/>
    <w:rsid w:val="003A3105"/>
    <w:rsid w:val="003A4A06"/>
    <w:rsid w:val="003A52FE"/>
    <w:rsid w:val="003A5706"/>
    <w:rsid w:val="003A591D"/>
    <w:rsid w:val="003A7E59"/>
    <w:rsid w:val="003B1163"/>
    <w:rsid w:val="003B1969"/>
    <w:rsid w:val="003B2F9E"/>
    <w:rsid w:val="003B4962"/>
    <w:rsid w:val="003B546C"/>
    <w:rsid w:val="003B6082"/>
    <w:rsid w:val="003C025B"/>
    <w:rsid w:val="003C0D5F"/>
    <w:rsid w:val="003C3E25"/>
    <w:rsid w:val="003C4267"/>
    <w:rsid w:val="003C6223"/>
    <w:rsid w:val="003C7C9E"/>
    <w:rsid w:val="003D0A5A"/>
    <w:rsid w:val="003D145E"/>
    <w:rsid w:val="003D2C8A"/>
    <w:rsid w:val="003D3CAD"/>
    <w:rsid w:val="003D4935"/>
    <w:rsid w:val="003D5A5B"/>
    <w:rsid w:val="003D6199"/>
    <w:rsid w:val="003D686C"/>
    <w:rsid w:val="003D7E10"/>
    <w:rsid w:val="003E0D31"/>
    <w:rsid w:val="003E15DE"/>
    <w:rsid w:val="003E1691"/>
    <w:rsid w:val="003E4B50"/>
    <w:rsid w:val="003E4E72"/>
    <w:rsid w:val="003E57C7"/>
    <w:rsid w:val="003E59BD"/>
    <w:rsid w:val="003E7058"/>
    <w:rsid w:val="003F0FBE"/>
    <w:rsid w:val="003F5EDD"/>
    <w:rsid w:val="003F6348"/>
    <w:rsid w:val="003F7BB1"/>
    <w:rsid w:val="00400594"/>
    <w:rsid w:val="00401B3A"/>
    <w:rsid w:val="00401D30"/>
    <w:rsid w:val="00404A6D"/>
    <w:rsid w:val="00404FC7"/>
    <w:rsid w:val="004074A8"/>
    <w:rsid w:val="00407587"/>
    <w:rsid w:val="00407BBF"/>
    <w:rsid w:val="004102C3"/>
    <w:rsid w:val="00414DE1"/>
    <w:rsid w:val="00415366"/>
    <w:rsid w:val="00416E2F"/>
    <w:rsid w:val="004176D1"/>
    <w:rsid w:val="00417958"/>
    <w:rsid w:val="00421077"/>
    <w:rsid w:val="004212A0"/>
    <w:rsid w:val="0042369D"/>
    <w:rsid w:val="00424B36"/>
    <w:rsid w:val="00426060"/>
    <w:rsid w:val="004260C3"/>
    <w:rsid w:val="00426AC4"/>
    <w:rsid w:val="0042738E"/>
    <w:rsid w:val="00427569"/>
    <w:rsid w:val="00427CB0"/>
    <w:rsid w:val="00430AB2"/>
    <w:rsid w:val="00432918"/>
    <w:rsid w:val="004332E8"/>
    <w:rsid w:val="00433F84"/>
    <w:rsid w:val="00434026"/>
    <w:rsid w:val="004344A5"/>
    <w:rsid w:val="00434632"/>
    <w:rsid w:val="00437E91"/>
    <w:rsid w:val="0044136B"/>
    <w:rsid w:val="00444223"/>
    <w:rsid w:val="00445175"/>
    <w:rsid w:val="004512F5"/>
    <w:rsid w:val="00453CC6"/>
    <w:rsid w:val="0045771B"/>
    <w:rsid w:val="004634CA"/>
    <w:rsid w:val="00464219"/>
    <w:rsid w:val="004649FA"/>
    <w:rsid w:val="0046589A"/>
    <w:rsid w:val="0046726B"/>
    <w:rsid w:val="004710D9"/>
    <w:rsid w:val="004727DC"/>
    <w:rsid w:val="00474416"/>
    <w:rsid w:val="004748FD"/>
    <w:rsid w:val="00475BCF"/>
    <w:rsid w:val="004805C0"/>
    <w:rsid w:val="004821B3"/>
    <w:rsid w:val="00483902"/>
    <w:rsid w:val="00483912"/>
    <w:rsid w:val="00484C66"/>
    <w:rsid w:val="00486860"/>
    <w:rsid w:val="00486CD2"/>
    <w:rsid w:val="0048738A"/>
    <w:rsid w:val="00487D7C"/>
    <w:rsid w:val="004910EF"/>
    <w:rsid w:val="004914DF"/>
    <w:rsid w:val="00491DEB"/>
    <w:rsid w:val="00494C24"/>
    <w:rsid w:val="00495421"/>
    <w:rsid w:val="00495A6D"/>
    <w:rsid w:val="00497F1B"/>
    <w:rsid w:val="004A14D9"/>
    <w:rsid w:val="004A2A69"/>
    <w:rsid w:val="004A2E4E"/>
    <w:rsid w:val="004A6282"/>
    <w:rsid w:val="004A751A"/>
    <w:rsid w:val="004B1F1E"/>
    <w:rsid w:val="004B5280"/>
    <w:rsid w:val="004B7CC2"/>
    <w:rsid w:val="004B7EC9"/>
    <w:rsid w:val="004C461D"/>
    <w:rsid w:val="004C4D2E"/>
    <w:rsid w:val="004C4E11"/>
    <w:rsid w:val="004C5E02"/>
    <w:rsid w:val="004C69AF"/>
    <w:rsid w:val="004C6A41"/>
    <w:rsid w:val="004C6E57"/>
    <w:rsid w:val="004D0D3D"/>
    <w:rsid w:val="004D18ED"/>
    <w:rsid w:val="004D4712"/>
    <w:rsid w:val="004D5A80"/>
    <w:rsid w:val="004D6B8D"/>
    <w:rsid w:val="004E0EEE"/>
    <w:rsid w:val="004E29E4"/>
    <w:rsid w:val="004E32D9"/>
    <w:rsid w:val="004E3A6C"/>
    <w:rsid w:val="004E3A8A"/>
    <w:rsid w:val="004E468B"/>
    <w:rsid w:val="004E48B3"/>
    <w:rsid w:val="004E5A7B"/>
    <w:rsid w:val="004F090C"/>
    <w:rsid w:val="004F13B6"/>
    <w:rsid w:val="004F3354"/>
    <w:rsid w:val="004F4281"/>
    <w:rsid w:val="004F4C7E"/>
    <w:rsid w:val="004F5DE1"/>
    <w:rsid w:val="004F6323"/>
    <w:rsid w:val="00500C90"/>
    <w:rsid w:val="00500E82"/>
    <w:rsid w:val="0050191A"/>
    <w:rsid w:val="00502707"/>
    <w:rsid w:val="00502A9A"/>
    <w:rsid w:val="0050369C"/>
    <w:rsid w:val="0050405B"/>
    <w:rsid w:val="0050407C"/>
    <w:rsid w:val="005048D5"/>
    <w:rsid w:val="00504A49"/>
    <w:rsid w:val="00504DE5"/>
    <w:rsid w:val="0050501C"/>
    <w:rsid w:val="005052D9"/>
    <w:rsid w:val="00505469"/>
    <w:rsid w:val="00506F09"/>
    <w:rsid w:val="00507F05"/>
    <w:rsid w:val="00510707"/>
    <w:rsid w:val="005134B0"/>
    <w:rsid w:val="00513F82"/>
    <w:rsid w:val="00514646"/>
    <w:rsid w:val="005151B2"/>
    <w:rsid w:val="00515EC4"/>
    <w:rsid w:val="005218FF"/>
    <w:rsid w:val="00521CD6"/>
    <w:rsid w:val="005221F7"/>
    <w:rsid w:val="00522304"/>
    <w:rsid w:val="005227CE"/>
    <w:rsid w:val="0052296D"/>
    <w:rsid w:val="0052318F"/>
    <w:rsid w:val="00523F9F"/>
    <w:rsid w:val="0052573D"/>
    <w:rsid w:val="00527484"/>
    <w:rsid w:val="00527501"/>
    <w:rsid w:val="00527B5C"/>
    <w:rsid w:val="005326E4"/>
    <w:rsid w:val="005331F3"/>
    <w:rsid w:val="00535468"/>
    <w:rsid w:val="00536F35"/>
    <w:rsid w:val="0053783E"/>
    <w:rsid w:val="0054053A"/>
    <w:rsid w:val="00541B12"/>
    <w:rsid w:val="00545279"/>
    <w:rsid w:val="005454DE"/>
    <w:rsid w:val="00545C53"/>
    <w:rsid w:val="005473D8"/>
    <w:rsid w:val="005477C0"/>
    <w:rsid w:val="00547A0F"/>
    <w:rsid w:val="00547C19"/>
    <w:rsid w:val="005508C3"/>
    <w:rsid w:val="005523B6"/>
    <w:rsid w:val="0055446B"/>
    <w:rsid w:val="00555296"/>
    <w:rsid w:val="00555C3A"/>
    <w:rsid w:val="0055701A"/>
    <w:rsid w:val="00557124"/>
    <w:rsid w:val="0056419F"/>
    <w:rsid w:val="00564384"/>
    <w:rsid w:val="00565537"/>
    <w:rsid w:val="00570BF1"/>
    <w:rsid w:val="005725B0"/>
    <w:rsid w:val="005729E4"/>
    <w:rsid w:val="00576272"/>
    <w:rsid w:val="005817BC"/>
    <w:rsid w:val="0058617A"/>
    <w:rsid w:val="00587D1A"/>
    <w:rsid w:val="005906B6"/>
    <w:rsid w:val="00592831"/>
    <w:rsid w:val="00593B48"/>
    <w:rsid w:val="005940DE"/>
    <w:rsid w:val="00595EF8"/>
    <w:rsid w:val="005962FF"/>
    <w:rsid w:val="0059676A"/>
    <w:rsid w:val="00596A19"/>
    <w:rsid w:val="00597203"/>
    <w:rsid w:val="005A0CDC"/>
    <w:rsid w:val="005A1004"/>
    <w:rsid w:val="005A3684"/>
    <w:rsid w:val="005A376B"/>
    <w:rsid w:val="005A54F1"/>
    <w:rsid w:val="005B0E8A"/>
    <w:rsid w:val="005B101A"/>
    <w:rsid w:val="005B1993"/>
    <w:rsid w:val="005B2B9B"/>
    <w:rsid w:val="005B348A"/>
    <w:rsid w:val="005B4D28"/>
    <w:rsid w:val="005B6C3D"/>
    <w:rsid w:val="005B7C8D"/>
    <w:rsid w:val="005C09EE"/>
    <w:rsid w:val="005C189D"/>
    <w:rsid w:val="005C1D13"/>
    <w:rsid w:val="005C2D9B"/>
    <w:rsid w:val="005C3FA5"/>
    <w:rsid w:val="005C45B3"/>
    <w:rsid w:val="005C4B52"/>
    <w:rsid w:val="005C5931"/>
    <w:rsid w:val="005C60D8"/>
    <w:rsid w:val="005C73E2"/>
    <w:rsid w:val="005C7937"/>
    <w:rsid w:val="005D1E6B"/>
    <w:rsid w:val="005D2281"/>
    <w:rsid w:val="005D3951"/>
    <w:rsid w:val="005D3E01"/>
    <w:rsid w:val="005D4697"/>
    <w:rsid w:val="005D4923"/>
    <w:rsid w:val="005D71B5"/>
    <w:rsid w:val="005E04FC"/>
    <w:rsid w:val="005E1896"/>
    <w:rsid w:val="005E213E"/>
    <w:rsid w:val="005E24D3"/>
    <w:rsid w:val="005E2BB7"/>
    <w:rsid w:val="005E58AF"/>
    <w:rsid w:val="005F2DE3"/>
    <w:rsid w:val="005F5F52"/>
    <w:rsid w:val="005F7B4B"/>
    <w:rsid w:val="00601E28"/>
    <w:rsid w:val="00602244"/>
    <w:rsid w:val="00605345"/>
    <w:rsid w:val="00605C06"/>
    <w:rsid w:val="006072C9"/>
    <w:rsid w:val="00610395"/>
    <w:rsid w:val="00611196"/>
    <w:rsid w:val="00613085"/>
    <w:rsid w:val="00613509"/>
    <w:rsid w:val="0061403B"/>
    <w:rsid w:val="00615FFE"/>
    <w:rsid w:val="0061655B"/>
    <w:rsid w:val="0061757B"/>
    <w:rsid w:val="00620520"/>
    <w:rsid w:val="006207BE"/>
    <w:rsid w:val="00620D30"/>
    <w:rsid w:val="006210DB"/>
    <w:rsid w:val="006211DD"/>
    <w:rsid w:val="0062255A"/>
    <w:rsid w:val="00622815"/>
    <w:rsid w:val="0062305B"/>
    <w:rsid w:val="006238FE"/>
    <w:rsid w:val="00627C39"/>
    <w:rsid w:val="0063090C"/>
    <w:rsid w:val="006331AD"/>
    <w:rsid w:val="0063457F"/>
    <w:rsid w:val="00635D56"/>
    <w:rsid w:val="006373AC"/>
    <w:rsid w:val="00637E7E"/>
    <w:rsid w:val="00637FA2"/>
    <w:rsid w:val="006412FF"/>
    <w:rsid w:val="00643226"/>
    <w:rsid w:val="00650547"/>
    <w:rsid w:val="00652CC8"/>
    <w:rsid w:val="00653D49"/>
    <w:rsid w:val="00653DC0"/>
    <w:rsid w:val="00653E20"/>
    <w:rsid w:val="00653EEE"/>
    <w:rsid w:val="006554EC"/>
    <w:rsid w:val="00656CB9"/>
    <w:rsid w:val="00657C27"/>
    <w:rsid w:val="006600C4"/>
    <w:rsid w:val="00661D43"/>
    <w:rsid w:val="00662E41"/>
    <w:rsid w:val="006630EE"/>
    <w:rsid w:val="0066346E"/>
    <w:rsid w:val="00663F15"/>
    <w:rsid w:val="00664BF2"/>
    <w:rsid w:val="00666B03"/>
    <w:rsid w:val="00667DB4"/>
    <w:rsid w:val="00670779"/>
    <w:rsid w:val="00671C3E"/>
    <w:rsid w:val="00672D9B"/>
    <w:rsid w:val="0067324C"/>
    <w:rsid w:val="0067395C"/>
    <w:rsid w:val="00674A5A"/>
    <w:rsid w:val="00674BCB"/>
    <w:rsid w:val="00680989"/>
    <w:rsid w:val="006818C9"/>
    <w:rsid w:val="00681E76"/>
    <w:rsid w:val="006822FA"/>
    <w:rsid w:val="0068451F"/>
    <w:rsid w:val="0068485B"/>
    <w:rsid w:val="00684BCD"/>
    <w:rsid w:val="00686006"/>
    <w:rsid w:val="00686327"/>
    <w:rsid w:val="00686F79"/>
    <w:rsid w:val="00692393"/>
    <w:rsid w:val="00693A52"/>
    <w:rsid w:val="0069752F"/>
    <w:rsid w:val="006A0578"/>
    <w:rsid w:val="006A07E6"/>
    <w:rsid w:val="006A4EF7"/>
    <w:rsid w:val="006A5CCF"/>
    <w:rsid w:val="006A677D"/>
    <w:rsid w:val="006A6EE9"/>
    <w:rsid w:val="006A71CA"/>
    <w:rsid w:val="006B07E0"/>
    <w:rsid w:val="006B1C54"/>
    <w:rsid w:val="006B33CC"/>
    <w:rsid w:val="006B4701"/>
    <w:rsid w:val="006C0188"/>
    <w:rsid w:val="006C10D8"/>
    <w:rsid w:val="006C1477"/>
    <w:rsid w:val="006C1505"/>
    <w:rsid w:val="006C401B"/>
    <w:rsid w:val="006C4818"/>
    <w:rsid w:val="006C4CD4"/>
    <w:rsid w:val="006C5A7F"/>
    <w:rsid w:val="006C5FDB"/>
    <w:rsid w:val="006C61EE"/>
    <w:rsid w:val="006D1792"/>
    <w:rsid w:val="006D2611"/>
    <w:rsid w:val="006D6470"/>
    <w:rsid w:val="006D6B3C"/>
    <w:rsid w:val="006D7D22"/>
    <w:rsid w:val="006E0301"/>
    <w:rsid w:val="006E37AE"/>
    <w:rsid w:val="006E4959"/>
    <w:rsid w:val="006E6779"/>
    <w:rsid w:val="006F091D"/>
    <w:rsid w:val="006F1164"/>
    <w:rsid w:val="006F31D1"/>
    <w:rsid w:val="006F5BA6"/>
    <w:rsid w:val="006F60BB"/>
    <w:rsid w:val="0070083B"/>
    <w:rsid w:val="007010A3"/>
    <w:rsid w:val="007053E4"/>
    <w:rsid w:val="0070760D"/>
    <w:rsid w:val="00707BCB"/>
    <w:rsid w:val="00710404"/>
    <w:rsid w:val="007105BA"/>
    <w:rsid w:val="00711C0C"/>
    <w:rsid w:val="00712F42"/>
    <w:rsid w:val="00713758"/>
    <w:rsid w:val="00713E05"/>
    <w:rsid w:val="00715471"/>
    <w:rsid w:val="00715B67"/>
    <w:rsid w:val="00716BB1"/>
    <w:rsid w:val="007176F0"/>
    <w:rsid w:val="00721191"/>
    <w:rsid w:val="0072181D"/>
    <w:rsid w:val="00721A86"/>
    <w:rsid w:val="00722AA9"/>
    <w:rsid w:val="00723534"/>
    <w:rsid w:val="00723D34"/>
    <w:rsid w:val="00724BAC"/>
    <w:rsid w:val="0072644F"/>
    <w:rsid w:val="007267FB"/>
    <w:rsid w:val="00726C42"/>
    <w:rsid w:val="00733586"/>
    <w:rsid w:val="00733AF9"/>
    <w:rsid w:val="007353FC"/>
    <w:rsid w:val="00735CB1"/>
    <w:rsid w:val="00736F3D"/>
    <w:rsid w:val="007370D5"/>
    <w:rsid w:val="00740F23"/>
    <w:rsid w:val="00742C4A"/>
    <w:rsid w:val="007430A6"/>
    <w:rsid w:val="00744E46"/>
    <w:rsid w:val="007459E6"/>
    <w:rsid w:val="007462CF"/>
    <w:rsid w:val="00747E68"/>
    <w:rsid w:val="007525AF"/>
    <w:rsid w:val="00752A20"/>
    <w:rsid w:val="00753D8C"/>
    <w:rsid w:val="007548B2"/>
    <w:rsid w:val="00754D95"/>
    <w:rsid w:val="00757C44"/>
    <w:rsid w:val="00760470"/>
    <w:rsid w:val="007604A1"/>
    <w:rsid w:val="00763FD1"/>
    <w:rsid w:val="007666BD"/>
    <w:rsid w:val="00766B5B"/>
    <w:rsid w:val="00766B6F"/>
    <w:rsid w:val="00766E36"/>
    <w:rsid w:val="00770F35"/>
    <w:rsid w:val="007712AD"/>
    <w:rsid w:val="00774B3A"/>
    <w:rsid w:val="00776349"/>
    <w:rsid w:val="007813CB"/>
    <w:rsid w:val="007821EF"/>
    <w:rsid w:val="00782BB7"/>
    <w:rsid w:val="00785B83"/>
    <w:rsid w:val="00785C30"/>
    <w:rsid w:val="00786270"/>
    <w:rsid w:val="00787F74"/>
    <w:rsid w:val="00790202"/>
    <w:rsid w:val="007910D1"/>
    <w:rsid w:val="007927FB"/>
    <w:rsid w:val="00793BE7"/>
    <w:rsid w:val="00793C16"/>
    <w:rsid w:val="007940D6"/>
    <w:rsid w:val="00794A4D"/>
    <w:rsid w:val="007968F2"/>
    <w:rsid w:val="00797449"/>
    <w:rsid w:val="007976E9"/>
    <w:rsid w:val="007A0755"/>
    <w:rsid w:val="007A0833"/>
    <w:rsid w:val="007A1470"/>
    <w:rsid w:val="007A1553"/>
    <w:rsid w:val="007A2316"/>
    <w:rsid w:val="007A50F3"/>
    <w:rsid w:val="007A6064"/>
    <w:rsid w:val="007B393B"/>
    <w:rsid w:val="007B3996"/>
    <w:rsid w:val="007B3E14"/>
    <w:rsid w:val="007B562F"/>
    <w:rsid w:val="007B6508"/>
    <w:rsid w:val="007B6877"/>
    <w:rsid w:val="007C437A"/>
    <w:rsid w:val="007C609B"/>
    <w:rsid w:val="007C7DC6"/>
    <w:rsid w:val="007D1435"/>
    <w:rsid w:val="007D2D6F"/>
    <w:rsid w:val="007D345C"/>
    <w:rsid w:val="007D6B5B"/>
    <w:rsid w:val="007D7F62"/>
    <w:rsid w:val="007E0EC8"/>
    <w:rsid w:val="007E2269"/>
    <w:rsid w:val="007E3458"/>
    <w:rsid w:val="007E36AF"/>
    <w:rsid w:val="007E3A16"/>
    <w:rsid w:val="007E3D10"/>
    <w:rsid w:val="007E5491"/>
    <w:rsid w:val="007E5A5B"/>
    <w:rsid w:val="007E6537"/>
    <w:rsid w:val="007F08A8"/>
    <w:rsid w:val="007F10A8"/>
    <w:rsid w:val="007F1B92"/>
    <w:rsid w:val="007F2C86"/>
    <w:rsid w:val="007F33A5"/>
    <w:rsid w:val="007F3E42"/>
    <w:rsid w:val="007F4BAF"/>
    <w:rsid w:val="007F5EF5"/>
    <w:rsid w:val="00800E00"/>
    <w:rsid w:val="0080454F"/>
    <w:rsid w:val="008056F1"/>
    <w:rsid w:val="00805BB8"/>
    <w:rsid w:val="00805BD9"/>
    <w:rsid w:val="00806161"/>
    <w:rsid w:val="00807730"/>
    <w:rsid w:val="0081051B"/>
    <w:rsid w:val="00814E03"/>
    <w:rsid w:val="008155B7"/>
    <w:rsid w:val="00816672"/>
    <w:rsid w:val="008176DA"/>
    <w:rsid w:val="0082046B"/>
    <w:rsid w:val="00820B75"/>
    <w:rsid w:val="00822515"/>
    <w:rsid w:val="0082486D"/>
    <w:rsid w:val="00824A12"/>
    <w:rsid w:val="00825024"/>
    <w:rsid w:val="00826149"/>
    <w:rsid w:val="008305E1"/>
    <w:rsid w:val="008312DC"/>
    <w:rsid w:val="00834970"/>
    <w:rsid w:val="00834E57"/>
    <w:rsid w:val="008352BA"/>
    <w:rsid w:val="008366DF"/>
    <w:rsid w:val="00840D3D"/>
    <w:rsid w:val="008434A1"/>
    <w:rsid w:val="008443FB"/>
    <w:rsid w:val="00844613"/>
    <w:rsid w:val="008449AA"/>
    <w:rsid w:val="00847CF0"/>
    <w:rsid w:val="0085086D"/>
    <w:rsid w:val="00852165"/>
    <w:rsid w:val="00852810"/>
    <w:rsid w:val="00852A30"/>
    <w:rsid w:val="008552C0"/>
    <w:rsid w:val="008557B7"/>
    <w:rsid w:val="008558E7"/>
    <w:rsid w:val="0085768D"/>
    <w:rsid w:val="00857ED2"/>
    <w:rsid w:val="0086023B"/>
    <w:rsid w:val="00860434"/>
    <w:rsid w:val="00861A54"/>
    <w:rsid w:val="00864C80"/>
    <w:rsid w:val="008674C1"/>
    <w:rsid w:val="00867BE7"/>
    <w:rsid w:val="008706BA"/>
    <w:rsid w:val="00871164"/>
    <w:rsid w:val="00871E07"/>
    <w:rsid w:val="0087245E"/>
    <w:rsid w:val="00872B6F"/>
    <w:rsid w:val="0087558A"/>
    <w:rsid w:val="008770E3"/>
    <w:rsid w:val="00877F8E"/>
    <w:rsid w:val="00880D1F"/>
    <w:rsid w:val="00881012"/>
    <w:rsid w:val="008817FB"/>
    <w:rsid w:val="00882B5F"/>
    <w:rsid w:val="0088318A"/>
    <w:rsid w:val="00885855"/>
    <w:rsid w:val="008907BE"/>
    <w:rsid w:val="008931D4"/>
    <w:rsid w:val="00893859"/>
    <w:rsid w:val="00893FB9"/>
    <w:rsid w:val="008A0DCA"/>
    <w:rsid w:val="008A1B00"/>
    <w:rsid w:val="008A2117"/>
    <w:rsid w:val="008A30FB"/>
    <w:rsid w:val="008A3FD1"/>
    <w:rsid w:val="008A4529"/>
    <w:rsid w:val="008A7044"/>
    <w:rsid w:val="008A70BC"/>
    <w:rsid w:val="008A7407"/>
    <w:rsid w:val="008A75ED"/>
    <w:rsid w:val="008B20C0"/>
    <w:rsid w:val="008B4051"/>
    <w:rsid w:val="008B44F6"/>
    <w:rsid w:val="008B4E46"/>
    <w:rsid w:val="008B5489"/>
    <w:rsid w:val="008B5ADF"/>
    <w:rsid w:val="008C1293"/>
    <w:rsid w:val="008C152F"/>
    <w:rsid w:val="008C1EDC"/>
    <w:rsid w:val="008C26C5"/>
    <w:rsid w:val="008C43DD"/>
    <w:rsid w:val="008C47BA"/>
    <w:rsid w:val="008C4EB7"/>
    <w:rsid w:val="008C50D7"/>
    <w:rsid w:val="008C5B30"/>
    <w:rsid w:val="008C5B6C"/>
    <w:rsid w:val="008C5CBF"/>
    <w:rsid w:val="008C5D1C"/>
    <w:rsid w:val="008D080C"/>
    <w:rsid w:val="008D1059"/>
    <w:rsid w:val="008D1C27"/>
    <w:rsid w:val="008D3E70"/>
    <w:rsid w:val="008D6BD5"/>
    <w:rsid w:val="008D70B3"/>
    <w:rsid w:val="008E00B4"/>
    <w:rsid w:val="008E0267"/>
    <w:rsid w:val="008E1E91"/>
    <w:rsid w:val="008E2AC6"/>
    <w:rsid w:val="008E3315"/>
    <w:rsid w:val="008E3B03"/>
    <w:rsid w:val="008E3B5E"/>
    <w:rsid w:val="008E60C8"/>
    <w:rsid w:val="008F0D02"/>
    <w:rsid w:val="008F2129"/>
    <w:rsid w:val="008F357B"/>
    <w:rsid w:val="008F3780"/>
    <w:rsid w:val="008F4BE6"/>
    <w:rsid w:val="008F50F2"/>
    <w:rsid w:val="00900259"/>
    <w:rsid w:val="00900733"/>
    <w:rsid w:val="00900749"/>
    <w:rsid w:val="009010B9"/>
    <w:rsid w:val="00903192"/>
    <w:rsid w:val="00904094"/>
    <w:rsid w:val="009040B2"/>
    <w:rsid w:val="00905564"/>
    <w:rsid w:val="0090719E"/>
    <w:rsid w:val="00907415"/>
    <w:rsid w:val="00907805"/>
    <w:rsid w:val="00910BE5"/>
    <w:rsid w:val="00911758"/>
    <w:rsid w:val="00912022"/>
    <w:rsid w:val="00913A27"/>
    <w:rsid w:val="009142E0"/>
    <w:rsid w:val="00917FC0"/>
    <w:rsid w:val="00920495"/>
    <w:rsid w:val="00920801"/>
    <w:rsid w:val="009220A2"/>
    <w:rsid w:val="0092392C"/>
    <w:rsid w:val="00923D0A"/>
    <w:rsid w:val="009248A4"/>
    <w:rsid w:val="00924D18"/>
    <w:rsid w:val="00924D50"/>
    <w:rsid w:val="00926020"/>
    <w:rsid w:val="009272B1"/>
    <w:rsid w:val="009310CD"/>
    <w:rsid w:val="009313EF"/>
    <w:rsid w:val="00932EED"/>
    <w:rsid w:val="00933197"/>
    <w:rsid w:val="00934344"/>
    <w:rsid w:val="00937A70"/>
    <w:rsid w:val="00940247"/>
    <w:rsid w:val="00940296"/>
    <w:rsid w:val="009421A7"/>
    <w:rsid w:val="00942FF4"/>
    <w:rsid w:val="009466BD"/>
    <w:rsid w:val="00946BCD"/>
    <w:rsid w:val="00950563"/>
    <w:rsid w:val="00950618"/>
    <w:rsid w:val="00951EC1"/>
    <w:rsid w:val="00953544"/>
    <w:rsid w:val="00953C94"/>
    <w:rsid w:val="00954063"/>
    <w:rsid w:val="0095464B"/>
    <w:rsid w:val="0095675C"/>
    <w:rsid w:val="009579C4"/>
    <w:rsid w:val="00960121"/>
    <w:rsid w:val="00960914"/>
    <w:rsid w:val="009619B4"/>
    <w:rsid w:val="00961F95"/>
    <w:rsid w:val="00962C1C"/>
    <w:rsid w:val="00964BBC"/>
    <w:rsid w:val="0096555C"/>
    <w:rsid w:val="00970D57"/>
    <w:rsid w:val="009714D5"/>
    <w:rsid w:val="00975614"/>
    <w:rsid w:val="00975C1F"/>
    <w:rsid w:val="00975D75"/>
    <w:rsid w:val="00977AAA"/>
    <w:rsid w:val="009816E3"/>
    <w:rsid w:val="00982AD2"/>
    <w:rsid w:val="00982C90"/>
    <w:rsid w:val="009839A0"/>
    <w:rsid w:val="00983EE3"/>
    <w:rsid w:val="00985746"/>
    <w:rsid w:val="00985BD8"/>
    <w:rsid w:val="009868EF"/>
    <w:rsid w:val="009879ED"/>
    <w:rsid w:val="0099265F"/>
    <w:rsid w:val="00994C69"/>
    <w:rsid w:val="0099576E"/>
    <w:rsid w:val="00996706"/>
    <w:rsid w:val="00997B86"/>
    <w:rsid w:val="009A27E2"/>
    <w:rsid w:val="009A2C3A"/>
    <w:rsid w:val="009A3804"/>
    <w:rsid w:val="009A52C8"/>
    <w:rsid w:val="009A57C4"/>
    <w:rsid w:val="009A5905"/>
    <w:rsid w:val="009A6120"/>
    <w:rsid w:val="009B03B9"/>
    <w:rsid w:val="009B0934"/>
    <w:rsid w:val="009B0D0F"/>
    <w:rsid w:val="009B152D"/>
    <w:rsid w:val="009B2028"/>
    <w:rsid w:val="009B3290"/>
    <w:rsid w:val="009B433A"/>
    <w:rsid w:val="009B46D2"/>
    <w:rsid w:val="009B7643"/>
    <w:rsid w:val="009C095B"/>
    <w:rsid w:val="009C20F2"/>
    <w:rsid w:val="009C38CB"/>
    <w:rsid w:val="009C3B97"/>
    <w:rsid w:val="009C41A8"/>
    <w:rsid w:val="009C4A6C"/>
    <w:rsid w:val="009C519B"/>
    <w:rsid w:val="009C5B06"/>
    <w:rsid w:val="009C5CF2"/>
    <w:rsid w:val="009C5D0A"/>
    <w:rsid w:val="009C6376"/>
    <w:rsid w:val="009C6976"/>
    <w:rsid w:val="009C6E03"/>
    <w:rsid w:val="009C79E7"/>
    <w:rsid w:val="009D07A0"/>
    <w:rsid w:val="009D0800"/>
    <w:rsid w:val="009D0FC0"/>
    <w:rsid w:val="009D1CB7"/>
    <w:rsid w:val="009D2FDA"/>
    <w:rsid w:val="009D423C"/>
    <w:rsid w:val="009E0103"/>
    <w:rsid w:val="009E1776"/>
    <w:rsid w:val="009E184E"/>
    <w:rsid w:val="009E276F"/>
    <w:rsid w:val="009E2964"/>
    <w:rsid w:val="009E2A0C"/>
    <w:rsid w:val="009E2C86"/>
    <w:rsid w:val="009E51B1"/>
    <w:rsid w:val="009E56C4"/>
    <w:rsid w:val="009E665B"/>
    <w:rsid w:val="009E676B"/>
    <w:rsid w:val="009E67EE"/>
    <w:rsid w:val="009E7BAD"/>
    <w:rsid w:val="009F10AB"/>
    <w:rsid w:val="009F274E"/>
    <w:rsid w:val="009F35E8"/>
    <w:rsid w:val="009F5672"/>
    <w:rsid w:val="009F70E6"/>
    <w:rsid w:val="00A0136F"/>
    <w:rsid w:val="00A02301"/>
    <w:rsid w:val="00A03C23"/>
    <w:rsid w:val="00A05016"/>
    <w:rsid w:val="00A1256B"/>
    <w:rsid w:val="00A146C0"/>
    <w:rsid w:val="00A168AE"/>
    <w:rsid w:val="00A21BC8"/>
    <w:rsid w:val="00A22548"/>
    <w:rsid w:val="00A22A4D"/>
    <w:rsid w:val="00A241A6"/>
    <w:rsid w:val="00A26BB4"/>
    <w:rsid w:val="00A26CF1"/>
    <w:rsid w:val="00A30841"/>
    <w:rsid w:val="00A310E7"/>
    <w:rsid w:val="00A34038"/>
    <w:rsid w:val="00A350F8"/>
    <w:rsid w:val="00A3517B"/>
    <w:rsid w:val="00A353E7"/>
    <w:rsid w:val="00A355EB"/>
    <w:rsid w:val="00A36690"/>
    <w:rsid w:val="00A36B88"/>
    <w:rsid w:val="00A379F0"/>
    <w:rsid w:val="00A400A1"/>
    <w:rsid w:val="00A41368"/>
    <w:rsid w:val="00A41E23"/>
    <w:rsid w:val="00A41EC8"/>
    <w:rsid w:val="00A42042"/>
    <w:rsid w:val="00A427EB"/>
    <w:rsid w:val="00A448F6"/>
    <w:rsid w:val="00A476F5"/>
    <w:rsid w:val="00A47809"/>
    <w:rsid w:val="00A50928"/>
    <w:rsid w:val="00A50A8C"/>
    <w:rsid w:val="00A53083"/>
    <w:rsid w:val="00A548E0"/>
    <w:rsid w:val="00A564C2"/>
    <w:rsid w:val="00A57205"/>
    <w:rsid w:val="00A6083B"/>
    <w:rsid w:val="00A609CF"/>
    <w:rsid w:val="00A60E36"/>
    <w:rsid w:val="00A62901"/>
    <w:rsid w:val="00A63E20"/>
    <w:rsid w:val="00A64950"/>
    <w:rsid w:val="00A67C15"/>
    <w:rsid w:val="00A73111"/>
    <w:rsid w:val="00A73542"/>
    <w:rsid w:val="00A744A2"/>
    <w:rsid w:val="00A74930"/>
    <w:rsid w:val="00A75CBD"/>
    <w:rsid w:val="00A816C1"/>
    <w:rsid w:val="00A85763"/>
    <w:rsid w:val="00A8681B"/>
    <w:rsid w:val="00A87305"/>
    <w:rsid w:val="00A90C11"/>
    <w:rsid w:val="00A93877"/>
    <w:rsid w:val="00A958EC"/>
    <w:rsid w:val="00AA0CB9"/>
    <w:rsid w:val="00AA2427"/>
    <w:rsid w:val="00AA26D1"/>
    <w:rsid w:val="00AA2C01"/>
    <w:rsid w:val="00AA3EC4"/>
    <w:rsid w:val="00AA3F08"/>
    <w:rsid w:val="00AA4EA9"/>
    <w:rsid w:val="00AA6380"/>
    <w:rsid w:val="00AA6CB9"/>
    <w:rsid w:val="00AA6FBD"/>
    <w:rsid w:val="00AB32D3"/>
    <w:rsid w:val="00AB4D5F"/>
    <w:rsid w:val="00AB64F2"/>
    <w:rsid w:val="00AB75F7"/>
    <w:rsid w:val="00AB7CEC"/>
    <w:rsid w:val="00AC01EF"/>
    <w:rsid w:val="00AC0EEA"/>
    <w:rsid w:val="00AC1042"/>
    <w:rsid w:val="00AC14A6"/>
    <w:rsid w:val="00AC3293"/>
    <w:rsid w:val="00AC61B4"/>
    <w:rsid w:val="00AD04F7"/>
    <w:rsid w:val="00AD1E8D"/>
    <w:rsid w:val="00AD2C6C"/>
    <w:rsid w:val="00AD2D7B"/>
    <w:rsid w:val="00AD3A0F"/>
    <w:rsid w:val="00AD43A7"/>
    <w:rsid w:val="00AD4971"/>
    <w:rsid w:val="00AD5856"/>
    <w:rsid w:val="00AD65FA"/>
    <w:rsid w:val="00AE0E14"/>
    <w:rsid w:val="00AE348C"/>
    <w:rsid w:val="00AE390E"/>
    <w:rsid w:val="00AF1A41"/>
    <w:rsid w:val="00AF397B"/>
    <w:rsid w:val="00AF44C1"/>
    <w:rsid w:val="00AF59F0"/>
    <w:rsid w:val="00B00E09"/>
    <w:rsid w:val="00B027E1"/>
    <w:rsid w:val="00B029B4"/>
    <w:rsid w:val="00B037B0"/>
    <w:rsid w:val="00B06823"/>
    <w:rsid w:val="00B069D5"/>
    <w:rsid w:val="00B10690"/>
    <w:rsid w:val="00B10EC2"/>
    <w:rsid w:val="00B12B50"/>
    <w:rsid w:val="00B1320F"/>
    <w:rsid w:val="00B1325E"/>
    <w:rsid w:val="00B143A6"/>
    <w:rsid w:val="00B143D9"/>
    <w:rsid w:val="00B1487C"/>
    <w:rsid w:val="00B16CE0"/>
    <w:rsid w:val="00B17A58"/>
    <w:rsid w:val="00B200C8"/>
    <w:rsid w:val="00B20C9E"/>
    <w:rsid w:val="00B21D99"/>
    <w:rsid w:val="00B230E1"/>
    <w:rsid w:val="00B264D4"/>
    <w:rsid w:val="00B30FCD"/>
    <w:rsid w:val="00B3120F"/>
    <w:rsid w:val="00B31C38"/>
    <w:rsid w:val="00B33943"/>
    <w:rsid w:val="00B34E43"/>
    <w:rsid w:val="00B351BE"/>
    <w:rsid w:val="00B359B7"/>
    <w:rsid w:val="00B35DEA"/>
    <w:rsid w:val="00B370C5"/>
    <w:rsid w:val="00B4058D"/>
    <w:rsid w:val="00B405AC"/>
    <w:rsid w:val="00B411AA"/>
    <w:rsid w:val="00B43045"/>
    <w:rsid w:val="00B4326B"/>
    <w:rsid w:val="00B432DE"/>
    <w:rsid w:val="00B43D57"/>
    <w:rsid w:val="00B46094"/>
    <w:rsid w:val="00B465D4"/>
    <w:rsid w:val="00B47F49"/>
    <w:rsid w:val="00B5081F"/>
    <w:rsid w:val="00B51BFF"/>
    <w:rsid w:val="00B52ACF"/>
    <w:rsid w:val="00B5412A"/>
    <w:rsid w:val="00B54400"/>
    <w:rsid w:val="00B55A67"/>
    <w:rsid w:val="00B56026"/>
    <w:rsid w:val="00B56277"/>
    <w:rsid w:val="00B564EB"/>
    <w:rsid w:val="00B5785C"/>
    <w:rsid w:val="00B60192"/>
    <w:rsid w:val="00B605DC"/>
    <w:rsid w:val="00B6226E"/>
    <w:rsid w:val="00B62462"/>
    <w:rsid w:val="00B624CA"/>
    <w:rsid w:val="00B63D38"/>
    <w:rsid w:val="00B669AF"/>
    <w:rsid w:val="00B66E71"/>
    <w:rsid w:val="00B670B5"/>
    <w:rsid w:val="00B67D27"/>
    <w:rsid w:val="00B76012"/>
    <w:rsid w:val="00B76A9A"/>
    <w:rsid w:val="00B820D6"/>
    <w:rsid w:val="00B827B0"/>
    <w:rsid w:val="00B838B3"/>
    <w:rsid w:val="00B8478B"/>
    <w:rsid w:val="00B91113"/>
    <w:rsid w:val="00B9224A"/>
    <w:rsid w:val="00B92D81"/>
    <w:rsid w:val="00B94FEA"/>
    <w:rsid w:val="00B962F0"/>
    <w:rsid w:val="00BA0BFD"/>
    <w:rsid w:val="00BA1451"/>
    <w:rsid w:val="00BA30D8"/>
    <w:rsid w:val="00BA3778"/>
    <w:rsid w:val="00BA654F"/>
    <w:rsid w:val="00BB0CB1"/>
    <w:rsid w:val="00BB0DA1"/>
    <w:rsid w:val="00BB24B1"/>
    <w:rsid w:val="00BB2DCA"/>
    <w:rsid w:val="00BB322A"/>
    <w:rsid w:val="00BB35DD"/>
    <w:rsid w:val="00BB3DAD"/>
    <w:rsid w:val="00BB45DB"/>
    <w:rsid w:val="00BB64C6"/>
    <w:rsid w:val="00BB6556"/>
    <w:rsid w:val="00BC26DB"/>
    <w:rsid w:val="00BC2A00"/>
    <w:rsid w:val="00BC5ADA"/>
    <w:rsid w:val="00BC5DBA"/>
    <w:rsid w:val="00BD0F90"/>
    <w:rsid w:val="00BD165F"/>
    <w:rsid w:val="00BD263C"/>
    <w:rsid w:val="00BD33A0"/>
    <w:rsid w:val="00BD67B2"/>
    <w:rsid w:val="00BD7C8D"/>
    <w:rsid w:val="00BD7CD4"/>
    <w:rsid w:val="00BE0EA7"/>
    <w:rsid w:val="00BE0F1F"/>
    <w:rsid w:val="00BE110D"/>
    <w:rsid w:val="00BE17D7"/>
    <w:rsid w:val="00BE1806"/>
    <w:rsid w:val="00BE2ED3"/>
    <w:rsid w:val="00BE3341"/>
    <w:rsid w:val="00BE4480"/>
    <w:rsid w:val="00BE56F6"/>
    <w:rsid w:val="00BE6750"/>
    <w:rsid w:val="00BE6BB5"/>
    <w:rsid w:val="00BE6C95"/>
    <w:rsid w:val="00BE70DD"/>
    <w:rsid w:val="00BE7378"/>
    <w:rsid w:val="00BE73D4"/>
    <w:rsid w:val="00BE7A05"/>
    <w:rsid w:val="00BF04CA"/>
    <w:rsid w:val="00BF2AF7"/>
    <w:rsid w:val="00BF437C"/>
    <w:rsid w:val="00BF5AF4"/>
    <w:rsid w:val="00BF6FEB"/>
    <w:rsid w:val="00C00FE8"/>
    <w:rsid w:val="00C0126D"/>
    <w:rsid w:val="00C013BF"/>
    <w:rsid w:val="00C03227"/>
    <w:rsid w:val="00C0744B"/>
    <w:rsid w:val="00C10214"/>
    <w:rsid w:val="00C10CA4"/>
    <w:rsid w:val="00C11BFF"/>
    <w:rsid w:val="00C13470"/>
    <w:rsid w:val="00C14FD3"/>
    <w:rsid w:val="00C152C3"/>
    <w:rsid w:val="00C15477"/>
    <w:rsid w:val="00C15820"/>
    <w:rsid w:val="00C17CE4"/>
    <w:rsid w:val="00C21964"/>
    <w:rsid w:val="00C21E55"/>
    <w:rsid w:val="00C22237"/>
    <w:rsid w:val="00C22823"/>
    <w:rsid w:val="00C24242"/>
    <w:rsid w:val="00C242A0"/>
    <w:rsid w:val="00C243C9"/>
    <w:rsid w:val="00C251FC"/>
    <w:rsid w:val="00C25539"/>
    <w:rsid w:val="00C27DA6"/>
    <w:rsid w:val="00C311FD"/>
    <w:rsid w:val="00C34D88"/>
    <w:rsid w:val="00C36B97"/>
    <w:rsid w:val="00C36BE7"/>
    <w:rsid w:val="00C37F4D"/>
    <w:rsid w:val="00C41318"/>
    <w:rsid w:val="00C416DF"/>
    <w:rsid w:val="00C43C78"/>
    <w:rsid w:val="00C45D84"/>
    <w:rsid w:val="00C4623E"/>
    <w:rsid w:val="00C471AF"/>
    <w:rsid w:val="00C479DA"/>
    <w:rsid w:val="00C525C0"/>
    <w:rsid w:val="00C52FA4"/>
    <w:rsid w:val="00C531CB"/>
    <w:rsid w:val="00C538A7"/>
    <w:rsid w:val="00C549DA"/>
    <w:rsid w:val="00C5584E"/>
    <w:rsid w:val="00C5587E"/>
    <w:rsid w:val="00C56286"/>
    <w:rsid w:val="00C57EA9"/>
    <w:rsid w:val="00C618E4"/>
    <w:rsid w:val="00C639EA"/>
    <w:rsid w:val="00C65B0B"/>
    <w:rsid w:val="00C66FCD"/>
    <w:rsid w:val="00C67964"/>
    <w:rsid w:val="00C72EB0"/>
    <w:rsid w:val="00C73E99"/>
    <w:rsid w:val="00C76FDE"/>
    <w:rsid w:val="00C77DFC"/>
    <w:rsid w:val="00C80AEE"/>
    <w:rsid w:val="00C80D77"/>
    <w:rsid w:val="00C82596"/>
    <w:rsid w:val="00C82DA3"/>
    <w:rsid w:val="00C85B91"/>
    <w:rsid w:val="00C85C75"/>
    <w:rsid w:val="00C8636D"/>
    <w:rsid w:val="00C869B2"/>
    <w:rsid w:val="00C903BF"/>
    <w:rsid w:val="00C92004"/>
    <w:rsid w:val="00C93F39"/>
    <w:rsid w:val="00C957D8"/>
    <w:rsid w:val="00C95C12"/>
    <w:rsid w:val="00C9714F"/>
    <w:rsid w:val="00C97E59"/>
    <w:rsid w:val="00CA306B"/>
    <w:rsid w:val="00CA515F"/>
    <w:rsid w:val="00CA6FAA"/>
    <w:rsid w:val="00CA7505"/>
    <w:rsid w:val="00CA7B89"/>
    <w:rsid w:val="00CA7EAE"/>
    <w:rsid w:val="00CB1EC8"/>
    <w:rsid w:val="00CB4076"/>
    <w:rsid w:val="00CB597B"/>
    <w:rsid w:val="00CB73B1"/>
    <w:rsid w:val="00CC0BA4"/>
    <w:rsid w:val="00CC3BD2"/>
    <w:rsid w:val="00CC57CC"/>
    <w:rsid w:val="00CC5A8F"/>
    <w:rsid w:val="00CC5B87"/>
    <w:rsid w:val="00CC6CB2"/>
    <w:rsid w:val="00CD10EA"/>
    <w:rsid w:val="00CD1E71"/>
    <w:rsid w:val="00CD235A"/>
    <w:rsid w:val="00CD4BBC"/>
    <w:rsid w:val="00CD6D84"/>
    <w:rsid w:val="00CD7F15"/>
    <w:rsid w:val="00CE263E"/>
    <w:rsid w:val="00CE34BA"/>
    <w:rsid w:val="00CE3E55"/>
    <w:rsid w:val="00CE520E"/>
    <w:rsid w:val="00CE5422"/>
    <w:rsid w:val="00CE66B8"/>
    <w:rsid w:val="00CF1CA5"/>
    <w:rsid w:val="00CF45DC"/>
    <w:rsid w:val="00CF553B"/>
    <w:rsid w:val="00CF59F5"/>
    <w:rsid w:val="00CF5A67"/>
    <w:rsid w:val="00D0098E"/>
    <w:rsid w:val="00D019A2"/>
    <w:rsid w:val="00D022CE"/>
    <w:rsid w:val="00D034D5"/>
    <w:rsid w:val="00D10DDA"/>
    <w:rsid w:val="00D10F7F"/>
    <w:rsid w:val="00D1351A"/>
    <w:rsid w:val="00D14975"/>
    <w:rsid w:val="00D172ED"/>
    <w:rsid w:val="00D21EB5"/>
    <w:rsid w:val="00D22542"/>
    <w:rsid w:val="00D249CB"/>
    <w:rsid w:val="00D24D97"/>
    <w:rsid w:val="00D33BCE"/>
    <w:rsid w:val="00D35747"/>
    <w:rsid w:val="00D36BF7"/>
    <w:rsid w:val="00D36F04"/>
    <w:rsid w:val="00D4060D"/>
    <w:rsid w:val="00D412C1"/>
    <w:rsid w:val="00D4264C"/>
    <w:rsid w:val="00D44059"/>
    <w:rsid w:val="00D451BA"/>
    <w:rsid w:val="00D5047C"/>
    <w:rsid w:val="00D524EA"/>
    <w:rsid w:val="00D54C64"/>
    <w:rsid w:val="00D56C76"/>
    <w:rsid w:val="00D57F29"/>
    <w:rsid w:val="00D6321E"/>
    <w:rsid w:val="00D632DF"/>
    <w:rsid w:val="00D67F3A"/>
    <w:rsid w:val="00D712EC"/>
    <w:rsid w:val="00D72163"/>
    <w:rsid w:val="00D74228"/>
    <w:rsid w:val="00D7482C"/>
    <w:rsid w:val="00D74E50"/>
    <w:rsid w:val="00D75394"/>
    <w:rsid w:val="00D81521"/>
    <w:rsid w:val="00D81DF8"/>
    <w:rsid w:val="00D8203E"/>
    <w:rsid w:val="00D82F00"/>
    <w:rsid w:val="00D838C1"/>
    <w:rsid w:val="00D844D5"/>
    <w:rsid w:val="00D84E70"/>
    <w:rsid w:val="00D85342"/>
    <w:rsid w:val="00D87E53"/>
    <w:rsid w:val="00D92345"/>
    <w:rsid w:val="00D947A6"/>
    <w:rsid w:val="00D94DFB"/>
    <w:rsid w:val="00D94E18"/>
    <w:rsid w:val="00D959DC"/>
    <w:rsid w:val="00D95E9A"/>
    <w:rsid w:val="00D96023"/>
    <w:rsid w:val="00DA0046"/>
    <w:rsid w:val="00DA3256"/>
    <w:rsid w:val="00DA4620"/>
    <w:rsid w:val="00DA5E83"/>
    <w:rsid w:val="00DA794F"/>
    <w:rsid w:val="00DB1EA8"/>
    <w:rsid w:val="00DB23D1"/>
    <w:rsid w:val="00DB36EC"/>
    <w:rsid w:val="00DB3721"/>
    <w:rsid w:val="00DB6351"/>
    <w:rsid w:val="00DB6550"/>
    <w:rsid w:val="00DB6B36"/>
    <w:rsid w:val="00DC06FF"/>
    <w:rsid w:val="00DC07BD"/>
    <w:rsid w:val="00DC2CB6"/>
    <w:rsid w:val="00DC3AD3"/>
    <w:rsid w:val="00DC3F48"/>
    <w:rsid w:val="00DC5131"/>
    <w:rsid w:val="00DC52D9"/>
    <w:rsid w:val="00DC538D"/>
    <w:rsid w:val="00DC601A"/>
    <w:rsid w:val="00DC679D"/>
    <w:rsid w:val="00DC6FFD"/>
    <w:rsid w:val="00DC769A"/>
    <w:rsid w:val="00DC7F54"/>
    <w:rsid w:val="00DD0248"/>
    <w:rsid w:val="00DD0417"/>
    <w:rsid w:val="00DD047F"/>
    <w:rsid w:val="00DD05DD"/>
    <w:rsid w:val="00DD0C1F"/>
    <w:rsid w:val="00DD0F30"/>
    <w:rsid w:val="00DD456D"/>
    <w:rsid w:val="00DD467A"/>
    <w:rsid w:val="00DD49E9"/>
    <w:rsid w:val="00DD5900"/>
    <w:rsid w:val="00DD5DAE"/>
    <w:rsid w:val="00DD697A"/>
    <w:rsid w:val="00DD6A5E"/>
    <w:rsid w:val="00DD7357"/>
    <w:rsid w:val="00DE0CA2"/>
    <w:rsid w:val="00DE2A45"/>
    <w:rsid w:val="00DE3974"/>
    <w:rsid w:val="00DE3D57"/>
    <w:rsid w:val="00DE58F0"/>
    <w:rsid w:val="00DE5B38"/>
    <w:rsid w:val="00DE6059"/>
    <w:rsid w:val="00DE7A53"/>
    <w:rsid w:val="00DE7FC9"/>
    <w:rsid w:val="00DF14ED"/>
    <w:rsid w:val="00DF43BD"/>
    <w:rsid w:val="00DF54BC"/>
    <w:rsid w:val="00DF7209"/>
    <w:rsid w:val="00E0055A"/>
    <w:rsid w:val="00E04546"/>
    <w:rsid w:val="00E04E7D"/>
    <w:rsid w:val="00E055C0"/>
    <w:rsid w:val="00E0628F"/>
    <w:rsid w:val="00E07069"/>
    <w:rsid w:val="00E10789"/>
    <w:rsid w:val="00E109A2"/>
    <w:rsid w:val="00E135F0"/>
    <w:rsid w:val="00E16EF4"/>
    <w:rsid w:val="00E20A78"/>
    <w:rsid w:val="00E21232"/>
    <w:rsid w:val="00E2123F"/>
    <w:rsid w:val="00E242A4"/>
    <w:rsid w:val="00E24E52"/>
    <w:rsid w:val="00E2556B"/>
    <w:rsid w:val="00E26846"/>
    <w:rsid w:val="00E2746A"/>
    <w:rsid w:val="00E31CB5"/>
    <w:rsid w:val="00E32E08"/>
    <w:rsid w:val="00E3565E"/>
    <w:rsid w:val="00E36F1B"/>
    <w:rsid w:val="00E40051"/>
    <w:rsid w:val="00E4261A"/>
    <w:rsid w:val="00E4308F"/>
    <w:rsid w:val="00E43116"/>
    <w:rsid w:val="00E43A2B"/>
    <w:rsid w:val="00E43D79"/>
    <w:rsid w:val="00E4528C"/>
    <w:rsid w:val="00E454A4"/>
    <w:rsid w:val="00E4567B"/>
    <w:rsid w:val="00E46612"/>
    <w:rsid w:val="00E47E2E"/>
    <w:rsid w:val="00E50045"/>
    <w:rsid w:val="00E5007E"/>
    <w:rsid w:val="00E5236F"/>
    <w:rsid w:val="00E524D1"/>
    <w:rsid w:val="00E554E2"/>
    <w:rsid w:val="00E6210B"/>
    <w:rsid w:val="00E6244E"/>
    <w:rsid w:val="00E66088"/>
    <w:rsid w:val="00E66449"/>
    <w:rsid w:val="00E67339"/>
    <w:rsid w:val="00E70273"/>
    <w:rsid w:val="00E706A1"/>
    <w:rsid w:val="00E755FF"/>
    <w:rsid w:val="00E77398"/>
    <w:rsid w:val="00E81953"/>
    <w:rsid w:val="00E82100"/>
    <w:rsid w:val="00E84B52"/>
    <w:rsid w:val="00E87665"/>
    <w:rsid w:val="00E878FD"/>
    <w:rsid w:val="00E90986"/>
    <w:rsid w:val="00E909E2"/>
    <w:rsid w:val="00E9194C"/>
    <w:rsid w:val="00E91A12"/>
    <w:rsid w:val="00E9368C"/>
    <w:rsid w:val="00E93AB9"/>
    <w:rsid w:val="00E96FC2"/>
    <w:rsid w:val="00E97079"/>
    <w:rsid w:val="00E979FD"/>
    <w:rsid w:val="00EA0130"/>
    <w:rsid w:val="00EA05BA"/>
    <w:rsid w:val="00EA1818"/>
    <w:rsid w:val="00EA55A6"/>
    <w:rsid w:val="00EA6049"/>
    <w:rsid w:val="00EA635F"/>
    <w:rsid w:val="00EA684D"/>
    <w:rsid w:val="00EB0195"/>
    <w:rsid w:val="00EB066C"/>
    <w:rsid w:val="00EB23FA"/>
    <w:rsid w:val="00EB2CF5"/>
    <w:rsid w:val="00EB48E3"/>
    <w:rsid w:val="00EB4C8F"/>
    <w:rsid w:val="00EB5758"/>
    <w:rsid w:val="00EB6688"/>
    <w:rsid w:val="00EC327C"/>
    <w:rsid w:val="00EC3308"/>
    <w:rsid w:val="00EC3C78"/>
    <w:rsid w:val="00EC5615"/>
    <w:rsid w:val="00EC60E0"/>
    <w:rsid w:val="00EC60F6"/>
    <w:rsid w:val="00ED005E"/>
    <w:rsid w:val="00ED0C90"/>
    <w:rsid w:val="00ED17F8"/>
    <w:rsid w:val="00ED1BAB"/>
    <w:rsid w:val="00ED376C"/>
    <w:rsid w:val="00ED3BA4"/>
    <w:rsid w:val="00ED4346"/>
    <w:rsid w:val="00ED4582"/>
    <w:rsid w:val="00ED483B"/>
    <w:rsid w:val="00ED4A3D"/>
    <w:rsid w:val="00ED500F"/>
    <w:rsid w:val="00ED53F0"/>
    <w:rsid w:val="00ED71E8"/>
    <w:rsid w:val="00EE109C"/>
    <w:rsid w:val="00EE1116"/>
    <w:rsid w:val="00EE3BC8"/>
    <w:rsid w:val="00EE3EBF"/>
    <w:rsid w:val="00EE3F5B"/>
    <w:rsid w:val="00EE40D9"/>
    <w:rsid w:val="00EE4AF1"/>
    <w:rsid w:val="00EE4E2F"/>
    <w:rsid w:val="00EF0190"/>
    <w:rsid w:val="00EF062E"/>
    <w:rsid w:val="00EF1A6A"/>
    <w:rsid w:val="00EF25B4"/>
    <w:rsid w:val="00EF3D31"/>
    <w:rsid w:val="00F00482"/>
    <w:rsid w:val="00F005AA"/>
    <w:rsid w:val="00F01315"/>
    <w:rsid w:val="00F01EEE"/>
    <w:rsid w:val="00F03D07"/>
    <w:rsid w:val="00F072AD"/>
    <w:rsid w:val="00F1036D"/>
    <w:rsid w:val="00F10C65"/>
    <w:rsid w:val="00F13ACE"/>
    <w:rsid w:val="00F172D8"/>
    <w:rsid w:val="00F20A3A"/>
    <w:rsid w:val="00F22F3D"/>
    <w:rsid w:val="00F24812"/>
    <w:rsid w:val="00F24902"/>
    <w:rsid w:val="00F24E8F"/>
    <w:rsid w:val="00F26F6C"/>
    <w:rsid w:val="00F27825"/>
    <w:rsid w:val="00F27848"/>
    <w:rsid w:val="00F27999"/>
    <w:rsid w:val="00F31042"/>
    <w:rsid w:val="00F31A69"/>
    <w:rsid w:val="00F32587"/>
    <w:rsid w:val="00F32F04"/>
    <w:rsid w:val="00F344D3"/>
    <w:rsid w:val="00F35C92"/>
    <w:rsid w:val="00F367CF"/>
    <w:rsid w:val="00F40882"/>
    <w:rsid w:val="00F41850"/>
    <w:rsid w:val="00F41B60"/>
    <w:rsid w:val="00F45484"/>
    <w:rsid w:val="00F457C8"/>
    <w:rsid w:val="00F4591C"/>
    <w:rsid w:val="00F549B2"/>
    <w:rsid w:val="00F60482"/>
    <w:rsid w:val="00F6066B"/>
    <w:rsid w:val="00F60DEA"/>
    <w:rsid w:val="00F62C5C"/>
    <w:rsid w:val="00F630A4"/>
    <w:rsid w:val="00F63E37"/>
    <w:rsid w:val="00F65E97"/>
    <w:rsid w:val="00F66182"/>
    <w:rsid w:val="00F66E5C"/>
    <w:rsid w:val="00F71322"/>
    <w:rsid w:val="00F71EC5"/>
    <w:rsid w:val="00F735ED"/>
    <w:rsid w:val="00F74A7D"/>
    <w:rsid w:val="00F77D4B"/>
    <w:rsid w:val="00F81C84"/>
    <w:rsid w:val="00F842D0"/>
    <w:rsid w:val="00F85108"/>
    <w:rsid w:val="00F85164"/>
    <w:rsid w:val="00F90BB8"/>
    <w:rsid w:val="00F90E06"/>
    <w:rsid w:val="00F91F9A"/>
    <w:rsid w:val="00F97FE3"/>
    <w:rsid w:val="00FA1F4A"/>
    <w:rsid w:val="00FA20F9"/>
    <w:rsid w:val="00FA5F9D"/>
    <w:rsid w:val="00FA6084"/>
    <w:rsid w:val="00FA61A1"/>
    <w:rsid w:val="00FA620A"/>
    <w:rsid w:val="00FA72CF"/>
    <w:rsid w:val="00FA7470"/>
    <w:rsid w:val="00FA7BC9"/>
    <w:rsid w:val="00FA7E10"/>
    <w:rsid w:val="00FB02DE"/>
    <w:rsid w:val="00FB0D48"/>
    <w:rsid w:val="00FB23BF"/>
    <w:rsid w:val="00FB24DF"/>
    <w:rsid w:val="00FB34D2"/>
    <w:rsid w:val="00FB3863"/>
    <w:rsid w:val="00FB70EB"/>
    <w:rsid w:val="00FC16CD"/>
    <w:rsid w:val="00FC1CF4"/>
    <w:rsid w:val="00FC252A"/>
    <w:rsid w:val="00FC2C2C"/>
    <w:rsid w:val="00FC644F"/>
    <w:rsid w:val="00FC650A"/>
    <w:rsid w:val="00FD0E5B"/>
    <w:rsid w:val="00FD1A73"/>
    <w:rsid w:val="00FD31E9"/>
    <w:rsid w:val="00FD5DA1"/>
    <w:rsid w:val="00FD79D4"/>
    <w:rsid w:val="00FE1A32"/>
    <w:rsid w:val="00FE20B5"/>
    <w:rsid w:val="00FE2204"/>
    <w:rsid w:val="00FE39B8"/>
    <w:rsid w:val="00FE5C2D"/>
    <w:rsid w:val="00FE6577"/>
    <w:rsid w:val="00FE744E"/>
    <w:rsid w:val="00FF1726"/>
    <w:rsid w:val="00FF1FFE"/>
    <w:rsid w:val="00FF25A8"/>
    <w:rsid w:val="00FF39C7"/>
    <w:rsid w:val="00FF701E"/>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70961B"/>
  <w15:chartTrackingRefBased/>
  <w15:docId w15:val="{F04277D0-7F7E-4D56-BF56-00601A34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62C"/>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2230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22304"/>
    <w:rPr>
      <w:rFonts w:ascii="Palatino Linotype" w:hAnsi="Palatino Linotype"/>
      <w:noProof/>
      <w:color w:val="000000"/>
      <w:szCs w:val="18"/>
    </w:rPr>
  </w:style>
  <w:style w:type="paragraph" w:styleId="Header">
    <w:name w:val="header"/>
    <w:basedOn w:val="Normal"/>
    <w:link w:val="HeaderCh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1070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1070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187A46"/>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22304"/>
    <w:rPr>
      <w:rFonts w:cs="Tahoma"/>
      <w:szCs w:val="18"/>
    </w:rPr>
  </w:style>
  <w:style w:type="character" w:customStyle="1" w:styleId="BalloonTextChar">
    <w:name w:val="Balloon Text Char"/>
    <w:link w:val="BalloonText"/>
    <w:uiPriority w:val="99"/>
    <w:rsid w:val="00522304"/>
    <w:rPr>
      <w:rFonts w:ascii="Palatino Linotype" w:hAnsi="Palatino Linotype" w:cs="Tahoma"/>
      <w:noProof/>
      <w:color w:val="000000"/>
      <w:szCs w:val="18"/>
    </w:rPr>
  </w:style>
  <w:style w:type="character" w:styleId="LineNumber">
    <w:name w:val="line number"/>
    <w:uiPriority w:val="99"/>
    <w:rsid w:val="00284BEB"/>
    <w:rPr>
      <w:rFonts w:ascii="Palatino Linotype" w:hAnsi="Palatino Linotype"/>
      <w:sz w:val="16"/>
    </w:rPr>
  </w:style>
  <w:style w:type="table" w:customStyle="1" w:styleId="MDPI41threelinetable">
    <w:name w:val="MDPI_4.1_three_line_table"/>
    <w:basedOn w:val="Table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22304"/>
    <w:rPr>
      <w:color w:val="0000FF"/>
      <w:u w:val="single"/>
    </w:rPr>
  </w:style>
  <w:style w:type="character" w:styleId="UnresolvedMention">
    <w:name w:val="Unresolved Mention"/>
    <w:uiPriority w:val="99"/>
    <w:semiHidden/>
    <w:unhideWhenUsed/>
    <w:rsid w:val="00C243C9"/>
    <w:rPr>
      <w:color w:val="605E5C"/>
      <w:shd w:val="clear" w:color="auto" w:fill="E1DFDD"/>
    </w:rPr>
  </w:style>
  <w:style w:type="table" w:styleId="PlainTable4">
    <w:name w:val="Plain Table 4"/>
    <w:basedOn w:val="Table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06442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2872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phy">
    <w:name w:val="Bibliography"/>
    <w:basedOn w:val="Normal"/>
    <w:next w:val="Normal"/>
    <w:uiPriority w:val="37"/>
    <w:unhideWhenUsed/>
    <w:rsid w:val="00522304"/>
    <w:pPr>
      <w:tabs>
        <w:tab w:val="left" w:pos="384"/>
      </w:tabs>
      <w:spacing w:after="240" w:line="240" w:lineRule="atLeast"/>
      <w:ind w:left="384" w:hanging="384"/>
    </w:pPr>
  </w:style>
  <w:style w:type="paragraph" w:styleId="BodyText">
    <w:name w:val="Body Text"/>
    <w:link w:val="BodyTextChar"/>
    <w:rsid w:val="0052230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22304"/>
    <w:rPr>
      <w:rFonts w:ascii="Palatino Linotype" w:hAnsi="Palatino Linotype"/>
      <w:color w:val="000000"/>
      <w:sz w:val="24"/>
      <w:lang w:eastAsia="de-DE"/>
    </w:rPr>
  </w:style>
  <w:style w:type="character" w:styleId="CommentReference">
    <w:name w:val="annotation reference"/>
    <w:rsid w:val="00522304"/>
    <w:rPr>
      <w:sz w:val="21"/>
      <w:szCs w:val="21"/>
    </w:rPr>
  </w:style>
  <w:style w:type="paragraph" w:styleId="CommentText">
    <w:name w:val="annotation text"/>
    <w:basedOn w:val="Normal"/>
    <w:link w:val="CommentTextChar"/>
    <w:rsid w:val="00522304"/>
  </w:style>
  <w:style w:type="character" w:customStyle="1" w:styleId="CommentTextChar">
    <w:name w:val="Comment Text Char"/>
    <w:link w:val="CommentText"/>
    <w:rsid w:val="00522304"/>
    <w:rPr>
      <w:rFonts w:ascii="Palatino Linotype" w:hAnsi="Palatino Linotype"/>
      <w:noProof/>
      <w:color w:val="000000"/>
    </w:rPr>
  </w:style>
  <w:style w:type="paragraph" w:styleId="CommentSubject">
    <w:name w:val="annotation subject"/>
    <w:basedOn w:val="CommentText"/>
    <w:next w:val="CommentText"/>
    <w:link w:val="CommentSubjectChar"/>
    <w:rsid w:val="00522304"/>
    <w:rPr>
      <w:b/>
      <w:bCs/>
    </w:rPr>
  </w:style>
  <w:style w:type="character" w:customStyle="1" w:styleId="CommentSubjectChar">
    <w:name w:val="Comment Subject Char"/>
    <w:link w:val="CommentSubject"/>
    <w:rsid w:val="00522304"/>
    <w:rPr>
      <w:rFonts w:ascii="Palatino Linotype" w:hAnsi="Palatino Linotype"/>
      <w:b/>
      <w:bCs/>
      <w:noProof/>
      <w:color w:val="000000"/>
    </w:rPr>
  </w:style>
  <w:style w:type="character" w:styleId="EndnoteReference">
    <w:name w:val="endnote reference"/>
    <w:rsid w:val="00522304"/>
    <w:rPr>
      <w:vertAlign w:val="superscript"/>
    </w:rPr>
  </w:style>
  <w:style w:type="paragraph" w:styleId="EndnoteText">
    <w:name w:val="endnote text"/>
    <w:basedOn w:val="Normal"/>
    <w:link w:val="EndnoteTextChar"/>
    <w:semiHidden/>
    <w:unhideWhenUsed/>
    <w:rsid w:val="00522304"/>
    <w:pPr>
      <w:spacing w:line="240" w:lineRule="auto"/>
    </w:pPr>
  </w:style>
  <w:style w:type="character" w:customStyle="1" w:styleId="EndnoteTextChar">
    <w:name w:val="Endnote Text Char"/>
    <w:link w:val="EndnoteText"/>
    <w:semiHidden/>
    <w:rsid w:val="00522304"/>
    <w:rPr>
      <w:rFonts w:ascii="Palatino Linotype" w:hAnsi="Palatino Linotype"/>
      <w:noProof/>
      <w:color w:val="000000"/>
    </w:rPr>
  </w:style>
  <w:style w:type="character" w:styleId="FollowedHyperlink">
    <w:name w:val="FollowedHyperlink"/>
    <w:rsid w:val="00522304"/>
    <w:rPr>
      <w:color w:val="954F72"/>
      <w:u w:val="single"/>
    </w:rPr>
  </w:style>
  <w:style w:type="paragraph" w:styleId="FootnoteText">
    <w:name w:val="footnote text"/>
    <w:basedOn w:val="Normal"/>
    <w:link w:val="FootnoteTextChar"/>
    <w:semiHidden/>
    <w:unhideWhenUsed/>
    <w:rsid w:val="00522304"/>
    <w:pPr>
      <w:spacing w:line="240" w:lineRule="auto"/>
    </w:pPr>
  </w:style>
  <w:style w:type="character" w:customStyle="1" w:styleId="FootnoteTextChar">
    <w:name w:val="Footnote Text Char"/>
    <w:link w:val="FootnoteText"/>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PageNumber">
    <w:name w:val="page number"/>
    <w:rsid w:val="00522304"/>
  </w:style>
  <w:style w:type="character" w:styleId="PlaceholderText">
    <w:name w:val="Placeholder Text"/>
    <w:uiPriority w:val="99"/>
    <w:semiHidden/>
    <w:rsid w:val="00522304"/>
    <w:rPr>
      <w:color w:val="808080"/>
    </w:rPr>
  </w:style>
  <w:style w:type="paragraph" w:customStyle="1" w:styleId="MDPI71FootNotes">
    <w:name w:val="MDPI_7.1_FootNotes"/>
    <w:qFormat/>
    <w:rsid w:val="00262314"/>
    <w:pPr>
      <w:numPr>
        <w:numId w:val="21"/>
      </w:numPr>
      <w:adjustRightInd w:val="0"/>
      <w:snapToGrid w:val="0"/>
      <w:spacing w:line="228" w:lineRule="auto"/>
    </w:pPr>
    <w:rPr>
      <w:rFonts w:ascii="Palatino Linotype" w:eastAsiaTheme="minorEastAsia" w:hAnsi="Palatino Linotype"/>
      <w:noProof/>
      <w:color w:val="000000"/>
      <w:sz w:val="18"/>
    </w:rPr>
  </w:style>
  <w:style w:type="table" w:styleId="PlainTable2">
    <w:name w:val="Plain Table 2"/>
    <w:basedOn w:val="TableNormal"/>
    <w:uiPriority w:val="42"/>
    <w:rsid w:val="00FD1A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14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B44F6"/>
    <w:pPr>
      <w:spacing w:after="160" w:line="259" w:lineRule="auto"/>
      <w:ind w:left="720"/>
      <w:contextualSpacing/>
      <w:jc w:val="left"/>
    </w:pPr>
    <w:rPr>
      <w:rFonts w:asciiTheme="minorHAnsi" w:eastAsiaTheme="minorHAnsi" w:hAnsiTheme="minorHAnsi" w:cstheme="minorBidi"/>
      <w:noProof w:val="0"/>
      <w:color w:val="auto"/>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924231">
      <w:bodyDiv w:val="1"/>
      <w:marLeft w:val="0"/>
      <w:marRight w:val="0"/>
      <w:marTop w:val="0"/>
      <w:marBottom w:val="0"/>
      <w:divBdr>
        <w:top w:val="none" w:sz="0" w:space="0" w:color="auto"/>
        <w:left w:val="none" w:sz="0" w:space="0" w:color="auto"/>
        <w:bottom w:val="none" w:sz="0" w:space="0" w:color="auto"/>
        <w:right w:val="none" w:sz="0" w:space="0" w:color="auto"/>
      </w:divBdr>
    </w:div>
    <w:div w:id="1578399710">
      <w:bodyDiv w:val="1"/>
      <w:marLeft w:val="0"/>
      <w:marRight w:val="0"/>
      <w:marTop w:val="0"/>
      <w:marBottom w:val="0"/>
      <w:divBdr>
        <w:top w:val="none" w:sz="0" w:space="0" w:color="auto"/>
        <w:left w:val="none" w:sz="0" w:space="0" w:color="auto"/>
        <w:bottom w:val="none" w:sz="0" w:space="0" w:color="auto"/>
        <w:right w:val="none" w:sz="0" w:space="0" w:color="auto"/>
      </w:divBdr>
    </w:div>
    <w:div w:id="195559994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win%20Anthony%20Le&#243;n\Downloads\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F7FD-D75B-4DBF-94CF-5D603C5B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ijerph-template.dot</Template>
  <TotalTime>1</TotalTime>
  <Pages>4</Pages>
  <Words>11992</Words>
  <Characters>68356</Characters>
  <Application>Microsoft Office Word</Application>
  <DocSecurity>0</DocSecurity>
  <Lines>569</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80188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Darwin Anthony León</dc:creator>
  <cp:keywords/>
  <dc:description/>
  <cp:lastModifiedBy>Rohit Pandey</cp:lastModifiedBy>
  <cp:revision>2</cp:revision>
  <cp:lastPrinted>2023-08-24T10:06:00Z</cp:lastPrinted>
  <dcterms:created xsi:type="dcterms:W3CDTF">2023-09-27T17:16:00Z</dcterms:created>
  <dcterms:modified xsi:type="dcterms:W3CDTF">2023-09-27T17:16:00Z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id="bCkNkxfz"/&gt;&lt;style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