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A2AF3" w14:textId="77777777" w:rsidR="009C74D2" w:rsidRDefault="009C74D2" w:rsidP="009C74D2">
      <w:pPr>
        <w:autoSpaceDE w:val="0"/>
        <w:autoSpaceDN w:val="0"/>
      </w:pPr>
    </w:p>
    <w:p w14:paraId="728E68E4" w14:textId="77777777" w:rsidR="009C74D2" w:rsidRDefault="009C74D2" w:rsidP="009C74D2">
      <w:pPr>
        <w:autoSpaceDE w:val="0"/>
        <w:autoSpaceDN w:val="0"/>
      </w:pPr>
    </w:p>
    <w:p w14:paraId="5C5AF102" w14:textId="55D2FFEC" w:rsidR="009C74D2" w:rsidRDefault="009C74D2" w:rsidP="009C74D2">
      <w:pPr>
        <w:autoSpaceDE w:val="0"/>
        <w:autoSpaceDN w:val="0"/>
        <w:jc w:val="center"/>
      </w:pPr>
      <w:r>
        <w:rPr>
          <w:noProof/>
        </w:rPr>
        <w:drawing>
          <wp:inline distT="0" distB="0" distL="0" distR="0" wp14:anchorId="7424EAB0" wp14:editId="6B6326C3">
            <wp:extent cx="2959735" cy="1553845"/>
            <wp:effectExtent l="0" t="0" r="0" b="8255"/>
            <wp:docPr id="3" name="Picture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未标题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CAF12" w14:textId="77777777" w:rsidR="009C74D2" w:rsidRDefault="009C74D2" w:rsidP="009C74D2">
      <w:pPr>
        <w:autoSpaceDE w:val="0"/>
        <w:autoSpaceDN w:val="0"/>
        <w:jc w:val="center"/>
      </w:pPr>
    </w:p>
    <w:p w14:paraId="58351B1B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Supplementary Fig</w:t>
      </w:r>
      <w:r>
        <w:rPr>
          <w:rFonts w:ascii="Times New Roman" w:hAnsi="Times New Roman"/>
          <w:b/>
          <w:bCs/>
          <w:spacing w:val="10"/>
          <w:kern w:val="0"/>
          <w:szCs w:val="18"/>
        </w:rPr>
        <w:t xml:space="preserve">ure </w:t>
      </w: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1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: Purified CD14+ monocytes (n=8) were treated with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TNF-α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,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IL-1β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, and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IL-6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 (50 ng/ml) for 24h</w:t>
      </w:r>
      <w:r>
        <w:rPr>
          <w:rFonts w:ascii="Times New Roman" w:hAnsi="Times New Roman"/>
          <w:spacing w:val="10"/>
          <w:kern w:val="0"/>
          <w:szCs w:val="18"/>
        </w:rPr>
        <w:t xml:space="preserve">. 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The expression of CFH in RA-FLS and OA-FLS stimulated with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TNF-α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,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IL-1β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, and </w:t>
      </w:r>
      <w:r>
        <w:rPr>
          <w:rFonts w:ascii="Times New Roman" w:eastAsia="Arial" w:hAnsi="Times New Roman"/>
          <w:spacing w:val="10"/>
          <w:kern w:val="0"/>
          <w:szCs w:val="18"/>
          <w:lang w:eastAsia="en-US"/>
        </w:rPr>
        <w:t>IL-6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 detected by qPCR</w:t>
      </w:r>
      <w:r>
        <w:rPr>
          <w:rFonts w:ascii="Times New Roman" w:hAnsi="Times New Roman"/>
          <w:spacing w:val="10"/>
          <w:kern w:val="0"/>
          <w:szCs w:val="18"/>
        </w:rPr>
        <w:t xml:space="preserve">. </w:t>
      </w:r>
      <w:r>
        <w:rPr>
          <w:rFonts w:ascii="Times New Roman" w:eastAsia="Arial" w:hAnsi="Times New Roman"/>
          <w:spacing w:val="10"/>
          <w:kern w:val="0"/>
          <w:szCs w:val="18"/>
        </w:rPr>
        <w:t>Data are expressed as mean ± SEM</w:t>
      </w:r>
      <w:r>
        <w:rPr>
          <w:rFonts w:ascii="Times New Roman" w:hAnsi="Times New Roman"/>
          <w:spacing w:val="10"/>
          <w:kern w:val="0"/>
          <w:szCs w:val="18"/>
        </w:rPr>
        <w:t xml:space="preserve"> (n=6)</w:t>
      </w:r>
      <w:r>
        <w:rPr>
          <w:rFonts w:ascii="Times New Roman" w:eastAsia="Arial" w:hAnsi="Times New Roman"/>
          <w:spacing w:val="10"/>
          <w:kern w:val="0"/>
          <w:szCs w:val="18"/>
        </w:rPr>
        <w:t>. *p &lt; 0.05.</w:t>
      </w:r>
    </w:p>
    <w:p w14:paraId="085DC549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</w:p>
    <w:p w14:paraId="10663945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</w:p>
    <w:p w14:paraId="3CAFC4F0" w14:textId="77777777" w:rsidR="009C74D2" w:rsidRDefault="009C74D2" w:rsidP="009C74D2">
      <w:pPr>
        <w:tabs>
          <w:tab w:val="left" w:pos="1432"/>
        </w:tabs>
        <w:autoSpaceDE w:val="0"/>
        <w:autoSpaceDN w:val="0"/>
        <w:jc w:val="left"/>
        <w:rPr>
          <w:sz w:val="28"/>
        </w:rPr>
      </w:pPr>
    </w:p>
    <w:p w14:paraId="3E22FFDB" w14:textId="4E955186" w:rsidR="009C74D2" w:rsidRDefault="009C74D2" w:rsidP="009C74D2">
      <w:pPr>
        <w:tabs>
          <w:tab w:val="left" w:pos="1432"/>
        </w:tabs>
        <w:autoSpaceDE w:val="0"/>
        <w:autoSpaceDN w:val="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74C5F71" wp14:editId="302D229B">
            <wp:extent cx="2933700" cy="1522095"/>
            <wp:effectExtent l="0" t="0" r="0" b="1905"/>
            <wp:docPr id="2" name="Picture 2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未标题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E5823" w14:textId="77777777" w:rsidR="009C74D2" w:rsidRDefault="009C74D2" w:rsidP="009C74D2">
      <w:pPr>
        <w:tabs>
          <w:tab w:val="left" w:pos="1432"/>
        </w:tabs>
        <w:autoSpaceDE w:val="0"/>
        <w:autoSpaceDN w:val="0"/>
        <w:jc w:val="center"/>
        <w:rPr>
          <w:sz w:val="28"/>
        </w:rPr>
      </w:pPr>
    </w:p>
    <w:p w14:paraId="24481FEB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Supplementary Fig</w:t>
      </w:r>
      <w:r>
        <w:rPr>
          <w:rFonts w:ascii="Times New Roman" w:hAnsi="Times New Roman"/>
          <w:b/>
          <w:bCs/>
          <w:spacing w:val="10"/>
          <w:kern w:val="0"/>
          <w:szCs w:val="18"/>
        </w:rPr>
        <w:t xml:space="preserve">ure </w:t>
      </w: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2: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 Cells were treated with TNF-α</w:t>
      </w:r>
      <w:r>
        <w:rPr>
          <w:rFonts w:ascii="MS Gothic" w:eastAsia="MS Gothic" w:hAnsi="MS Gothic" w:cs="MS Gothic" w:hint="eastAsia"/>
          <w:spacing w:val="10"/>
          <w:kern w:val="0"/>
          <w:szCs w:val="18"/>
        </w:rPr>
        <w:t>（</w:t>
      </w:r>
      <w:r>
        <w:rPr>
          <w:rFonts w:ascii="Times New Roman" w:eastAsia="Arial" w:hAnsi="Times New Roman"/>
          <w:spacing w:val="10"/>
          <w:kern w:val="0"/>
          <w:szCs w:val="18"/>
        </w:rPr>
        <w:t>50ng/ml</w:t>
      </w:r>
      <w:r>
        <w:rPr>
          <w:rFonts w:ascii="MS Gothic" w:eastAsia="MS Gothic" w:hAnsi="MS Gothic" w:cs="MS Gothic" w:hint="eastAsia"/>
          <w:spacing w:val="10"/>
          <w:kern w:val="0"/>
          <w:szCs w:val="18"/>
        </w:rPr>
        <w:t>）</w:t>
      </w:r>
      <w:r>
        <w:rPr>
          <w:rFonts w:ascii="Times New Roman" w:eastAsia="Arial" w:hAnsi="Times New Roman"/>
          <w:spacing w:val="10"/>
          <w:kern w:val="0"/>
          <w:szCs w:val="18"/>
        </w:rPr>
        <w:t>or TNF-α</w:t>
      </w:r>
      <w:r>
        <w:rPr>
          <w:rFonts w:ascii="MS Gothic" w:eastAsia="MS Gothic" w:hAnsi="MS Gothic" w:cs="MS Gothic" w:hint="eastAsia"/>
          <w:spacing w:val="10"/>
          <w:kern w:val="0"/>
          <w:szCs w:val="18"/>
        </w:rPr>
        <w:t>（</w:t>
      </w:r>
      <w:r>
        <w:rPr>
          <w:rFonts w:ascii="Times New Roman" w:eastAsia="Arial" w:hAnsi="Times New Roman"/>
          <w:spacing w:val="10"/>
          <w:kern w:val="0"/>
          <w:szCs w:val="18"/>
        </w:rPr>
        <w:t>50ng/ml</w:t>
      </w:r>
      <w:r>
        <w:rPr>
          <w:rFonts w:ascii="MS Gothic" w:eastAsia="MS Gothic" w:hAnsi="MS Gothic" w:cs="MS Gothic" w:hint="eastAsia"/>
          <w:spacing w:val="10"/>
          <w:kern w:val="0"/>
          <w:szCs w:val="18"/>
        </w:rPr>
        <w:t>）</w:t>
      </w:r>
      <w:r>
        <w:rPr>
          <w:rFonts w:ascii="Times New Roman" w:eastAsia="Arial" w:hAnsi="Times New Roman"/>
          <w:spacing w:val="10"/>
          <w:kern w:val="0"/>
          <w:szCs w:val="18"/>
        </w:rPr>
        <w:t>+CFH (5μg/ml) or CFH (5μg/ml) for 24 h. The CCK-8 assay was used to detect cell viability</w:t>
      </w:r>
      <w:r>
        <w:rPr>
          <w:rFonts w:ascii="Times New Roman" w:hAnsi="Times New Roman"/>
          <w:spacing w:val="10"/>
          <w:kern w:val="0"/>
          <w:szCs w:val="18"/>
        </w:rPr>
        <w:t xml:space="preserve">. </w:t>
      </w:r>
      <w:r>
        <w:rPr>
          <w:rFonts w:ascii="Times New Roman" w:eastAsia="Arial" w:hAnsi="Times New Roman"/>
          <w:spacing w:val="10"/>
          <w:kern w:val="0"/>
          <w:szCs w:val="18"/>
        </w:rPr>
        <w:t>Data are expressed as mean ± SEM</w:t>
      </w:r>
      <w:r>
        <w:rPr>
          <w:rFonts w:ascii="Times New Roman" w:hAnsi="Times New Roman"/>
          <w:spacing w:val="10"/>
          <w:kern w:val="0"/>
          <w:szCs w:val="18"/>
        </w:rPr>
        <w:t xml:space="preserve"> (n=6)</w:t>
      </w:r>
      <w:r>
        <w:rPr>
          <w:rFonts w:ascii="Times New Roman" w:eastAsia="Arial" w:hAnsi="Times New Roman"/>
          <w:spacing w:val="10"/>
          <w:kern w:val="0"/>
          <w:szCs w:val="18"/>
        </w:rPr>
        <w:t xml:space="preserve">.   </w:t>
      </w:r>
    </w:p>
    <w:p w14:paraId="7DFD2EBE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</w:p>
    <w:p w14:paraId="74F72DF3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</w:p>
    <w:p w14:paraId="49AAB817" w14:textId="086130AB" w:rsidR="009C74D2" w:rsidRDefault="009C74D2" w:rsidP="009C74D2">
      <w:pPr>
        <w:widowControl/>
        <w:autoSpaceDE w:val="0"/>
        <w:autoSpaceDN w:val="0"/>
        <w:jc w:val="center"/>
        <w:rPr>
          <w:rFonts w:ascii="Times New Roman" w:hAnsi="Times New Roman"/>
          <w:spacing w:val="10"/>
          <w:kern w:val="0"/>
          <w:szCs w:val="18"/>
        </w:rPr>
      </w:pPr>
      <w:r>
        <w:rPr>
          <w:rFonts w:ascii="Times New Roman" w:hAnsi="Times New Roman"/>
          <w:noProof/>
          <w:spacing w:val="10"/>
          <w:kern w:val="0"/>
          <w:szCs w:val="18"/>
        </w:rPr>
        <w:drawing>
          <wp:inline distT="0" distB="0" distL="0" distR="0" wp14:anchorId="57F6557B" wp14:editId="2058C3ED">
            <wp:extent cx="5417820" cy="1617345"/>
            <wp:effectExtent l="0" t="0" r="0" b="1905"/>
            <wp:docPr id="1" name="Picture 1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未标题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52B17" w14:textId="77777777" w:rsidR="009C74D2" w:rsidRDefault="009C74D2" w:rsidP="009C74D2">
      <w:pPr>
        <w:widowControl/>
        <w:autoSpaceDE w:val="0"/>
        <w:autoSpaceDN w:val="0"/>
        <w:jc w:val="center"/>
        <w:rPr>
          <w:rFonts w:ascii="Times New Roman" w:hAnsi="Times New Roman"/>
          <w:spacing w:val="10"/>
          <w:kern w:val="0"/>
          <w:szCs w:val="18"/>
        </w:rPr>
      </w:pPr>
    </w:p>
    <w:p w14:paraId="0532D7F1" w14:textId="77777777" w:rsidR="009C74D2" w:rsidRDefault="009C74D2" w:rsidP="009C74D2">
      <w:pPr>
        <w:widowControl/>
        <w:autoSpaceDE w:val="0"/>
        <w:autoSpaceDN w:val="0"/>
        <w:rPr>
          <w:rFonts w:ascii="Times New Roman" w:hAnsi="Times New Roman"/>
          <w:spacing w:val="10"/>
          <w:kern w:val="0"/>
          <w:szCs w:val="18"/>
        </w:rPr>
      </w:pP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Supplementary Fig</w:t>
      </w:r>
      <w:r>
        <w:rPr>
          <w:rFonts w:ascii="Times New Roman" w:hAnsi="Times New Roman"/>
          <w:b/>
          <w:bCs/>
          <w:spacing w:val="10"/>
          <w:kern w:val="0"/>
          <w:szCs w:val="18"/>
        </w:rPr>
        <w:t xml:space="preserve">ure </w:t>
      </w:r>
      <w:r>
        <w:rPr>
          <w:rFonts w:ascii="Times New Roman" w:eastAsia="Arial" w:hAnsi="Times New Roman"/>
          <w:b/>
          <w:bCs/>
          <w:spacing w:val="10"/>
          <w:kern w:val="0"/>
          <w:szCs w:val="18"/>
        </w:rPr>
        <w:t>3</w:t>
      </w:r>
      <w:r>
        <w:rPr>
          <w:rFonts w:ascii="Times New Roman" w:hAnsi="Times New Roman"/>
          <w:b/>
          <w:bCs/>
          <w:spacing w:val="10"/>
          <w:kern w:val="0"/>
          <w:szCs w:val="18"/>
        </w:rPr>
        <w:t>:</w:t>
      </w:r>
      <w:r>
        <w:rPr>
          <w:rFonts w:ascii="Times New Roman" w:hAnsi="Times New Roman"/>
          <w:spacing w:val="10"/>
          <w:kern w:val="0"/>
          <w:szCs w:val="18"/>
        </w:rPr>
        <w:t xml:space="preserve"> </w:t>
      </w:r>
      <w:r>
        <w:rPr>
          <w:rFonts w:ascii="Times New Roman" w:eastAsia="Arial" w:hAnsi="Times New Roman"/>
          <w:spacing w:val="10"/>
          <w:kern w:val="0"/>
          <w:szCs w:val="18"/>
        </w:rPr>
        <w:t>The efficiency of EIF3C knockdown was detected by RT-qPCR analysis (A) and Western blotting (B). Data are expressed as mean ± SEM</w:t>
      </w:r>
      <w:r>
        <w:rPr>
          <w:rFonts w:ascii="Times New Roman" w:hAnsi="Times New Roman"/>
          <w:spacing w:val="10"/>
          <w:kern w:val="0"/>
          <w:szCs w:val="18"/>
        </w:rPr>
        <w:t xml:space="preserve"> (n=6)</w:t>
      </w:r>
      <w:r>
        <w:rPr>
          <w:rFonts w:ascii="Times New Roman" w:eastAsia="Arial" w:hAnsi="Times New Roman"/>
          <w:spacing w:val="10"/>
          <w:kern w:val="0"/>
          <w:szCs w:val="18"/>
        </w:rPr>
        <w:t>. **p &lt; 0 .0</w:t>
      </w:r>
      <w:r>
        <w:rPr>
          <w:rFonts w:ascii="Times New Roman" w:hAnsi="Times New Roman"/>
          <w:spacing w:val="10"/>
          <w:kern w:val="0"/>
          <w:szCs w:val="18"/>
        </w:rPr>
        <w:t xml:space="preserve">1; </w:t>
      </w:r>
      <w:r>
        <w:rPr>
          <w:rFonts w:ascii="Times New Roman" w:eastAsia="Arial" w:hAnsi="Times New Roman"/>
          <w:spacing w:val="10"/>
          <w:kern w:val="0"/>
          <w:szCs w:val="18"/>
        </w:rPr>
        <w:t>***p &lt; 0 .001</w:t>
      </w:r>
      <w:r>
        <w:rPr>
          <w:rFonts w:ascii="Times New Roman" w:hAnsi="Times New Roman"/>
          <w:spacing w:val="10"/>
          <w:kern w:val="0"/>
          <w:szCs w:val="18"/>
        </w:rPr>
        <w:t>.</w:t>
      </w:r>
    </w:p>
    <w:p w14:paraId="0A92F014" w14:textId="77777777" w:rsidR="009C74D2" w:rsidRDefault="009C74D2" w:rsidP="009C74D2">
      <w:pPr>
        <w:widowControl/>
        <w:autoSpaceDE w:val="0"/>
        <w:autoSpaceDN w:val="0"/>
        <w:rPr>
          <w:rFonts w:ascii="Times New Roman" w:eastAsia="Arial" w:hAnsi="Times New Roman"/>
          <w:spacing w:val="10"/>
          <w:kern w:val="0"/>
          <w:szCs w:val="18"/>
        </w:rPr>
      </w:pPr>
    </w:p>
    <w:p w14:paraId="4210D33B" w14:textId="77777777" w:rsidR="009C74D2" w:rsidRDefault="009C74D2" w:rsidP="009C74D2">
      <w:pPr>
        <w:autoSpaceDE w:val="0"/>
        <w:autoSpaceDN w:val="0"/>
      </w:pPr>
    </w:p>
    <w:p w14:paraId="1A845F78" w14:textId="77777777" w:rsidR="009C74D2" w:rsidRDefault="009C74D2" w:rsidP="009C74D2">
      <w:pPr>
        <w:autoSpaceDE w:val="0"/>
        <w:autoSpaceDN w:val="0"/>
      </w:pPr>
    </w:p>
    <w:p w14:paraId="634F3AAF" w14:textId="77777777" w:rsidR="009C74D2" w:rsidRDefault="009C74D2" w:rsidP="009C74D2">
      <w:pPr>
        <w:autoSpaceDE w:val="0"/>
        <w:autoSpaceDN w:val="0"/>
      </w:pPr>
    </w:p>
    <w:p w14:paraId="718B3F56" w14:textId="77777777" w:rsidR="009C74D2" w:rsidRDefault="009C74D2" w:rsidP="009C74D2">
      <w:pPr>
        <w:autoSpaceDE w:val="0"/>
        <w:autoSpaceDN w:val="0"/>
      </w:pPr>
    </w:p>
    <w:p w14:paraId="0609B870" w14:textId="77777777" w:rsidR="009C74D2" w:rsidRDefault="009C74D2" w:rsidP="009C74D2">
      <w:pPr>
        <w:autoSpaceDE w:val="0"/>
        <w:autoSpaceDN w:val="0"/>
      </w:pPr>
    </w:p>
    <w:p w14:paraId="3DF54D45" w14:textId="77777777" w:rsidR="009C74D2" w:rsidRDefault="009C74D2" w:rsidP="009C74D2">
      <w:pPr>
        <w:autoSpaceDE w:val="0"/>
        <w:autoSpaceDN w:val="0"/>
      </w:pPr>
    </w:p>
    <w:p w14:paraId="06A22CD5" w14:textId="77777777" w:rsidR="009C74D2" w:rsidRDefault="009C74D2" w:rsidP="009C74D2">
      <w:pPr>
        <w:autoSpaceDE w:val="0"/>
        <w:autoSpaceDN w:val="0"/>
      </w:pPr>
    </w:p>
    <w:p w14:paraId="169E95EA" w14:textId="77777777" w:rsidR="009C74D2" w:rsidRDefault="009C74D2" w:rsidP="009C74D2">
      <w:pPr>
        <w:tabs>
          <w:tab w:val="left" w:pos="690"/>
        </w:tabs>
        <w:autoSpaceDE w:val="0"/>
        <w:autoSpaceDN w:val="0"/>
        <w:ind w:firstLineChars="400" w:firstLine="964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S1. Demographic and clinical features of included RA patients</w:t>
      </w:r>
    </w:p>
    <w:tbl>
      <w:tblPr>
        <w:tblStyle w:val="TableGrid"/>
        <w:tblpPr w:leftFromText="180" w:rightFromText="180" w:vertAnchor="text" w:horzAnchor="page" w:tblpXSpec="center" w:tblpY="263"/>
        <w:tblOverlap w:val="never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2423"/>
      </w:tblGrid>
      <w:tr w:rsidR="009C74D2" w14:paraId="3D15AC7F" w14:textId="77777777" w:rsidTr="009C74D2">
        <w:trPr>
          <w:trHeight w:val="300"/>
        </w:trPr>
        <w:tc>
          <w:tcPr>
            <w:tcW w:w="413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CE9DDC4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Age, </w:t>
            </w:r>
            <w:proofErr w:type="spellStart"/>
            <w:r>
              <w:rPr>
                <w:rFonts w:ascii="Times New Roman" w:hAnsi="Times New Roman"/>
                <w:sz w:val="24"/>
              </w:rPr>
              <w:t>yrs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(mean ± SD)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2ED850B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57.77±12.4</w:t>
            </w:r>
          </w:p>
        </w:tc>
      </w:tr>
      <w:tr w:rsidR="009C74D2" w14:paraId="7B8F8D6F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5224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Female: Male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6E5EC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50:7</w:t>
            </w:r>
          </w:p>
        </w:tc>
      </w:tr>
      <w:tr w:rsidR="009C74D2" w14:paraId="23C98BFF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1E185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Disease duration, </w:t>
            </w:r>
            <w:proofErr w:type="spellStart"/>
            <w:r>
              <w:rPr>
                <w:rFonts w:ascii="Times New Roman" w:hAnsi="Times New Roman"/>
                <w:sz w:val="24"/>
              </w:rPr>
              <w:t>yrs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mean±SD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59172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16.90±6.92</w:t>
            </w:r>
          </w:p>
        </w:tc>
      </w:tr>
      <w:tr w:rsidR="009C74D2" w14:paraId="151314DF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C775A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Rheumatoid factor-positive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B76A3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</w:tr>
      <w:tr w:rsidR="009C74D2" w14:paraId="1EA63914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477B2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Anti-CCP-positive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0A27B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9C74D2" w14:paraId="5790E540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8796C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ESR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7172D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35±12.68</w:t>
            </w:r>
          </w:p>
        </w:tc>
      </w:tr>
      <w:tr w:rsidR="009C74D2" w14:paraId="151D35E7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7A229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DAS28 (</w:t>
            </w:r>
            <w:proofErr w:type="spellStart"/>
            <w:r>
              <w:rPr>
                <w:rFonts w:ascii="Times New Roman" w:hAnsi="Times New Roman"/>
                <w:sz w:val="24"/>
              </w:rPr>
              <w:t>mean±SD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4FDE6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4.8±0.8</w:t>
            </w:r>
          </w:p>
        </w:tc>
      </w:tr>
      <w:tr w:rsidR="009C74D2" w14:paraId="2CBA7B69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98E20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Previous medications (%)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 w14:paraId="2FBE25BC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</w:p>
        </w:tc>
      </w:tr>
      <w:tr w:rsidR="009C74D2" w14:paraId="74BBC2D7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D2405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ind w:firstLineChars="300" w:firstLine="7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Prednisone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821F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 w:rsidR="009C74D2" w14:paraId="3BA2E378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E9B4E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ind w:firstLineChars="300" w:firstLine="7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Methotrexate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DA13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9C74D2" w14:paraId="7B98CFDC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D40E4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ind w:firstLineChars="300" w:firstLine="7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Leflunomide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F63E9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 w:rsidR="009C74D2" w14:paraId="593445EF" w14:textId="77777777" w:rsidTr="009C74D2"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B329E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ind w:firstLineChars="300" w:firstLine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Hydroxychloroquine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1AF71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9C74D2" w14:paraId="22915BA5" w14:textId="77777777" w:rsidTr="009C74D2">
        <w:tc>
          <w:tcPr>
            <w:tcW w:w="4138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456BD164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ind w:firstLineChars="300" w:firstLine="72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NSAIDs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44CD4ED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</w:tbl>
    <w:p w14:paraId="3D7590B9" w14:textId="77777777" w:rsidR="009C74D2" w:rsidRDefault="009C74D2" w:rsidP="009C74D2">
      <w:pPr>
        <w:tabs>
          <w:tab w:val="left" w:pos="690"/>
        </w:tabs>
        <w:autoSpaceDE w:val="0"/>
        <w:autoSpaceDN w:val="0"/>
        <w:ind w:firstLineChars="400" w:firstLine="964"/>
        <w:jc w:val="left"/>
        <w:rPr>
          <w:rFonts w:ascii="Times New Roman" w:hAnsi="Times New Roman"/>
          <w:b/>
          <w:bCs/>
          <w:sz w:val="24"/>
        </w:rPr>
      </w:pPr>
    </w:p>
    <w:p w14:paraId="623DE37E" w14:textId="77777777" w:rsidR="009C74D2" w:rsidRDefault="009C74D2" w:rsidP="009C74D2">
      <w:pPr>
        <w:tabs>
          <w:tab w:val="left" w:pos="690"/>
        </w:tabs>
        <w:autoSpaceDE w:val="0"/>
        <w:autoSpaceDN w:val="0"/>
        <w:jc w:val="left"/>
      </w:pPr>
    </w:p>
    <w:p w14:paraId="7B4D5441" w14:textId="77777777" w:rsidR="009C74D2" w:rsidRDefault="009C74D2" w:rsidP="009C74D2">
      <w:pPr>
        <w:tabs>
          <w:tab w:val="left" w:pos="690"/>
        </w:tabs>
        <w:autoSpaceDE w:val="0"/>
        <w:autoSpaceDN w:val="0"/>
        <w:jc w:val="left"/>
      </w:pPr>
    </w:p>
    <w:p w14:paraId="60A628A3" w14:textId="77777777" w:rsidR="009C74D2" w:rsidRDefault="009C74D2" w:rsidP="009C74D2">
      <w:pPr>
        <w:autoSpaceDE w:val="0"/>
        <w:autoSpaceDN w:val="0"/>
        <w:rPr>
          <w:rFonts w:asciiTheme="minorHAnsi" w:eastAsiaTheme="minorEastAsia" w:hAnsiTheme="minorHAnsi" w:cstheme="minorBidi"/>
        </w:rPr>
      </w:pPr>
    </w:p>
    <w:p w14:paraId="6171EC20" w14:textId="77777777" w:rsidR="009C74D2" w:rsidRDefault="009C74D2" w:rsidP="009C74D2">
      <w:pPr>
        <w:autoSpaceDE w:val="0"/>
        <w:autoSpaceDN w:val="0"/>
      </w:pPr>
    </w:p>
    <w:p w14:paraId="6A7C6B94" w14:textId="77777777" w:rsidR="009C74D2" w:rsidRDefault="009C74D2" w:rsidP="009C74D2">
      <w:pPr>
        <w:autoSpaceDE w:val="0"/>
        <w:autoSpaceDN w:val="0"/>
      </w:pPr>
    </w:p>
    <w:p w14:paraId="4237F272" w14:textId="77777777" w:rsidR="009C74D2" w:rsidRDefault="009C74D2" w:rsidP="009C74D2">
      <w:pPr>
        <w:autoSpaceDE w:val="0"/>
        <w:autoSpaceDN w:val="0"/>
      </w:pPr>
    </w:p>
    <w:p w14:paraId="775CC58B" w14:textId="77777777" w:rsidR="009C74D2" w:rsidRDefault="009C74D2" w:rsidP="009C74D2">
      <w:pPr>
        <w:autoSpaceDE w:val="0"/>
        <w:autoSpaceDN w:val="0"/>
      </w:pPr>
    </w:p>
    <w:p w14:paraId="3D13664C" w14:textId="77777777" w:rsidR="009C74D2" w:rsidRDefault="009C74D2" w:rsidP="009C74D2">
      <w:pPr>
        <w:autoSpaceDE w:val="0"/>
        <w:autoSpaceDN w:val="0"/>
      </w:pPr>
    </w:p>
    <w:p w14:paraId="2C4854BE" w14:textId="77777777" w:rsidR="009C74D2" w:rsidRDefault="009C74D2" w:rsidP="009C74D2">
      <w:pPr>
        <w:autoSpaceDE w:val="0"/>
        <w:autoSpaceDN w:val="0"/>
      </w:pPr>
    </w:p>
    <w:p w14:paraId="6DE7BC69" w14:textId="77777777" w:rsidR="009C74D2" w:rsidRDefault="009C74D2" w:rsidP="009C74D2">
      <w:pPr>
        <w:autoSpaceDE w:val="0"/>
        <w:autoSpaceDN w:val="0"/>
      </w:pPr>
    </w:p>
    <w:p w14:paraId="6E33FB9B" w14:textId="77777777" w:rsidR="009C74D2" w:rsidRDefault="009C74D2" w:rsidP="009C74D2">
      <w:pPr>
        <w:autoSpaceDE w:val="0"/>
        <w:autoSpaceDN w:val="0"/>
      </w:pPr>
    </w:p>
    <w:p w14:paraId="5B486610" w14:textId="77777777" w:rsidR="009C74D2" w:rsidRDefault="009C74D2" w:rsidP="009C74D2">
      <w:pPr>
        <w:autoSpaceDE w:val="0"/>
        <w:autoSpaceDN w:val="0"/>
      </w:pPr>
    </w:p>
    <w:p w14:paraId="03805E4A" w14:textId="77777777" w:rsidR="009C74D2" w:rsidRDefault="009C74D2" w:rsidP="009C74D2">
      <w:pPr>
        <w:autoSpaceDE w:val="0"/>
        <w:autoSpaceDN w:val="0"/>
      </w:pPr>
    </w:p>
    <w:p w14:paraId="6EADF4A0" w14:textId="77777777" w:rsidR="009C74D2" w:rsidRDefault="009C74D2" w:rsidP="009C74D2">
      <w:pPr>
        <w:autoSpaceDE w:val="0"/>
        <w:autoSpaceDN w:val="0"/>
      </w:pPr>
    </w:p>
    <w:p w14:paraId="228EA3B9" w14:textId="77777777" w:rsidR="009C74D2" w:rsidRDefault="009C74D2" w:rsidP="009C74D2">
      <w:pPr>
        <w:autoSpaceDE w:val="0"/>
        <w:autoSpaceDN w:val="0"/>
      </w:pPr>
    </w:p>
    <w:p w14:paraId="552BC4F3" w14:textId="77777777" w:rsidR="009C74D2" w:rsidRDefault="009C74D2" w:rsidP="009C74D2">
      <w:pPr>
        <w:autoSpaceDE w:val="0"/>
        <w:autoSpaceDN w:val="0"/>
      </w:pPr>
    </w:p>
    <w:p w14:paraId="0B2F88D4" w14:textId="77777777" w:rsidR="009C74D2" w:rsidRDefault="009C74D2" w:rsidP="009C74D2">
      <w:pPr>
        <w:tabs>
          <w:tab w:val="left" w:pos="690"/>
        </w:tabs>
        <w:autoSpaceDE w:val="0"/>
        <w:autoSpaceDN w:val="0"/>
        <w:ind w:firstLineChars="400" w:firstLine="964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S2. Demographic and clinical features of patients with OA</w:t>
      </w:r>
    </w:p>
    <w:tbl>
      <w:tblPr>
        <w:tblStyle w:val="TableGrid"/>
        <w:tblpPr w:leftFromText="180" w:rightFromText="180" w:vertAnchor="text" w:horzAnchor="page" w:tblpXSpec="center" w:tblpY="243"/>
        <w:tblOverlap w:val="never"/>
        <w:tblW w:w="6218" w:type="dxa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  <w:gridCol w:w="2423"/>
      </w:tblGrid>
      <w:tr w:rsidR="009C74D2" w14:paraId="6C25E167" w14:textId="77777777" w:rsidTr="009C74D2">
        <w:tc>
          <w:tcPr>
            <w:tcW w:w="379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9A0EBBB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Age, </w:t>
            </w:r>
            <w:proofErr w:type="spellStart"/>
            <w:r>
              <w:rPr>
                <w:rFonts w:ascii="Times New Roman" w:hAnsi="Times New Roman"/>
                <w:sz w:val="24"/>
              </w:rPr>
              <w:t>yrs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(mean ± SD)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D80400B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71±8.5</w:t>
            </w:r>
          </w:p>
        </w:tc>
      </w:tr>
      <w:tr w:rsidR="009C74D2" w14:paraId="4A00CF61" w14:textId="77777777" w:rsidTr="009C74D2"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50C8E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Female: Male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F58DC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6:8</w:t>
            </w:r>
          </w:p>
        </w:tc>
      </w:tr>
      <w:tr w:rsidR="009C74D2" w14:paraId="4CE6039E" w14:textId="77777777" w:rsidTr="009C74D2"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0A5D1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Disease duration, </w:t>
            </w:r>
            <w:proofErr w:type="spellStart"/>
            <w:r>
              <w:rPr>
                <w:rFonts w:ascii="Times New Roman" w:hAnsi="Times New Roman"/>
                <w:sz w:val="24"/>
              </w:rPr>
              <w:t>yrs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mean±SD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5F3C8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14.90±6.62</w:t>
            </w:r>
          </w:p>
        </w:tc>
      </w:tr>
      <w:tr w:rsidR="009C74D2" w14:paraId="4F3877DF" w14:textId="77777777" w:rsidTr="009C74D2">
        <w:tc>
          <w:tcPr>
            <w:tcW w:w="379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F259493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FC18C84" w14:textId="77777777" w:rsidR="009C74D2" w:rsidRDefault="009C74D2">
            <w:pPr>
              <w:tabs>
                <w:tab w:val="left" w:pos="690"/>
              </w:tabs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6.20±1.42</w:t>
            </w:r>
          </w:p>
        </w:tc>
      </w:tr>
    </w:tbl>
    <w:p w14:paraId="445B90A2" w14:textId="77777777" w:rsidR="009C74D2" w:rsidRDefault="009C74D2" w:rsidP="009C74D2">
      <w:pPr>
        <w:tabs>
          <w:tab w:val="left" w:pos="615"/>
        </w:tabs>
        <w:autoSpaceDE w:val="0"/>
        <w:autoSpaceDN w:val="0"/>
        <w:jc w:val="left"/>
        <w:rPr>
          <w:rFonts w:ascii="Times New Roman" w:hAnsi="Times New Roman"/>
          <w:b/>
          <w:bCs/>
          <w:sz w:val="24"/>
        </w:rPr>
      </w:pPr>
    </w:p>
    <w:p w14:paraId="07C882E7" w14:textId="77777777" w:rsidR="009C74D2" w:rsidRDefault="009C74D2" w:rsidP="009C74D2">
      <w:pPr>
        <w:widowControl/>
        <w:autoSpaceDE w:val="0"/>
        <w:autoSpaceDN w:val="0"/>
        <w:spacing w:line="405" w:lineRule="auto"/>
        <w:ind w:right="28"/>
        <w:jc w:val="left"/>
        <w:rPr>
          <w:rFonts w:ascii="Times New Roman" w:eastAsia="Times New Roman" w:hAnsi="Times New Roman"/>
          <w:sz w:val="24"/>
        </w:rPr>
      </w:pPr>
    </w:p>
    <w:p w14:paraId="3252888C" w14:textId="77777777" w:rsidR="009C74D2" w:rsidRDefault="009C74D2" w:rsidP="009C74D2">
      <w:pPr>
        <w:widowControl/>
        <w:autoSpaceDE w:val="0"/>
        <w:autoSpaceDN w:val="0"/>
        <w:spacing w:line="405" w:lineRule="auto"/>
        <w:ind w:right="28"/>
        <w:jc w:val="left"/>
        <w:rPr>
          <w:rFonts w:ascii="Times New Roman" w:eastAsia="Times New Roman" w:hAnsi="Times New Roman"/>
          <w:sz w:val="24"/>
        </w:rPr>
      </w:pPr>
    </w:p>
    <w:p w14:paraId="234D3848" w14:textId="77777777" w:rsidR="009C74D2" w:rsidRDefault="009C74D2" w:rsidP="009C74D2">
      <w:pPr>
        <w:widowControl/>
        <w:autoSpaceDE w:val="0"/>
        <w:autoSpaceDN w:val="0"/>
        <w:spacing w:line="405" w:lineRule="auto"/>
        <w:ind w:right="28"/>
        <w:jc w:val="left"/>
        <w:rPr>
          <w:rFonts w:ascii="Times New Roman" w:eastAsia="Times New Roman" w:hAnsi="Times New Roman"/>
          <w:sz w:val="24"/>
        </w:rPr>
      </w:pPr>
    </w:p>
    <w:p w14:paraId="6474D854" w14:textId="77777777" w:rsidR="009C74D2" w:rsidRDefault="009C74D2" w:rsidP="009C74D2">
      <w:pPr>
        <w:tabs>
          <w:tab w:val="left" w:pos="690"/>
        </w:tabs>
        <w:autoSpaceDE w:val="0"/>
        <w:autoSpaceDN w:val="0"/>
        <w:jc w:val="center"/>
        <w:rPr>
          <w:rFonts w:ascii="Times New Roman" w:hAnsi="Times New Roman"/>
          <w:b/>
          <w:bCs/>
          <w:sz w:val="24"/>
        </w:rPr>
      </w:pPr>
    </w:p>
    <w:p w14:paraId="719BF4DD" w14:textId="77777777" w:rsidR="009C74D2" w:rsidRDefault="009C74D2" w:rsidP="009C74D2">
      <w:pPr>
        <w:tabs>
          <w:tab w:val="left" w:pos="690"/>
        </w:tabs>
        <w:autoSpaceDE w:val="0"/>
        <w:autoSpaceDN w:val="0"/>
        <w:jc w:val="center"/>
        <w:rPr>
          <w:rFonts w:ascii="Times New Roman" w:hAnsi="Times New Roman"/>
          <w:b/>
          <w:bCs/>
          <w:sz w:val="24"/>
        </w:rPr>
      </w:pPr>
    </w:p>
    <w:p w14:paraId="070DC723" w14:textId="77777777" w:rsidR="009C74D2" w:rsidRDefault="009C74D2" w:rsidP="009C74D2">
      <w:pPr>
        <w:tabs>
          <w:tab w:val="left" w:pos="690"/>
        </w:tabs>
        <w:autoSpaceDE w:val="0"/>
        <w:autoSpaceDN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S3: Sequences of primers for RT-qPCR and siRNA oligonucleotides</w:t>
      </w:r>
    </w:p>
    <w:p w14:paraId="369D3F24" w14:textId="77777777" w:rsidR="009C74D2" w:rsidRDefault="009C74D2" w:rsidP="009C74D2">
      <w:pPr>
        <w:tabs>
          <w:tab w:val="left" w:pos="690"/>
        </w:tabs>
        <w:autoSpaceDE w:val="0"/>
        <w:autoSpaceDN w:val="0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TableGrid"/>
        <w:tblpPr w:leftFromText="180" w:rightFromText="180" w:vertAnchor="page" w:horzAnchor="page" w:tblpXSpec="center" w:tblpY="8973"/>
        <w:tblOverlap w:val="never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1127"/>
        <w:gridCol w:w="4941"/>
      </w:tblGrid>
      <w:tr w:rsidR="009C74D2" w14:paraId="7D47DA4B" w14:textId="77777777" w:rsidTr="009C74D2">
        <w:trPr>
          <w:trHeight w:val="289"/>
        </w:trPr>
        <w:tc>
          <w:tcPr>
            <w:tcW w:w="131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98C0F1C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gene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2C8682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94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030DAD4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sequences</w:t>
            </w:r>
          </w:p>
        </w:tc>
      </w:tr>
      <w:tr w:rsidR="009C74D2" w14:paraId="2107EEFD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E62EF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CFH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6560D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E16C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GTGAAGTGTTTACCAGTGACAGC</w:t>
            </w:r>
          </w:p>
        </w:tc>
      </w:tr>
      <w:tr w:rsidR="009C74D2" w14:paraId="729650E2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681209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8D0F7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6A93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AACCGTACTGCTTGTCCAAAA</w:t>
            </w:r>
          </w:p>
        </w:tc>
      </w:tr>
      <w:tr w:rsidR="009C74D2" w14:paraId="1C2192CE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9D2E2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EIF3C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BE76B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9BA02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CAAGTTCAATATCATCGCCTCT</w:t>
            </w:r>
          </w:p>
        </w:tc>
      </w:tr>
      <w:tr w:rsidR="009C74D2" w14:paraId="0F16521B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09A587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00AD4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C383D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CATCCATTCGTTCCACCA</w:t>
            </w:r>
          </w:p>
        </w:tc>
      </w:tr>
      <w:tr w:rsidR="009C74D2" w14:paraId="557EC582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89665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β-actin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E908F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</w:rPr>
              <w:t>Forward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9F0E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CATGTACGTTGCTATCCAGGC</w:t>
            </w:r>
          </w:p>
        </w:tc>
      </w:tr>
      <w:tr w:rsidR="009C74D2" w14:paraId="36CB0CE2" w14:textId="77777777" w:rsidTr="009C74D2"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6BFBDE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6636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</w:rPr>
              <w:t>Reverse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01B7B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CTCCTTAATGTCACGCACGAT</w:t>
            </w:r>
          </w:p>
        </w:tc>
      </w:tr>
      <w:tr w:rsidR="009C74D2" w14:paraId="2921F6B3" w14:textId="77777777" w:rsidTr="009C74D2"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6BA13B8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EIF3C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B93369C" w14:textId="77777777" w:rsidR="009C74D2" w:rsidRDefault="009C74D2">
            <w:pPr>
              <w:autoSpaceDE w:val="0"/>
              <w:autoSpaceDN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siRNA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A2E46C" w14:textId="77777777" w:rsidR="009C74D2" w:rsidRDefault="009C74D2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GCACACCTACTACAAGTTT</w:t>
            </w:r>
          </w:p>
        </w:tc>
      </w:tr>
    </w:tbl>
    <w:p w14:paraId="17020759" w14:textId="77777777" w:rsidR="009C74D2" w:rsidRDefault="009C74D2" w:rsidP="009C74D2">
      <w:pPr>
        <w:tabs>
          <w:tab w:val="left" w:pos="690"/>
        </w:tabs>
        <w:autoSpaceDE w:val="0"/>
        <w:autoSpaceDN w:val="0"/>
        <w:rPr>
          <w:rFonts w:ascii="Times New Roman" w:hAnsi="Times New Roman"/>
          <w:b/>
          <w:bCs/>
          <w:sz w:val="24"/>
        </w:rPr>
      </w:pPr>
    </w:p>
    <w:p w14:paraId="43E09E66" w14:textId="77777777" w:rsidR="009C74D2" w:rsidRDefault="009C74D2" w:rsidP="009C74D2">
      <w:pPr>
        <w:widowControl/>
        <w:autoSpaceDE w:val="0"/>
        <w:autoSpaceDN w:val="0"/>
        <w:spacing w:line="405" w:lineRule="auto"/>
        <w:ind w:right="28"/>
        <w:jc w:val="left"/>
        <w:rPr>
          <w:rFonts w:ascii="Times New Roman" w:eastAsia="Times New Roman" w:hAnsi="Times New Roman"/>
          <w:sz w:val="24"/>
        </w:rPr>
      </w:pPr>
    </w:p>
    <w:p w14:paraId="42292CE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D2"/>
    <w:rsid w:val="009C74D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AC8B"/>
  <w15:chartTrackingRefBased/>
  <w15:docId w15:val="{A2BD92E1-9F53-49B8-8EA7-2A37AE21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D2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C74D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4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>Springer Nature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2023-09-15T05:27:00Z</dcterms:created>
  <dcterms:modified xsi:type="dcterms:W3CDTF">2023-09-15T05:27:00Z</dcterms:modified>
</cp:coreProperties>
</file>