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685B5" w14:textId="77777777" w:rsidR="00FF02B2" w:rsidRDefault="00FF02B2" w:rsidP="00FF02B2">
      <w:pPr>
        <w:rPr>
          <w:b/>
          <w:bCs/>
          <w:lang w:val="en-US"/>
        </w:rPr>
      </w:pPr>
      <w:r w:rsidRPr="008817B9">
        <w:rPr>
          <w:b/>
          <w:bCs/>
          <w:lang w:val="en-US"/>
        </w:rPr>
        <w:t>Supplementary Figures</w:t>
      </w:r>
    </w:p>
    <w:p w14:paraId="2E44742E" w14:textId="77777777" w:rsidR="00FF02B2" w:rsidRDefault="00FF02B2" w:rsidP="00FF02B2">
      <w:pPr>
        <w:jc w:val="both"/>
        <w:rPr>
          <w:lang w:val="en-US"/>
        </w:rPr>
      </w:pPr>
    </w:p>
    <w:p w14:paraId="1329D345" w14:textId="77777777" w:rsidR="00FF02B2" w:rsidRDefault="00FF02B2" w:rsidP="00FF02B2">
      <w:pPr>
        <w:rPr>
          <w:b/>
          <w:bCs/>
          <w:lang w:val="en-US"/>
        </w:rPr>
      </w:pPr>
      <w:r w:rsidRPr="008817B9">
        <w:rPr>
          <w:b/>
          <w:bCs/>
          <w:noProof/>
          <w:lang w:val="en-US"/>
        </w:rPr>
        <w:drawing>
          <wp:inline distT="0" distB="0" distL="0" distR="0" wp14:anchorId="7F9924EE" wp14:editId="312AB393">
            <wp:extent cx="5731510" cy="7900670"/>
            <wp:effectExtent l="0" t="0" r="0" b="0"/>
            <wp:docPr id="1625337828" name="Picture 1" descr="A close-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337828" name="Picture 1" descr="A close-up of a 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0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AA747" w14:textId="77777777" w:rsidR="00FF02B2" w:rsidRDefault="00FF02B2" w:rsidP="00FF02B2">
      <w:pPr>
        <w:jc w:val="both"/>
        <w:rPr>
          <w:rFonts w:eastAsia="TimesNewRomanPSMT"/>
          <w:lang w:val="en-US"/>
        </w:rPr>
      </w:pPr>
      <w:r>
        <w:rPr>
          <w:rFonts w:eastAsia="TimesNewRomanPS-BoldMT"/>
          <w:b/>
          <w:bCs/>
          <w:lang w:val="en-US"/>
        </w:rPr>
        <w:t xml:space="preserve">Supplementary </w:t>
      </w:r>
      <w:r w:rsidRPr="008817B9">
        <w:rPr>
          <w:rFonts w:eastAsia="TimesNewRomanPS-BoldMT"/>
          <w:b/>
          <w:bCs/>
          <w:lang w:val="en-US"/>
        </w:rPr>
        <w:t>Fig. 1</w:t>
      </w:r>
      <w:r>
        <w:rPr>
          <w:rFonts w:eastAsia="TimesNewRomanPS-BoldMT"/>
          <w:b/>
          <w:bCs/>
          <w:lang w:val="en-US"/>
        </w:rPr>
        <w:t>.</w:t>
      </w:r>
      <w:r w:rsidRPr="008817B9">
        <w:rPr>
          <w:rFonts w:eastAsia="TimesNewRomanPS-BoldMT"/>
          <w:b/>
          <w:bCs/>
          <w:lang w:val="en-US"/>
        </w:rPr>
        <w:t xml:space="preserve"> Development of VEDIC system for efficient intracellular protein delivery</w:t>
      </w:r>
      <w:r>
        <w:rPr>
          <w:rFonts w:eastAsia="TimesNewRomanPS-BoldMT"/>
          <w:b/>
          <w:bCs/>
          <w:lang w:val="en-US"/>
        </w:rPr>
        <w:t xml:space="preserve">. </w:t>
      </w:r>
      <w:r w:rsidRPr="00B36608">
        <w:rPr>
          <w:rFonts w:eastAsia="TimesNewRomanPSMT"/>
          <w:b/>
          <w:bCs/>
          <w:lang w:val="en-US"/>
        </w:rPr>
        <w:t>a,</w:t>
      </w:r>
      <w:r w:rsidRPr="008817B9">
        <w:rPr>
          <w:rFonts w:eastAsia="TimesNewRomanPSMT"/>
          <w:lang w:val="en-US"/>
        </w:rPr>
        <w:t xml:space="preserve"> A workflow schematic for the evaluation of EV-mediated Cre delivery to Cre recombinase fluorescent Traffic Light (TL) reporter cells and the subsequent analysis of GFP </w:t>
      </w:r>
      <w:r w:rsidRPr="008817B9">
        <w:rPr>
          <w:rFonts w:eastAsia="TimesNewRomanPSMT"/>
          <w:lang w:val="en-US"/>
        </w:rPr>
        <w:lastRenderedPageBreak/>
        <w:t xml:space="preserve">positive cells in recipient cells after adding isolated EVs. </w:t>
      </w:r>
      <w:r w:rsidRPr="00B36608">
        <w:rPr>
          <w:rFonts w:eastAsia="TimesNewRomanPSMT"/>
          <w:b/>
          <w:bCs/>
          <w:lang w:val="en-US"/>
        </w:rPr>
        <w:t>b,</w:t>
      </w:r>
      <w:r w:rsidRPr="008817B9">
        <w:rPr>
          <w:lang w:val="en-US"/>
        </w:rPr>
        <w:t xml:space="preserve"> Fusogen screen in HeLa-TL cells after a two-day incubation with EVs. </w:t>
      </w:r>
      <w:r w:rsidRPr="00B36608">
        <w:rPr>
          <w:b/>
          <w:bCs/>
          <w:lang w:val="en-US"/>
        </w:rPr>
        <w:t>c,</w:t>
      </w:r>
      <w:r w:rsidRPr="008817B9">
        <w:rPr>
          <w:lang w:val="en-US"/>
        </w:rPr>
        <w:t xml:space="preserve"> </w:t>
      </w:r>
      <w:r w:rsidRPr="008817B9">
        <w:rPr>
          <w:rFonts w:eastAsia="TimesNewRomanPSMT"/>
          <w:lang w:val="en-US"/>
        </w:rPr>
        <w:t xml:space="preserve">Example of the applied flow cytometry gating strategy for the analysis of GFP positive cells to evaluate Cre recombination after adding isolated EVs to fluorescent TL reporter cells. </w:t>
      </w:r>
      <w:r w:rsidRPr="00B36608">
        <w:rPr>
          <w:rFonts w:eastAsia="TimesNewRomanPSMT"/>
          <w:b/>
          <w:bCs/>
          <w:lang w:val="en-US"/>
        </w:rPr>
        <w:t xml:space="preserve">d, </w:t>
      </w:r>
      <w:r w:rsidRPr="008817B9">
        <w:rPr>
          <w:rFonts w:eastAsia="TimesNewRomanPSMT"/>
          <w:lang w:val="en-US"/>
        </w:rPr>
        <w:t>Protein expression of various engineered Cre fusion constructs in whole cell lysates (WCL) and isolated EVs derived from HEK293T cells evaluated by western blot (WB) analysis. Lysates from 5×10</w:t>
      </w:r>
      <w:r w:rsidRPr="008817B9">
        <w:rPr>
          <w:rFonts w:eastAsia="TimesNewRomanPSMT"/>
          <w:vertAlign w:val="superscript"/>
          <w:lang w:val="en-US"/>
        </w:rPr>
        <w:t>5</w:t>
      </w:r>
      <w:r w:rsidRPr="008817B9">
        <w:rPr>
          <w:rFonts w:eastAsia="TimesNewRomanPSMT"/>
          <w:sz w:val="16"/>
          <w:szCs w:val="16"/>
          <w:lang w:val="en-US"/>
        </w:rPr>
        <w:t xml:space="preserve"> </w:t>
      </w:r>
      <w:r w:rsidRPr="008817B9">
        <w:rPr>
          <w:rFonts w:eastAsia="TimesNewRomanPSMT"/>
          <w:lang w:val="en-US"/>
        </w:rPr>
        <w:t>EV-producing cells and 1×10</w:t>
      </w:r>
      <w:r w:rsidRPr="008817B9">
        <w:rPr>
          <w:rFonts w:eastAsia="TimesNewRomanPSMT"/>
          <w:vertAlign w:val="superscript"/>
          <w:lang w:val="en-US"/>
        </w:rPr>
        <w:t>10</w:t>
      </w:r>
      <w:r w:rsidRPr="008817B9">
        <w:rPr>
          <w:rFonts w:eastAsia="TimesNewRomanPSMT"/>
          <w:sz w:val="16"/>
          <w:szCs w:val="16"/>
          <w:lang w:val="en-US"/>
        </w:rPr>
        <w:t xml:space="preserve"> </w:t>
      </w:r>
      <w:r w:rsidRPr="008817B9">
        <w:rPr>
          <w:rFonts w:eastAsia="TimesNewRomanPSMT"/>
          <w:lang w:val="en-US"/>
        </w:rPr>
        <w:t xml:space="preserve">engineered vesicles were used for the assay. TSG101, syntenin-1 and </w:t>
      </w:r>
      <w:r w:rsidRPr="008817B9">
        <w:rPr>
          <w:rFonts w:eastAsia="TimesNewRomanPSMT"/>
          <w:lang w:val="nl-NL"/>
        </w:rPr>
        <w:t>β</w:t>
      </w:r>
      <w:r w:rsidRPr="008817B9">
        <w:rPr>
          <w:rFonts w:eastAsia="TimesNewRomanPSMT"/>
          <w:lang w:val="en-US"/>
        </w:rPr>
        <w:t xml:space="preserve">-actin were used as EV markers and Calnexin was used as a cellular organelle marker (endoplasmic reticulum) and should be absent for EV samples. </w:t>
      </w:r>
      <w:r w:rsidRPr="00B36608">
        <w:rPr>
          <w:rFonts w:eastAsia="TimesNewRomanPSMT"/>
          <w:b/>
          <w:bCs/>
          <w:lang w:val="en-US"/>
        </w:rPr>
        <w:t>e</w:t>
      </w:r>
      <w:r>
        <w:rPr>
          <w:rFonts w:eastAsia="TimesNewRomanPSMT"/>
          <w:lang w:val="en-US"/>
        </w:rPr>
        <w:t>,</w:t>
      </w:r>
      <w:r w:rsidRPr="00B36608">
        <w:rPr>
          <w:rFonts w:eastAsia="TimesNewRomanPSMT"/>
          <w:b/>
          <w:bCs/>
          <w:lang w:val="en-US"/>
        </w:rPr>
        <w:t>f</w:t>
      </w:r>
      <w:r>
        <w:rPr>
          <w:rFonts w:eastAsia="TimesNewRomanPSMT"/>
          <w:lang w:val="en-US"/>
        </w:rPr>
        <w:t>,</w:t>
      </w:r>
      <w:r w:rsidRPr="00B36608">
        <w:rPr>
          <w:rFonts w:eastAsia="TimesNewRomanPSMT"/>
          <w:lang w:val="en-US"/>
        </w:rPr>
        <w:t xml:space="preserve"> Percentage of GFP positive cells in HeLa-TL and T47D-TL reporter cells respectively after adding different doses of isolated engineered EVs for 1 to 3 days.</w:t>
      </w:r>
      <w:r>
        <w:rPr>
          <w:rFonts w:eastAsia="TimesNewRomanPSMT"/>
          <w:lang w:val="en-US"/>
        </w:rPr>
        <w:t xml:space="preserve"> </w:t>
      </w:r>
      <w:r w:rsidRPr="008817B9">
        <w:rPr>
          <w:rFonts w:eastAsia="TimesNewRomanPSMT"/>
          <w:lang w:val="en-US"/>
        </w:rPr>
        <w:t>(</w:t>
      </w:r>
      <w:r w:rsidRPr="00B36608">
        <w:rPr>
          <w:rFonts w:eastAsia="TimesNewRomanPS-BoldMT"/>
          <w:b/>
          <w:bCs/>
          <w:lang w:val="en-US"/>
        </w:rPr>
        <w:t>g</w:t>
      </w:r>
      <w:r w:rsidRPr="008817B9">
        <w:rPr>
          <w:rFonts w:eastAsia="TimesNewRomanPSMT"/>
          <w:lang w:val="en-US"/>
        </w:rPr>
        <w:t>-</w:t>
      </w:r>
      <w:r w:rsidRPr="00B36608">
        <w:rPr>
          <w:rFonts w:eastAsia="TimesNewRomanPS-BoldMT"/>
          <w:b/>
          <w:bCs/>
          <w:lang w:val="en-US"/>
        </w:rPr>
        <w:t>j</w:t>
      </w:r>
      <w:r w:rsidRPr="008817B9">
        <w:rPr>
          <w:rFonts w:eastAsia="TimesNewRomanPSMT"/>
          <w:lang w:val="en-US"/>
        </w:rPr>
        <w:t xml:space="preserve">) Percentage of recombined GFP positive cells mediated by intracellular Cre delivery through different doses of engineered EVs for 48 hours </w:t>
      </w:r>
      <w:r>
        <w:rPr>
          <w:rFonts w:eastAsia="TimesNewRomanPSMT"/>
          <w:lang w:val="en-US"/>
        </w:rPr>
        <w:t>(</w:t>
      </w:r>
      <w:r w:rsidRPr="008817B9">
        <w:rPr>
          <w:rFonts w:eastAsia="TimesNewRomanPSMT"/>
          <w:lang w:val="en-US"/>
        </w:rPr>
        <w:t>h</w:t>
      </w:r>
      <w:r>
        <w:rPr>
          <w:rFonts w:eastAsia="TimesNewRomanPSMT"/>
          <w:lang w:val="en-US"/>
        </w:rPr>
        <w:t>)</w:t>
      </w:r>
      <w:r w:rsidRPr="008817B9">
        <w:rPr>
          <w:rFonts w:eastAsia="TimesNewRomanPSMT"/>
          <w:lang w:val="en-US"/>
        </w:rPr>
        <w:t xml:space="preserve"> in hard-to-transfect cells (</w:t>
      </w:r>
      <w:r w:rsidRPr="00B36608">
        <w:rPr>
          <w:rFonts w:eastAsia="TimesNewRomanPSMT"/>
          <w:b/>
          <w:bCs/>
          <w:lang w:val="en-US"/>
        </w:rPr>
        <w:t>g:</w:t>
      </w:r>
      <w:r w:rsidRPr="008817B9">
        <w:rPr>
          <w:rFonts w:eastAsia="TimesNewRomanPSMT"/>
          <w:lang w:val="en-US"/>
        </w:rPr>
        <w:t xml:space="preserve"> MSC-TL; </w:t>
      </w:r>
      <w:r w:rsidRPr="00B36608">
        <w:rPr>
          <w:rFonts w:eastAsia="TimesNewRomanPSMT"/>
          <w:b/>
          <w:bCs/>
          <w:lang w:val="en-US"/>
        </w:rPr>
        <w:t>h:</w:t>
      </w:r>
      <w:r w:rsidRPr="008817B9">
        <w:rPr>
          <w:rFonts w:eastAsia="TimesNewRomanPSMT"/>
          <w:lang w:val="en-US"/>
        </w:rPr>
        <w:t xml:space="preserve"> THP-1-TL; </w:t>
      </w:r>
      <w:r w:rsidRPr="00B36608">
        <w:rPr>
          <w:rFonts w:eastAsia="TimesNewRomanPSMT"/>
          <w:b/>
          <w:bCs/>
          <w:lang w:val="en-US"/>
        </w:rPr>
        <w:t>i:</w:t>
      </w:r>
      <w:r w:rsidRPr="008817B9">
        <w:rPr>
          <w:rFonts w:eastAsia="TimesNewRomanPSMT"/>
          <w:lang w:val="en-US"/>
        </w:rPr>
        <w:t xml:space="preserve"> Raw264.7-TL; </w:t>
      </w:r>
      <w:r w:rsidRPr="00B36608">
        <w:rPr>
          <w:rFonts w:eastAsia="TimesNewRomanPSMT"/>
          <w:b/>
          <w:bCs/>
          <w:lang w:val="en-US"/>
        </w:rPr>
        <w:t xml:space="preserve">j: </w:t>
      </w:r>
      <w:r w:rsidRPr="008817B9">
        <w:rPr>
          <w:rFonts w:eastAsia="TimesNewRomanPSMT"/>
          <w:lang w:val="en-US"/>
        </w:rPr>
        <w:t>K562-TL).</w:t>
      </w:r>
      <w:r>
        <w:rPr>
          <w:rFonts w:eastAsia="TimesNewRomanPSMT"/>
          <w:lang w:val="en-US"/>
        </w:rPr>
        <w:t xml:space="preserve"> </w:t>
      </w:r>
      <w:r w:rsidRPr="008817B9">
        <w:rPr>
          <w:rFonts w:eastAsia="TimesNewRomanPSMT"/>
          <w:lang w:val="en-US"/>
        </w:rPr>
        <w:t xml:space="preserve">One-way ANOVA </w:t>
      </w:r>
      <w:r w:rsidRPr="008817B9">
        <w:t xml:space="preserve">multiple comparisons </w:t>
      </w:r>
      <w:r w:rsidRPr="008817B9">
        <w:rPr>
          <w:rFonts w:eastAsia="TimesNewRomanPSMT"/>
          <w:lang w:val="en-US"/>
        </w:rPr>
        <w:t xml:space="preserve">test was used for analysis of </w:t>
      </w:r>
      <w:r>
        <w:rPr>
          <w:rFonts w:eastAsia="TimesNewRomanPSMT"/>
          <w:lang w:val="en-US"/>
        </w:rPr>
        <w:t>(</w:t>
      </w:r>
      <w:r w:rsidRPr="00B36608">
        <w:rPr>
          <w:rFonts w:eastAsia="TimesNewRomanPSMT"/>
          <w:b/>
          <w:bCs/>
          <w:lang w:val="en-US"/>
        </w:rPr>
        <w:t>b</w:t>
      </w:r>
      <w:r>
        <w:rPr>
          <w:rFonts w:eastAsia="TimesNewRomanPSMT"/>
          <w:lang w:val="en-US"/>
        </w:rPr>
        <w:t>);</w:t>
      </w:r>
      <w:r w:rsidRPr="008817B9">
        <w:t xml:space="preserve"> Two-way ANOVA multiple comparisons test was used for analysis of (</w:t>
      </w:r>
      <w:r w:rsidRPr="00B36608">
        <w:rPr>
          <w:b/>
          <w:bCs/>
          <w:lang w:val="en-US"/>
        </w:rPr>
        <w:t>e</w:t>
      </w:r>
      <w:r>
        <w:rPr>
          <w:lang w:val="en-US"/>
        </w:rPr>
        <w:t>-</w:t>
      </w:r>
      <w:r w:rsidRPr="00B36608">
        <w:rPr>
          <w:b/>
          <w:bCs/>
          <w:lang w:val="en-US"/>
        </w:rPr>
        <w:t>j</w:t>
      </w:r>
      <w:r w:rsidRPr="008817B9">
        <w:t>).</w:t>
      </w:r>
      <w:r w:rsidRPr="008817B9">
        <w:rPr>
          <w:rFonts w:eastAsia="TimesNewRomanPSMT"/>
          <w:lang w:val="en-US"/>
        </w:rPr>
        <w:t xml:space="preserve"> Data are shown as mean+SD, * p &lt; 0.05; ** p &lt; 0.01; *** p &lt; 0.001.</w:t>
      </w:r>
    </w:p>
    <w:p w14:paraId="361024E3" w14:textId="77777777" w:rsidR="00FF02B2" w:rsidRPr="008817B9" w:rsidRDefault="00FF02B2" w:rsidP="00FF02B2">
      <w:pPr>
        <w:jc w:val="both"/>
        <w:rPr>
          <w:rFonts w:eastAsia="TimesNewRomanPSMT"/>
          <w:lang w:val="en-US"/>
        </w:rPr>
      </w:pPr>
    </w:p>
    <w:p w14:paraId="2463E6FE" w14:textId="77777777" w:rsidR="00FF02B2" w:rsidRPr="00702241" w:rsidRDefault="00FF02B2" w:rsidP="00FF02B2">
      <w:pPr>
        <w:jc w:val="both"/>
        <w:rPr>
          <w:lang w:val="en-US"/>
        </w:rPr>
      </w:pPr>
      <w:r w:rsidRPr="00A90586">
        <w:rPr>
          <w:b/>
          <w:bCs/>
          <w:noProof/>
          <w:lang w:val="en-US"/>
        </w:rPr>
        <w:lastRenderedPageBreak/>
        <w:drawing>
          <wp:inline distT="0" distB="0" distL="0" distR="0" wp14:anchorId="4E37E4A5" wp14:editId="514B6A67">
            <wp:extent cx="5731510" cy="5817870"/>
            <wp:effectExtent l="0" t="0" r="0" b="0"/>
            <wp:docPr id="1933081637" name="Picture 1" descr="A collage of images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3081637" name="Picture 1" descr="A collage of images of different colors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1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90586">
        <w:rPr>
          <w:rFonts w:eastAsia="TimesNewRomanPS-BoldMT"/>
          <w:b/>
          <w:bCs/>
          <w:lang w:val="en-US"/>
        </w:rPr>
        <w:t xml:space="preserve"> </w:t>
      </w:r>
      <w:r>
        <w:rPr>
          <w:rFonts w:eastAsia="TimesNewRomanPS-BoldMT"/>
          <w:b/>
          <w:bCs/>
          <w:lang w:val="en-US"/>
        </w:rPr>
        <w:t xml:space="preserve">Supplementary </w:t>
      </w:r>
      <w:r w:rsidRPr="008817B9">
        <w:rPr>
          <w:rFonts w:eastAsia="TimesNewRomanPS-BoldMT"/>
          <w:b/>
          <w:bCs/>
          <w:lang w:val="en-US"/>
        </w:rPr>
        <w:t xml:space="preserve">Fig. </w:t>
      </w:r>
      <w:r>
        <w:rPr>
          <w:rFonts w:eastAsia="TimesNewRomanPS-BoldMT"/>
          <w:b/>
          <w:bCs/>
          <w:lang w:val="en-US"/>
        </w:rPr>
        <w:t>2.</w:t>
      </w:r>
      <w:r w:rsidRPr="008817B9">
        <w:rPr>
          <w:rFonts w:eastAsia="TimesNewRomanPS-BoldMT"/>
          <w:b/>
          <w:bCs/>
          <w:lang w:val="en-US"/>
        </w:rPr>
        <w:t xml:space="preserve"> </w:t>
      </w:r>
      <w:r w:rsidRPr="00A90586">
        <w:rPr>
          <w:rFonts w:eastAsia="TimesNewRomanPS-BoldMT"/>
          <w:b/>
          <w:bCs/>
          <w:lang w:val="en-US"/>
        </w:rPr>
        <w:t>Fluorescent microscopy Analysis of EV-mediated Cre delivery and test of different</w:t>
      </w:r>
      <w:r>
        <w:rPr>
          <w:rFonts w:eastAsia="TimesNewRomanPS-BoldMT"/>
          <w:b/>
          <w:bCs/>
          <w:lang w:val="en-US"/>
        </w:rPr>
        <w:t xml:space="preserve"> </w:t>
      </w:r>
      <w:r w:rsidRPr="00A90586">
        <w:rPr>
          <w:rFonts w:eastAsia="TimesNewRomanPS-BoldMT"/>
          <w:b/>
          <w:bCs/>
          <w:lang w:val="en-US"/>
        </w:rPr>
        <w:t xml:space="preserve">EV-sorting domains for VEDIC system. </w:t>
      </w:r>
      <w:r>
        <w:rPr>
          <w:rFonts w:eastAsia="TimesNewRomanPS-BoldMT"/>
          <w:b/>
          <w:bCs/>
          <w:lang w:val="en-US"/>
        </w:rPr>
        <w:t>a,b</w:t>
      </w:r>
      <w:r w:rsidRPr="008E6E7E">
        <w:rPr>
          <w:rFonts w:eastAsia="TimesNewRomanPSMT"/>
          <w:b/>
          <w:bCs/>
          <w:lang w:val="en-US"/>
        </w:rPr>
        <w:t>,</w:t>
      </w:r>
      <w:r>
        <w:rPr>
          <w:rFonts w:eastAsia="TimesNewRomanPSMT"/>
          <w:lang w:val="en-US"/>
        </w:rPr>
        <w:t xml:space="preserve"> </w:t>
      </w:r>
      <w:r w:rsidRPr="00A90586">
        <w:rPr>
          <w:rFonts w:eastAsia="TimesNewRomanPSMT"/>
          <w:lang w:val="en-US"/>
        </w:rPr>
        <w:t xml:space="preserve">Fluorescent microscopy analysis of Cre-mediated B16F10-TL </w:t>
      </w:r>
      <w:r>
        <w:rPr>
          <w:rFonts w:eastAsia="TimesNewRomanPSMT"/>
          <w:lang w:val="en-US"/>
        </w:rPr>
        <w:t>and MSC-TL</w:t>
      </w:r>
      <w:r w:rsidRPr="00A90586">
        <w:rPr>
          <w:rFonts w:eastAsia="TimesNewRomanPSMT"/>
          <w:lang w:val="en-US"/>
        </w:rPr>
        <w:t xml:space="preserve"> reporter cell activation after adding indicated doses of EVs for indicated time of incubation. Scale bar, 100 </w:t>
      </w:r>
      <w:r w:rsidRPr="00A90586">
        <w:rPr>
          <w:rFonts w:eastAsia="TimesNewRomanPSMT"/>
          <w:lang w:val="nl-NL"/>
        </w:rPr>
        <w:t>μ</w:t>
      </w:r>
      <w:r w:rsidRPr="00A90586">
        <w:rPr>
          <w:rFonts w:eastAsia="TimesNewRomanPSMT"/>
          <w:lang w:val="en-US"/>
        </w:rPr>
        <w:t xml:space="preserve">m, representative images. </w:t>
      </w:r>
      <w:r w:rsidRPr="008E6E7E">
        <w:rPr>
          <w:rFonts w:eastAsia="TimesNewRomanPSMT"/>
          <w:b/>
          <w:bCs/>
          <w:lang w:val="en-US"/>
        </w:rPr>
        <w:t xml:space="preserve">c, </w:t>
      </w:r>
      <w:r w:rsidRPr="00A90586">
        <w:rPr>
          <w:rFonts w:eastAsia="TimesNewRomanPSMT"/>
          <w:lang w:val="en-US"/>
        </w:rPr>
        <w:t xml:space="preserve">Cre and VSV-G proteins measured by WB in B16F10-TL cells after adding the indicated doses of engineered EVs in 24-well plates. </w:t>
      </w:r>
      <w:r w:rsidRPr="008E6E7E">
        <w:rPr>
          <w:rFonts w:eastAsia="TimesNewRomanPSMT"/>
          <w:b/>
          <w:bCs/>
          <w:lang w:val="en-US"/>
        </w:rPr>
        <w:t>d,</w:t>
      </w:r>
      <w:r w:rsidRPr="00A90586">
        <w:rPr>
          <w:lang w:val="en-US"/>
        </w:rPr>
        <w:t xml:space="preserve"> Recombination in reporter cells mediated by EVs derived from engineered cells using different EV-sorting domains.</w:t>
      </w:r>
      <w:r w:rsidRPr="00A90586">
        <w:rPr>
          <w:rFonts w:eastAsia="TimesNewRomanPSMT"/>
          <w:lang w:val="en-US"/>
        </w:rPr>
        <w:t xml:space="preserve"> </w:t>
      </w:r>
      <w:r w:rsidRPr="00A90586">
        <w:t>Two-way ANOVA multiple comparisons test was used for analysis of (</w:t>
      </w:r>
      <w:r w:rsidRPr="008E6E7E">
        <w:rPr>
          <w:b/>
          <w:bCs/>
          <w:lang w:val="en-US"/>
        </w:rPr>
        <w:t>d</w:t>
      </w:r>
      <w:r w:rsidRPr="00A90586">
        <w:t xml:space="preserve">). </w:t>
      </w:r>
      <w:r w:rsidRPr="00A90586">
        <w:rPr>
          <w:lang w:val="en-US"/>
        </w:rPr>
        <w:t>Data are shown as mean</w:t>
      </w:r>
      <w:r w:rsidRPr="00A90586">
        <w:rPr>
          <w:u w:val="single"/>
          <w:lang w:val="en-US"/>
        </w:rPr>
        <w:t>+</w:t>
      </w:r>
      <w:r w:rsidRPr="00A90586">
        <w:rPr>
          <w:lang w:val="en-US"/>
        </w:rPr>
        <w:t xml:space="preserve">SD, </w:t>
      </w:r>
      <w:r w:rsidRPr="00A90586">
        <w:t>* p &lt; 0.05; ** p &lt; 0.01; *** p &lt; 0.001.</w:t>
      </w:r>
    </w:p>
    <w:p w14:paraId="27A15F8A" w14:textId="77777777" w:rsidR="00FF02B2" w:rsidRDefault="00FF02B2" w:rsidP="00FF02B2">
      <w:pPr>
        <w:rPr>
          <w:b/>
          <w:bCs/>
          <w:lang w:val="en-US"/>
        </w:rPr>
      </w:pPr>
      <w:r w:rsidRPr="00AD5D4C">
        <w:rPr>
          <w:b/>
          <w:bCs/>
          <w:noProof/>
          <w:lang w:val="en-US"/>
        </w:rPr>
        <w:lastRenderedPageBreak/>
        <w:drawing>
          <wp:inline distT="0" distB="0" distL="0" distR="0" wp14:anchorId="553DD0CD" wp14:editId="3F802B14">
            <wp:extent cx="5709920" cy="8863330"/>
            <wp:effectExtent l="0" t="0" r="5080" b="1270"/>
            <wp:docPr id="546385260" name="Picture 1" descr="A close-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385260" name="Picture 1" descr="A close-up of a 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0992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AEC9F" w14:textId="77777777" w:rsidR="00FF02B2" w:rsidRPr="007337BB" w:rsidRDefault="00FF02B2" w:rsidP="00FF02B2">
      <w:pPr>
        <w:jc w:val="both"/>
        <w:rPr>
          <w:rFonts w:eastAsia="TimesNewRomanPS-BoldMT"/>
          <w:b/>
          <w:bCs/>
          <w:lang w:val="en-US"/>
        </w:rPr>
      </w:pPr>
      <w:r>
        <w:rPr>
          <w:rFonts w:eastAsia="TimesNewRomanPS-BoldMT"/>
          <w:b/>
          <w:bCs/>
          <w:lang w:val="en-US"/>
        </w:rPr>
        <w:lastRenderedPageBreak/>
        <w:t xml:space="preserve">Supplementary </w:t>
      </w:r>
      <w:r w:rsidRPr="003266FA">
        <w:rPr>
          <w:rFonts w:eastAsia="TimesNewRomanPS-BoldMT"/>
          <w:b/>
          <w:bCs/>
          <w:lang w:val="en-US"/>
        </w:rPr>
        <w:t xml:space="preserve">Fig. </w:t>
      </w:r>
      <w:r>
        <w:rPr>
          <w:rFonts w:eastAsia="TimesNewRomanPS-BoldMT"/>
          <w:b/>
          <w:bCs/>
          <w:lang w:val="en-US"/>
        </w:rPr>
        <w:t>3</w:t>
      </w:r>
      <w:r w:rsidRPr="003266FA">
        <w:rPr>
          <w:rFonts w:eastAsia="TimesNewRomanPS-BoldMT"/>
          <w:b/>
          <w:bCs/>
          <w:lang w:val="en-US"/>
        </w:rPr>
        <w:t>. Co-culture assays for validation of the VEDIC system for efficient intracellular protein delivery</w:t>
      </w:r>
      <w:r>
        <w:rPr>
          <w:rFonts w:eastAsia="TimesNewRomanPS-BoldMT"/>
          <w:b/>
          <w:bCs/>
          <w:lang w:val="en-US"/>
        </w:rPr>
        <w:t xml:space="preserve">. </w:t>
      </w:r>
      <w:r w:rsidRPr="003266FA">
        <w:rPr>
          <w:rFonts w:eastAsia="TimesNewRomanPSMT"/>
          <w:b/>
          <w:bCs/>
          <w:lang w:val="en-US"/>
        </w:rPr>
        <w:t>a,</w:t>
      </w:r>
      <w:r>
        <w:rPr>
          <w:rFonts w:eastAsia="TimesNewRomanPSMT"/>
          <w:lang w:val="en-US"/>
        </w:rPr>
        <w:t xml:space="preserve"> </w:t>
      </w:r>
      <w:r w:rsidRPr="003266FA">
        <w:rPr>
          <w:rFonts w:eastAsia="TimesNewRomanPSMT"/>
          <w:lang w:val="en-US"/>
        </w:rPr>
        <w:t xml:space="preserve">Brief workflow for the direct co-culture assay of EV-producing cells and reporter cells to show EV-mediated Cre delivery. </w:t>
      </w:r>
      <w:r w:rsidRPr="007337BB">
        <w:rPr>
          <w:rFonts w:eastAsia="TimesNewRomanPSMT"/>
          <w:b/>
          <w:bCs/>
          <w:lang w:val="en-US"/>
        </w:rPr>
        <w:t>b,</w:t>
      </w:r>
      <w:r w:rsidRPr="003266FA">
        <w:rPr>
          <w:rFonts w:eastAsia="TimesNewRomanPSMT"/>
          <w:lang w:val="en-US"/>
        </w:rPr>
        <w:t xml:space="preserve"> Co-culture assay for evaluation of Cre transfer without expression of VSV-G. </w:t>
      </w:r>
      <w:r w:rsidRPr="007337BB">
        <w:rPr>
          <w:rFonts w:eastAsia="TimesNewRomanPSMT"/>
          <w:b/>
          <w:bCs/>
          <w:lang w:val="en-US"/>
        </w:rPr>
        <w:t>c,</w:t>
      </w:r>
      <w:r w:rsidRPr="003266FA">
        <w:rPr>
          <w:rFonts w:eastAsia="TimesNewRomanPSMT"/>
          <w:lang w:val="en-US"/>
        </w:rPr>
        <w:t xml:space="preserve"> Analysis of Cre-mediated recombination in cells after a co-culture assay with expression of VSV-G. </w:t>
      </w:r>
      <w:r w:rsidRPr="007337BB">
        <w:rPr>
          <w:rFonts w:eastAsia="TimesNewRomanPSMT"/>
          <w:b/>
          <w:bCs/>
          <w:lang w:val="en-US"/>
        </w:rPr>
        <w:t>d,</w:t>
      </w:r>
      <w:r w:rsidRPr="003266FA">
        <w:rPr>
          <w:rFonts w:eastAsia="TimesNewRomanPSMT"/>
          <w:lang w:val="en-US"/>
        </w:rPr>
        <w:t xml:space="preserve"> Comparison of Cre transfer efficiency using different EV loading domains in a direct co-culture assay. </w:t>
      </w:r>
      <w:r w:rsidRPr="007337BB">
        <w:rPr>
          <w:rFonts w:eastAsia="TimesNewRomanPSMT"/>
          <w:b/>
          <w:bCs/>
          <w:lang w:val="en-US"/>
        </w:rPr>
        <w:t>e,</w:t>
      </w:r>
      <w:r w:rsidRPr="003266FA">
        <w:rPr>
          <w:rFonts w:eastAsia="TimesNewRomanPSMT"/>
          <w:lang w:val="en-US"/>
        </w:rPr>
        <w:t xml:space="preserve"> Gating strategy utilized for the analysis of Cre recombination, as indicated by the percentage of GFP positive cells, in co-culture assay. </w:t>
      </w:r>
      <w:r w:rsidRPr="007337BB">
        <w:rPr>
          <w:rFonts w:eastAsia="TimesNewRomanPSMT"/>
          <w:b/>
          <w:bCs/>
          <w:lang w:val="en-US"/>
        </w:rPr>
        <w:t>f,</w:t>
      </w:r>
      <w:r w:rsidRPr="003266FA">
        <w:rPr>
          <w:rFonts w:eastAsia="TimesNewRomanPSMT"/>
          <w:lang w:val="en-US"/>
        </w:rPr>
        <w:t xml:space="preserve"> Schematic graph to show the principle and workflow of </w:t>
      </w:r>
      <w:r w:rsidRPr="003266FA">
        <w:t>IBIDI co-culture µ-slide</w:t>
      </w:r>
      <w:r w:rsidRPr="003266FA">
        <w:rPr>
          <w:lang w:val="en-US"/>
        </w:rPr>
        <w:t xml:space="preserve"> (</w:t>
      </w:r>
      <w:r w:rsidRPr="003266FA">
        <w:rPr>
          <w:rFonts w:eastAsia="TimesNewRomanPSMT"/>
          <w:lang w:val="en-US"/>
        </w:rPr>
        <w:t xml:space="preserve">IBIDI) and Transwell co-culture assays demonstrating cell-cell contact independent Cre delivery from donor cells to recipient cells. The pore size for Transwell assay was 0.4 </w:t>
      </w:r>
      <w:r w:rsidRPr="003266FA">
        <w:rPr>
          <w:rFonts w:eastAsia="TimesNewRomanPSMT"/>
          <w:lang w:val="nl-NL"/>
        </w:rPr>
        <w:t>μ</w:t>
      </w:r>
      <w:r w:rsidRPr="003266FA">
        <w:rPr>
          <w:rFonts w:eastAsia="TimesNewRomanPSMT"/>
          <w:lang w:val="en-US"/>
        </w:rPr>
        <w:t xml:space="preserve">m. </w:t>
      </w:r>
      <w:r>
        <w:rPr>
          <w:rFonts w:eastAsia="TimesNewRomanPSMT"/>
          <w:b/>
          <w:bCs/>
          <w:lang w:val="en-US"/>
        </w:rPr>
        <w:t>g</w:t>
      </w:r>
      <w:r w:rsidRPr="003266FA">
        <w:rPr>
          <w:rFonts w:eastAsia="TimesNewRomanPSMT"/>
          <w:b/>
          <w:bCs/>
          <w:lang w:val="en-US"/>
        </w:rPr>
        <w:t>,</w:t>
      </w:r>
      <w:r w:rsidRPr="003266FA">
        <w:rPr>
          <w:rFonts w:eastAsia="TimesNewRomanPSMT"/>
          <w:lang w:val="en-US"/>
        </w:rPr>
        <w:t xml:space="preserve"> Flow cytometry analysis of Cre delivery mediated by engineered EVs in a contact-independent co-culture assay using IBIDI assay. 3×10</w:t>
      </w:r>
      <w:r w:rsidRPr="003266FA">
        <w:rPr>
          <w:rFonts w:eastAsia="TimesNewRomanPSMT"/>
          <w:vertAlign w:val="superscript"/>
          <w:lang w:val="en-US"/>
        </w:rPr>
        <w:t>4</w:t>
      </w:r>
      <w:r w:rsidRPr="003266FA">
        <w:rPr>
          <w:rFonts w:eastAsia="TimesNewRomanPSMT"/>
          <w:sz w:val="16"/>
          <w:szCs w:val="16"/>
          <w:lang w:val="en-US"/>
        </w:rPr>
        <w:t xml:space="preserve"> </w:t>
      </w:r>
      <w:r w:rsidRPr="003266FA">
        <w:rPr>
          <w:rFonts w:eastAsia="TimesNewRomanPSMT"/>
          <w:lang w:val="en-US"/>
        </w:rPr>
        <w:t>EV-producing cells and 4×10</w:t>
      </w:r>
      <w:r w:rsidRPr="003266FA">
        <w:rPr>
          <w:rFonts w:eastAsia="TimesNewRomanPSMT"/>
          <w:vertAlign w:val="superscript"/>
          <w:lang w:val="en-US"/>
        </w:rPr>
        <w:t>4</w:t>
      </w:r>
      <w:r>
        <w:rPr>
          <w:rFonts w:eastAsia="TimesNewRomanPSMT"/>
          <w:sz w:val="16"/>
          <w:szCs w:val="16"/>
          <w:lang w:val="en-US"/>
        </w:rPr>
        <w:t xml:space="preserve"> </w:t>
      </w:r>
      <w:r w:rsidRPr="003266FA">
        <w:rPr>
          <w:rFonts w:eastAsia="TimesNewRomanPSMT"/>
          <w:lang w:val="en-US"/>
        </w:rPr>
        <w:t xml:space="preserve">reporter cells were seeded into the surrounding reservoirs and central reservoir respectively and the analysis was performed after 4 days. </w:t>
      </w:r>
      <w:r>
        <w:rPr>
          <w:rFonts w:eastAsia="TimesNewRomanPSMT"/>
          <w:b/>
          <w:bCs/>
          <w:lang w:val="en-US"/>
        </w:rPr>
        <w:t>h</w:t>
      </w:r>
      <w:r>
        <w:rPr>
          <w:rFonts w:eastAsia="TimesNewRomanPSMT"/>
          <w:lang w:val="en-US"/>
        </w:rPr>
        <w:t>,</w:t>
      </w:r>
      <w:r w:rsidRPr="007337BB">
        <w:rPr>
          <w:rFonts w:eastAsia="TimesNewRomanPSMT"/>
          <w:b/>
          <w:bCs/>
          <w:lang w:val="en-US"/>
        </w:rPr>
        <w:t>i</w:t>
      </w:r>
      <w:r>
        <w:rPr>
          <w:rFonts w:eastAsia="TimesNewRomanPSMT"/>
          <w:lang w:val="en-US"/>
        </w:rPr>
        <w:t>,</w:t>
      </w:r>
      <w:r w:rsidRPr="003266FA">
        <w:rPr>
          <w:rFonts w:eastAsia="TimesNewRomanPSMT"/>
          <w:lang w:val="en-US"/>
        </w:rPr>
        <w:t xml:space="preserve"> Flow cytometry analysis of Engineered EV-mediated Cre delivery from donor cells to B16F10-TL and T47D-TL reporter cells </w:t>
      </w:r>
      <w:r>
        <w:rPr>
          <w:rFonts w:eastAsia="TimesNewRomanPSMT"/>
          <w:lang w:val="en-US"/>
        </w:rPr>
        <w:t xml:space="preserve">respectively </w:t>
      </w:r>
      <w:r w:rsidRPr="003266FA">
        <w:rPr>
          <w:rFonts w:eastAsia="TimesNewRomanPSMT"/>
          <w:lang w:val="en-US"/>
        </w:rPr>
        <w:t>in a co-culture Transwell assay in 24-well plates. Indicated numbers of EV-producing cells were seeded into the upper chamber and the numbers of B16F10-TL and T47D-TL reporter cells in the lower chamber were 5×10</w:t>
      </w:r>
      <w:r w:rsidRPr="003266FA">
        <w:rPr>
          <w:rFonts w:eastAsia="TimesNewRomanPSMT"/>
          <w:vertAlign w:val="superscript"/>
          <w:lang w:val="en-US"/>
        </w:rPr>
        <w:t>4</w:t>
      </w:r>
      <w:r w:rsidRPr="003266FA">
        <w:rPr>
          <w:rFonts w:eastAsia="TimesNewRomanPSMT"/>
          <w:sz w:val="16"/>
          <w:szCs w:val="16"/>
          <w:lang w:val="en-US"/>
        </w:rPr>
        <w:t xml:space="preserve"> </w:t>
      </w:r>
      <w:r w:rsidRPr="003266FA">
        <w:rPr>
          <w:rFonts w:eastAsia="TimesNewRomanPSMT"/>
          <w:lang w:val="en-US"/>
        </w:rPr>
        <w:t>and 8×10</w:t>
      </w:r>
      <w:r w:rsidRPr="003266FA">
        <w:rPr>
          <w:rFonts w:eastAsia="TimesNewRomanPSMT"/>
          <w:vertAlign w:val="superscript"/>
          <w:lang w:val="en-US"/>
        </w:rPr>
        <w:t>4</w:t>
      </w:r>
      <w:r w:rsidRPr="003266FA">
        <w:rPr>
          <w:rFonts w:eastAsia="TimesNewRomanPSMT"/>
          <w:sz w:val="16"/>
          <w:szCs w:val="16"/>
          <w:lang w:val="en-US"/>
        </w:rPr>
        <w:t xml:space="preserve"> </w:t>
      </w:r>
      <w:r w:rsidRPr="003266FA">
        <w:rPr>
          <w:rFonts w:eastAsia="TimesNewRomanPSMT"/>
          <w:lang w:val="en-US"/>
        </w:rPr>
        <w:t>respectively in 24-well plate. Flow cytometry analysis was performed after 96 h.</w:t>
      </w:r>
      <w:r>
        <w:rPr>
          <w:rFonts w:eastAsia="TimesNewRomanPSMT"/>
          <w:lang w:val="en-US"/>
        </w:rPr>
        <w:t xml:space="preserve"> </w:t>
      </w:r>
      <w:r w:rsidRPr="007337BB">
        <w:rPr>
          <w:rFonts w:eastAsia="TimesNewRomanPSMT"/>
          <w:b/>
          <w:bCs/>
          <w:lang w:val="en-US"/>
        </w:rPr>
        <w:t>j,</w:t>
      </w:r>
      <w:r w:rsidRPr="003266FA">
        <w:rPr>
          <w:rFonts w:eastAsia="TimesNewRomanPSMT"/>
          <w:lang w:val="en-US"/>
        </w:rPr>
        <w:t xml:space="preserve"> Representative fluorescence microscopy images showing Cre recombinase-induced GFP expression in HeLa-TL cells by IBIDI assay. Scale bar, 100 </w:t>
      </w:r>
      <w:r w:rsidRPr="003266FA">
        <w:rPr>
          <w:rFonts w:eastAsia="TimesNewRomanPSMT"/>
          <w:lang w:val="nl-NL"/>
        </w:rPr>
        <w:t>μ</w:t>
      </w:r>
      <w:r w:rsidRPr="003266FA">
        <w:rPr>
          <w:rFonts w:eastAsia="TimesNewRomanPSMT"/>
          <w:lang w:val="en-US"/>
        </w:rPr>
        <w:t xml:space="preserve">m. </w:t>
      </w:r>
      <w:r w:rsidRPr="007337BB">
        <w:rPr>
          <w:rFonts w:eastAsia="TimesNewRomanPSMT"/>
          <w:b/>
          <w:bCs/>
          <w:lang w:val="en-US"/>
        </w:rPr>
        <w:t>k,</w:t>
      </w:r>
      <w:r w:rsidRPr="003266FA">
        <w:rPr>
          <w:rFonts w:eastAsia="TimesNewRomanPSMT"/>
          <w:lang w:val="en-US"/>
        </w:rPr>
        <w:t xml:space="preserve"> Fluorescence microscopy images demonstrating GFP positive cells in B16F10-TL after a Transwell assay in 24-well plates. Scale bar, 100 μm, representative images.</w:t>
      </w:r>
      <w:r>
        <w:rPr>
          <w:rFonts w:eastAsia="TimesNewRomanPS-BoldMT"/>
          <w:b/>
          <w:bCs/>
          <w:lang w:val="en-US"/>
        </w:rPr>
        <w:t xml:space="preserve"> </w:t>
      </w:r>
      <w:r w:rsidRPr="003266FA">
        <w:rPr>
          <w:rFonts w:eastAsia="TimesNewRomanPSMT"/>
          <w:lang w:val="en-US"/>
        </w:rPr>
        <w:t xml:space="preserve">Two-way ANOVA </w:t>
      </w:r>
      <w:r w:rsidRPr="003266FA">
        <w:t xml:space="preserve">multiple comparisons </w:t>
      </w:r>
      <w:r w:rsidRPr="003266FA">
        <w:rPr>
          <w:rFonts w:eastAsia="TimesNewRomanPSMT"/>
          <w:lang w:val="en-US"/>
        </w:rPr>
        <w:t xml:space="preserve">test was used for analysis of </w:t>
      </w:r>
      <w:r>
        <w:rPr>
          <w:rFonts w:eastAsia="TimesNewRomanPSMT"/>
          <w:lang w:val="en-US"/>
        </w:rPr>
        <w:t>(</w:t>
      </w:r>
      <w:r w:rsidRPr="007337BB">
        <w:rPr>
          <w:rFonts w:eastAsia="TimesNewRomanPSMT"/>
          <w:b/>
          <w:bCs/>
          <w:lang w:val="en-US"/>
        </w:rPr>
        <w:t>b</w:t>
      </w:r>
      <w:r>
        <w:rPr>
          <w:rFonts w:eastAsia="TimesNewRomanPSMT"/>
          <w:lang w:val="en-US"/>
        </w:rPr>
        <w:t>-</w:t>
      </w:r>
      <w:r w:rsidRPr="007337BB">
        <w:rPr>
          <w:rFonts w:eastAsia="TimesNewRomanPSMT"/>
          <w:b/>
          <w:bCs/>
          <w:lang w:val="en-US"/>
        </w:rPr>
        <w:t>d</w:t>
      </w:r>
      <w:r>
        <w:rPr>
          <w:rFonts w:eastAsia="TimesNewRomanPSMT"/>
          <w:lang w:val="en-US"/>
        </w:rPr>
        <w:t>)</w:t>
      </w:r>
      <w:r w:rsidRPr="003266FA">
        <w:rPr>
          <w:rFonts w:eastAsia="TimesNewRomanPSMT"/>
          <w:lang w:val="en-US"/>
        </w:rPr>
        <w:t xml:space="preserve"> and (</w:t>
      </w:r>
      <w:r w:rsidRPr="007337BB">
        <w:rPr>
          <w:rFonts w:eastAsia="TimesNewRomanPSMT"/>
          <w:b/>
          <w:bCs/>
          <w:lang w:val="en-US"/>
        </w:rPr>
        <w:t>g</w:t>
      </w:r>
      <w:r w:rsidRPr="003266FA">
        <w:rPr>
          <w:rFonts w:eastAsia="TimesNewRomanPSMT"/>
          <w:lang w:val="en-US"/>
        </w:rPr>
        <w:t>-</w:t>
      </w:r>
      <w:r w:rsidRPr="007337BB">
        <w:rPr>
          <w:rFonts w:eastAsia="TimesNewRomanPSMT"/>
          <w:b/>
          <w:bCs/>
          <w:lang w:val="en-US"/>
        </w:rPr>
        <w:t>i</w:t>
      </w:r>
      <w:r w:rsidRPr="003266FA">
        <w:rPr>
          <w:rFonts w:eastAsia="TimesNewRomanPSMT"/>
          <w:lang w:val="en-US"/>
        </w:rPr>
        <w:t>). Data were shown as means+SD, * p &lt; 0.05; ** p &lt; 0.01; *** p &lt; 0.001.</w:t>
      </w:r>
    </w:p>
    <w:p w14:paraId="0DB49882" w14:textId="77777777" w:rsidR="00FF02B2" w:rsidRDefault="00FF02B2" w:rsidP="00FF02B2">
      <w:pPr>
        <w:rPr>
          <w:b/>
          <w:bCs/>
          <w:lang w:val="en-US"/>
        </w:rPr>
      </w:pPr>
      <w:r w:rsidRPr="00AC4FA9">
        <w:rPr>
          <w:b/>
          <w:bCs/>
          <w:noProof/>
          <w:lang w:val="en-US"/>
        </w:rPr>
        <w:lastRenderedPageBreak/>
        <w:drawing>
          <wp:inline distT="0" distB="0" distL="0" distR="0" wp14:anchorId="3301799B" wp14:editId="5AA2F2E5">
            <wp:extent cx="5731510" cy="8114665"/>
            <wp:effectExtent l="0" t="0" r="0" b="635"/>
            <wp:docPr id="497631672" name="Picture 1" descr="A collage of images of different typ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631672" name="Picture 1" descr="A collage of images of different types of cell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1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B79BB" w14:textId="77777777" w:rsidR="00FF02B2" w:rsidRPr="00CB0212" w:rsidRDefault="00FF02B2" w:rsidP="00FF02B2">
      <w:pPr>
        <w:jc w:val="both"/>
        <w:rPr>
          <w:rFonts w:eastAsia="TimesNewRomanPS-BoldMT"/>
          <w:b/>
          <w:bCs/>
          <w:lang w:val="en-US"/>
        </w:rPr>
      </w:pPr>
      <w:r>
        <w:rPr>
          <w:rFonts w:eastAsia="TimesNewRomanPS-BoldMT"/>
          <w:b/>
          <w:bCs/>
          <w:lang w:val="en-US"/>
        </w:rPr>
        <w:t xml:space="preserve">Supplementary </w:t>
      </w:r>
      <w:r w:rsidRPr="00D75AD0">
        <w:rPr>
          <w:rFonts w:eastAsia="TimesNewRomanPS-BoldMT"/>
          <w:b/>
          <w:bCs/>
          <w:lang w:val="en-US"/>
        </w:rPr>
        <w:t xml:space="preserve">Fig. </w:t>
      </w:r>
      <w:r>
        <w:rPr>
          <w:rFonts w:eastAsia="TimesNewRomanPS-BoldMT"/>
          <w:b/>
          <w:bCs/>
          <w:lang w:val="en-US"/>
        </w:rPr>
        <w:t>4</w:t>
      </w:r>
      <w:r w:rsidRPr="00D75AD0">
        <w:rPr>
          <w:rFonts w:eastAsia="TimesNewRomanPS-BoldMT"/>
          <w:b/>
          <w:bCs/>
          <w:lang w:val="en-US"/>
        </w:rPr>
        <w:t>. Development of VFIC system for efficient intracellular protein delivery</w:t>
      </w:r>
      <w:r>
        <w:rPr>
          <w:rFonts w:eastAsia="TimesNewRomanPS-BoldMT"/>
          <w:b/>
          <w:bCs/>
          <w:lang w:val="en-US"/>
        </w:rPr>
        <w:t xml:space="preserve">. </w:t>
      </w:r>
      <w:r w:rsidRPr="00CB0212">
        <w:rPr>
          <w:rFonts w:eastAsia="TimesNewRomanPSMT"/>
          <w:b/>
          <w:bCs/>
          <w:lang w:val="en-US"/>
        </w:rPr>
        <w:t>a,</w:t>
      </w:r>
      <w:r w:rsidRPr="00D75AD0">
        <w:rPr>
          <w:rFonts w:eastAsia="TimesNewRomanPSMT"/>
          <w:lang w:val="en-US"/>
        </w:rPr>
        <w:t xml:space="preserve"> Percentage of GFP positive cells in HeLa-TL cells after adding engineered EVs for </w:t>
      </w:r>
      <w:r>
        <w:rPr>
          <w:rFonts w:eastAsia="TimesNewRomanPSMT"/>
          <w:lang w:val="en-US"/>
        </w:rPr>
        <w:t>1-3</w:t>
      </w:r>
      <w:r w:rsidRPr="00D75AD0">
        <w:rPr>
          <w:rFonts w:eastAsia="TimesNewRomanPSMT"/>
          <w:lang w:val="en-US"/>
        </w:rPr>
        <w:t xml:space="preserve"> days. Indicated doses of EVs were added. </w:t>
      </w:r>
      <w:r w:rsidRPr="00CB0212">
        <w:rPr>
          <w:rFonts w:eastAsia="TimesNewRomanPSMT"/>
          <w:b/>
          <w:bCs/>
          <w:lang w:val="en-US"/>
        </w:rPr>
        <w:t>b,</w:t>
      </w:r>
      <w:r w:rsidRPr="00D75AD0">
        <w:rPr>
          <w:rFonts w:eastAsia="TimesNewRomanPSMT"/>
          <w:lang w:val="en-US"/>
        </w:rPr>
        <w:t xml:space="preserve"> Percentage of recombined cells mediated by Cre from adding engineered EVs in T47D-TL cells for </w:t>
      </w:r>
      <w:r>
        <w:rPr>
          <w:rFonts w:eastAsia="TimesNewRomanPSMT"/>
          <w:lang w:val="en-US"/>
        </w:rPr>
        <w:t>1-3 days</w:t>
      </w:r>
      <w:r w:rsidRPr="00D75AD0">
        <w:rPr>
          <w:rFonts w:eastAsia="TimesNewRomanPSMT"/>
          <w:lang w:val="en-US"/>
        </w:rPr>
        <w:t>.</w:t>
      </w:r>
      <w:r>
        <w:rPr>
          <w:rFonts w:eastAsia="TimesNewRomanPS-BoldMT"/>
          <w:b/>
          <w:bCs/>
          <w:lang w:val="en-US"/>
        </w:rPr>
        <w:t xml:space="preserve"> </w:t>
      </w:r>
      <w:r w:rsidRPr="00CB0212">
        <w:rPr>
          <w:rFonts w:eastAsia="TimesNewRomanPSMT"/>
          <w:b/>
          <w:bCs/>
          <w:lang w:val="en-US"/>
        </w:rPr>
        <w:t>c,</w:t>
      </w:r>
      <w:r w:rsidRPr="00D75AD0">
        <w:rPr>
          <w:rFonts w:eastAsia="TimesNewRomanPSMT"/>
          <w:lang w:val="en-US"/>
        </w:rPr>
        <w:t xml:space="preserve"> Representative </w:t>
      </w:r>
      <w:r w:rsidRPr="00D75AD0">
        <w:rPr>
          <w:rFonts w:eastAsia="TimesNewRomanPSMT"/>
          <w:lang w:val="en-US"/>
        </w:rPr>
        <w:lastRenderedPageBreak/>
        <w:t xml:space="preserve">fluorescence microscopy images showed the GFP expression in MSC-TL cells after EV-mediated Cre delivery. Indicated doses of isolated EVs were incubated for the indicated time. Isolated EVs from VFIC system demonstrated dose- and time-dependent Cre delivery into recipient cells. Scale bar, 100 </w:t>
      </w:r>
      <w:r w:rsidRPr="00D75AD0">
        <w:rPr>
          <w:rFonts w:eastAsia="TimesNewRomanPSMT"/>
          <w:lang w:val="nl-NL"/>
        </w:rPr>
        <w:t>μ</w:t>
      </w:r>
      <w:r w:rsidRPr="00D75AD0">
        <w:rPr>
          <w:rFonts w:eastAsia="TimesNewRomanPSMT"/>
          <w:lang w:val="en-US"/>
        </w:rPr>
        <w:t>m.</w:t>
      </w:r>
      <w:r>
        <w:rPr>
          <w:rFonts w:eastAsia="TimesNewRomanPS-BoldMT"/>
          <w:b/>
          <w:bCs/>
          <w:lang w:val="en-US"/>
        </w:rPr>
        <w:t xml:space="preserve"> </w:t>
      </w:r>
      <w:r w:rsidRPr="00CB0212">
        <w:rPr>
          <w:rFonts w:eastAsia="TimesNewRomanPSMT"/>
          <w:b/>
          <w:bCs/>
          <w:lang w:val="en-US"/>
        </w:rPr>
        <w:t>d,</w:t>
      </w:r>
      <w:r w:rsidRPr="00D75AD0">
        <w:rPr>
          <w:rFonts w:eastAsia="TimesNewRomanPSMT"/>
          <w:lang w:val="en-US"/>
        </w:rPr>
        <w:t xml:space="preserve"> The expression of constructs related to VFIC system as measured by WB analysis. Proteins from 5×10</w:t>
      </w:r>
      <w:r w:rsidRPr="00D75AD0">
        <w:rPr>
          <w:rFonts w:eastAsia="TimesNewRomanPSMT"/>
          <w:vertAlign w:val="superscript"/>
          <w:lang w:val="en-US"/>
        </w:rPr>
        <w:t>5</w:t>
      </w:r>
      <w:r w:rsidRPr="00D75AD0">
        <w:rPr>
          <w:rFonts w:eastAsia="TimesNewRomanPSMT"/>
          <w:sz w:val="16"/>
          <w:szCs w:val="16"/>
          <w:lang w:val="en-US"/>
        </w:rPr>
        <w:t xml:space="preserve"> </w:t>
      </w:r>
      <w:r w:rsidRPr="00D75AD0">
        <w:rPr>
          <w:rFonts w:eastAsia="TimesNewRomanPSMT"/>
          <w:lang w:val="en-US"/>
        </w:rPr>
        <w:t>EV-producing cells and 1×10</w:t>
      </w:r>
      <w:r w:rsidRPr="00D75AD0">
        <w:rPr>
          <w:rFonts w:eastAsia="TimesNewRomanPSMT"/>
          <w:vertAlign w:val="superscript"/>
          <w:lang w:val="en-US"/>
        </w:rPr>
        <w:t>10</w:t>
      </w:r>
      <w:r w:rsidRPr="00D75AD0">
        <w:rPr>
          <w:rFonts w:eastAsia="TimesNewRomanPSMT"/>
          <w:lang w:val="en-US"/>
        </w:rPr>
        <w:t xml:space="preserve"> engineered vesicles were analyzed. TSG101 was included as EV marker.</w:t>
      </w:r>
      <w:r>
        <w:rPr>
          <w:rFonts w:eastAsia="TimesNewRomanPS-BoldMT"/>
          <w:b/>
          <w:bCs/>
          <w:lang w:val="en-US"/>
        </w:rPr>
        <w:t xml:space="preserve"> </w:t>
      </w:r>
      <w:r w:rsidRPr="00CB0212">
        <w:rPr>
          <w:rFonts w:eastAsia="TimesNewRomanPSMT"/>
          <w:b/>
          <w:bCs/>
          <w:lang w:val="en-US"/>
        </w:rPr>
        <w:t>e,</w:t>
      </w:r>
      <w:r w:rsidRPr="00D75AD0">
        <w:rPr>
          <w:rFonts w:eastAsia="TimesNewRomanPSMT"/>
          <w:lang w:val="en-US"/>
        </w:rPr>
        <w:t xml:space="preserve"> Flow cytometry analysis of a direct co-culture assay using various EV engineering strategies to assay Cre transfer after 24 h. </w:t>
      </w:r>
      <w:r w:rsidRPr="00CB0212">
        <w:rPr>
          <w:rFonts w:eastAsia="TimesNewRomanPSMT"/>
          <w:b/>
          <w:bCs/>
          <w:lang w:val="en-US"/>
        </w:rPr>
        <w:t>f,</w:t>
      </w:r>
      <w:r w:rsidRPr="00D75AD0">
        <w:rPr>
          <w:rFonts w:eastAsia="TimesNewRomanPSMT"/>
          <w:lang w:val="en-US"/>
        </w:rPr>
        <w:t xml:space="preserve"> Percentage of GFP positive cells evaluated by IBIDI assay for 96 h. 4×10</w:t>
      </w:r>
      <w:r w:rsidRPr="00D75AD0">
        <w:rPr>
          <w:rFonts w:eastAsia="TimesNewRomanPSMT"/>
          <w:vertAlign w:val="superscript"/>
          <w:lang w:val="en-US"/>
        </w:rPr>
        <w:t>4</w:t>
      </w:r>
      <w:r w:rsidRPr="00D75AD0">
        <w:rPr>
          <w:rFonts w:eastAsia="TimesNewRomanPSMT"/>
          <w:sz w:val="16"/>
          <w:szCs w:val="16"/>
          <w:lang w:val="en-US"/>
        </w:rPr>
        <w:t xml:space="preserve"> </w:t>
      </w:r>
      <w:r w:rsidRPr="00D75AD0">
        <w:rPr>
          <w:rFonts w:eastAsia="TimesNewRomanPSMT"/>
          <w:lang w:val="en-US"/>
        </w:rPr>
        <w:t>EV producing cells and 4×10</w:t>
      </w:r>
      <w:r w:rsidRPr="00D75AD0">
        <w:rPr>
          <w:rFonts w:eastAsia="TimesNewRomanPSMT"/>
          <w:vertAlign w:val="superscript"/>
          <w:lang w:val="en-US"/>
        </w:rPr>
        <w:t>4</w:t>
      </w:r>
      <w:r w:rsidRPr="00D75AD0">
        <w:rPr>
          <w:rFonts w:eastAsia="TimesNewRomanPSMT"/>
          <w:sz w:val="16"/>
          <w:szCs w:val="16"/>
          <w:lang w:val="en-US"/>
        </w:rPr>
        <w:t xml:space="preserve"> </w:t>
      </w:r>
      <w:r w:rsidRPr="00D75AD0">
        <w:rPr>
          <w:rFonts w:eastAsia="TimesNewRomanPSMT"/>
          <w:lang w:val="en-US"/>
        </w:rPr>
        <w:t>reporter cells were seeded into the surrounding reservoirs and central reservoir respectively and flow cytometry was performed after 4 days.</w:t>
      </w:r>
      <w:r>
        <w:rPr>
          <w:rFonts w:eastAsia="TimesNewRomanPS-BoldMT"/>
          <w:b/>
          <w:bCs/>
          <w:lang w:val="en-US"/>
        </w:rPr>
        <w:t xml:space="preserve"> </w:t>
      </w:r>
      <w:r>
        <w:rPr>
          <w:rFonts w:eastAsia="TimesNewRomanPSMT"/>
          <w:b/>
          <w:bCs/>
          <w:lang w:val="en-US"/>
        </w:rPr>
        <w:t>g</w:t>
      </w:r>
      <w:r>
        <w:rPr>
          <w:rFonts w:eastAsia="TimesNewRomanPSMT"/>
          <w:lang w:val="en-US"/>
        </w:rPr>
        <w:t>,</w:t>
      </w:r>
      <w:r w:rsidRPr="00CB0212">
        <w:rPr>
          <w:rFonts w:eastAsia="TimesNewRomanPSMT"/>
          <w:b/>
          <w:bCs/>
          <w:lang w:val="en-US"/>
        </w:rPr>
        <w:t>h,</w:t>
      </w:r>
      <w:r w:rsidRPr="00D75AD0">
        <w:rPr>
          <w:rFonts w:eastAsia="TimesNewRomanPSMT"/>
          <w:lang w:val="en-US"/>
        </w:rPr>
        <w:t xml:space="preserve"> Percentage of GFP positive cells in B16F10-TL and T47D-TL cells respectively evaluated by Transwell assay for 96 h. Indicated numbers of EV-producing cells were added into the up chamber of the Transwell system and co-cultured with 5×10</w:t>
      </w:r>
      <w:r w:rsidRPr="00D75AD0">
        <w:rPr>
          <w:rFonts w:eastAsia="TimesNewRomanPSMT"/>
          <w:vertAlign w:val="superscript"/>
          <w:lang w:val="en-US"/>
        </w:rPr>
        <w:t>4</w:t>
      </w:r>
      <w:r w:rsidRPr="00D75AD0">
        <w:rPr>
          <w:rFonts w:eastAsia="TimesNewRomanPSMT"/>
          <w:sz w:val="16"/>
          <w:szCs w:val="16"/>
          <w:lang w:val="en-US"/>
        </w:rPr>
        <w:t xml:space="preserve"> </w:t>
      </w:r>
      <w:r w:rsidRPr="00D75AD0">
        <w:rPr>
          <w:rFonts w:eastAsia="TimesNewRomanPSMT"/>
          <w:lang w:val="en-US"/>
        </w:rPr>
        <w:t>B16F10-TL or 8×10</w:t>
      </w:r>
      <w:r w:rsidRPr="00D75AD0">
        <w:rPr>
          <w:rFonts w:eastAsia="TimesNewRomanPSMT"/>
          <w:vertAlign w:val="superscript"/>
          <w:lang w:val="en-US"/>
        </w:rPr>
        <w:t>4</w:t>
      </w:r>
      <w:r w:rsidRPr="00D75AD0">
        <w:rPr>
          <w:rFonts w:eastAsia="TimesNewRomanPSMT"/>
          <w:sz w:val="16"/>
          <w:szCs w:val="16"/>
          <w:lang w:val="en-US"/>
        </w:rPr>
        <w:t xml:space="preserve"> </w:t>
      </w:r>
      <w:r w:rsidRPr="00D75AD0">
        <w:rPr>
          <w:rFonts w:eastAsia="TimesNewRomanPSMT"/>
          <w:lang w:val="en-US"/>
        </w:rPr>
        <w:t xml:space="preserve">T47D-TL reporter cells in the lower chamber in 24-well plates. Two-way ANOVA </w:t>
      </w:r>
      <w:r w:rsidRPr="00D75AD0">
        <w:t>multiple comparisons</w:t>
      </w:r>
      <w:r w:rsidRPr="00D75AD0">
        <w:rPr>
          <w:rFonts w:eastAsia="TimesNewRomanPSMT"/>
          <w:lang w:val="en-US"/>
        </w:rPr>
        <w:t xml:space="preserve"> test was used for analysis of </w:t>
      </w:r>
      <w:r>
        <w:rPr>
          <w:rFonts w:eastAsia="TimesNewRomanPSMT"/>
          <w:lang w:val="en-US"/>
        </w:rPr>
        <w:t>(</w:t>
      </w:r>
      <w:r w:rsidRPr="00CB0212">
        <w:rPr>
          <w:rFonts w:eastAsia="TimesNewRomanPSMT"/>
          <w:b/>
          <w:bCs/>
          <w:lang w:val="en-US"/>
        </w:rPr>
        <w:t>a</w:t>
      </w:r>
      <w:r>
        <w:rPr>
          <w:rFonts w:eastAsia="TimesNewRomanPSMT"/>
          <w:lang w:val="en-US"/>
        </w:rPr>
        <w:t xml:space="preserve"> and </w:t>
      </w:r>
      <w:r w:rsidRPr="00CB0212">
        <w:rPr>
          <w:rFonts w:eastAsia="TimesNewRomanPSMT"/>
          <w:b/>
          <w:bCs/>
          <w:lang w:val="en-US"/>
        </w:rPr>
        <w:t>b</w:t>
      </w:r>
      <w:r>
        <w:rPr>
          <w:rFonts w:eastAsia="TimesNewRomanPSMT"/>
          <w:lang w:val="en-US"/>
        </w:rPr>
        <w:t>)</w:t>
      </w:r>
      <w:r w:rsidRPr="00D75AD0">
        <w:rPr>
          <w:rFonts w:eastAsia="TimesNewRomanPSMT"/>
          <w:lang w:val="en-US"/>
        </w:rPr>
        <w:t xml:space="preserve"> and (</w:t>
      </w:r>
      <w:r w:rsidRPr="00CB0212">
        <w:rPr>
          <w:rFonts w:eastAsia="TimesNewRomanPSMT"/>
          <w:b/>
          <w:bCs/>
          <w:lang w:val="en-US"/>
        </w:rPr>
        <w:t>e</w:t>
      </w:r>
      <w:r w:rsidRPr="00D75AD0">
        <w:rPr>
          <w:rFonts w:eastAsia="TimesNewRomanPSMT"/>
          <w:lang w:val="en-US"/>
        </w:rPr>
        <w:t>-</w:t>
      </w:r>
      <w:r w:rsidRPr="00CB0212">
        <w:rPr>
          <w:rFonts w:eastAsia="TimesNewRomanPSMT"/>
          <w:b/>
          <w:bCs/>
          <w:lang w:val="en-US"/>
        </w:rPr>
        <w:t>h</w:t>
      </w:r>
      <w:r w:rsidRPr="00D75AD0">
        <w:rPr>
          <w:rFonts w:eastAsia="TimesNewRomanPSMT"/>
          <w:lang w:val="en-US"/>
        </w:rPr>
        <w:t>). Data are shown as means+SD, * p &lt; 0.05; ** p &lt; 0.01; *** p &lt; 0.001, ns: non-significant.</w:t>
      </w:r>
    </w:p>
    <w:p w14:paraId="3E89F837" w14:textId="77777777" w:rsidR="00FF02B2" w:rsidRPr="00AB764E" w:rsidRDefault="00FF02B2" w:rsidP="00FF02B2">
      <w:pPr>
        <w:autoSpaceDE w:val="0"/>
        <w:autoSpaceDN w:val="0"/>
        <w:adjustRightInd w:val="0"/>
        <w:jc w:val="both"/>
        <w:rPr>
          <w:rFonts w:eastAsia="TimesNewRomanPSMT"/>
          <w:lang w:val="en-US"/>
        </w:rPr>
      </w:pPr>
      <w:r w:rsidRPr="00206EEE">
        <w:rPr>
          <w:rFonts w:eastAsia="TimesNewRomanPSMT"/>
          <w:noProof/>
          <w:lang w:val="en-US"/>
        </w:rPr>
        <w:lastRenderedPageBreak/>
        <w:drawing>
          <wp:inline distT="0" distB="0" distL="0" distR="0" wp14:anchorId="384D0EE3" wp14:editId="7F40F02E">
            <wp:extent cx="5731510" cy="7635240"/>
            <wp:effectExtent l="0" t="0" r="0" b="0"/>
            <wp:docPr id="206977031" name="Picture 1" descr="A collage of images of different colored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77031" name="Picture 1" descr="A collage of images of different colored cells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4246E" w14:textId="77777777" w:rsidR="00FF02B2" w:rsidRDefault="00FF02B2" w:rsidP="00FF02B2">
      <w:pPr>
        <w:jc w:val="both"/>
        <w:rPr>
          <w:rFonts w:eastAsia="TimesNewRomanPSMT"/>
          <w:lang w:val="en-US"/>
        </w:rPr>
      </w:pPr>
      <w:r>
        <w:rPr>
          <w:rFonts w:eastAsia="TimesNewRomanPS-BoldMT"/>
          <w:b/>
          <w:bCs/>
          <w:lang w:val="en-US"/>
        </w:rPr>
        <w:t xml:space="preserve">Supplementary </w:t>
      </w:r>
      <w:r w:rsidRPr="00206EEE">
        <w:rPr>
          <w:rFonts w:eastAsia="TimesNewRomanPS-BoldMT"/>
          <w:b/>
          <w:bCs/>
          <w:lang w:val="en-US"/>
        </w:rPr>
        <w:t xml:space="preserve">Fig. </w:t>
      </w:r>
      <w:r>
        <w:rPr>
          <w:rFonts w:eastAsia="TimesNewRomanPS-BoldMT"/>
          <w:b/>
          <w:bCs/>
          <w:lang w:val="en-US"/>
        </w:rPr>
        <w:t>5</w:t>
      </w:r>
      <w:r w:rsidRPr="00206EEE">
        <w:rPr>
          <w:rFonts w:eastAsia="TimesNewRomanPS-BoldMT"/>
          <w:b/>
          <w:bCs/>
          <w:lang w:val="en-US"/>
        </w:rPr>
        <w:t xml:space="preserve">. </w:t>
      </w:r>
      <w:r w:rsidRPr="00206EEE">
        <w:rPr>
          <w:b/>
          <w:bCs/>
          <w:lang w:val="en-US"/>
        </w:rPr>
        <w:t>The pH-sensitive intein performs C-terminal cleavage during EV-biogenesis</w:t>
      </w:r>
      <w:r>
        <w:rPr>
          <w:rFonts w:eastAsia="TimesNewRomanPS-BoldMT"/>
          <w:b/>
          <w:bCs/>
          <w:lang w:val="en-US"/>
        </w:rPr>
        <w:t xml:space="preserve">. </w:t>
      </w:r>
      <w:r w:rsidRPr="00206EEE">
        <w:rPr>
          <w:rFonts w:eastAsia="TimesNewRomanPSMT"/>
          <w:b/>
          <w:bCs/>
          <w:lang w:val="en-US"/>
        </w:rPr>
        <w:t>a</w:t>
      </w:r>
      <w:r>
        <w:rPr>
          <w:rFonts w:eastAsia="TimesNewRomanPSMT"/>
          <w:b/>
          <w:bCs/>
          <w:lang w:val="en-US"/>
        </w:rPr>
        <w:t>-d</w:t>
      </w:r>
      <w:r w:rsidRPr="00206EEE">
        <w:rPr>
          <w:rFonts w:eastAsia="TimesNewRomanPSMT"/>
          <w:b/>
          <w:bCs/>
          <w:lang w:val="en-US"/>
        </w:rPr>
        <w:t xml:space="preserve">, </w:t>
      </w:r>
      <w:r w:rsidRPr="00206EEE">
        <w:rPr>
          <w:lang w:val="en-US"/>
        </w:rPr>
        <w:t>Recombination in reporter cells</w:t>
      </w:r>
      <w:r>
        <w:rPr>
          <w:lang w:val="en-US"/>
        </w:rPr>
        <w:t xml:space="preserve"> (</w:t>
      </w:r>
      <w:r w:rsidRPr="00206EEE">
        <w:rPr>
          <w:b/>
          <w:bCs/>
          <w:lang w:val="en-US"/>
        </w:rPr>
        <w:t>a:</w:t>
      </w:r>
      <w:r>
        <w:rPr>
          <w:lang w:val="en-US"/>
        </w:rPr>
        <w:t xml:space="preserve"> HeLa-TL; </w:t>
      </w:r>
      <w:r w:rsidRPr="00206EEE">
        <w:rPr>
          <w:b/>
          <w:bCs/>
          <w:lang w:val="en-US"/>
        </w:rPr>
        <w:t>b:</w:t>
      </w:r>
      <w:r>
        <w:rPr>
          <w:lang w:val="en-US"/>
        </w:rPr>
        <w:t xml:space="preserve"> T47D-TL; </w:t>
      </w:r>
      <w:r w:rsidRPr="00206EEE">
        <w:rPr>
          <w:b/>
          <w:bCs/>
          <w:lang w:val="en-US"/>
        </w:rPr>
        <w:t xml:space="preserve">c: </w:t>
      </w:r>
      <w:r>
        <w:rPr>
          <w:lang w:val="en-US"/>
        </w:rPr>
        <w:t xml:space="preserve">B16F10-TL; </w:t>
      </w:r>
      <w:r w:rsidRPr="00206EEE">
        <w:rPr>
          <w:b/>
          <w:bCs/>
          <w:lang w:val="en-US"/>
        </w:rPr>
        <w:t>d:</w:t>
      </w:r>
      <w:r>
        <w:rPr>
          <w:lang w:val="en-US"/>
        </w:rPr>
        <w:t xml:space="preserve"> MSC-TL)</w:t>
      </w:r>
      <w:r w:rsidRPr="00206EEE">
        <w:rPr>
          <w:lang w:val="en-US"/>
        </w:rPr>
        <w:t xml:space="preserve"> mediated by EVs derived from engineered cells using mutant inteins (H439Q and N440A) in VEDIC system. </w:t>
      </w:r>
      <w:r w:rsidRPr="00206EEE">
        <w:rPr>
          <w:rFonts w:eastAsia="TimesNewRomanPSMT"/>
          <w:b/>
          <w:bCs/>
          <w:lang w:val="en-US"/>
        </w:rPr>
        <w:t>e,</w:t>
      </w:r>
      <w:r w:rsidRPr="00206EEE">
        <w:rPr>
          <w:rFonts w:eastAsia="TimesNewRomanPSMT"/>
          <w:lang w:val="en-US"/>
        </w:rPr>
        <w:t xml:space="preserve"> Fluorescent images showing the GFP positive cells in Hela-TL and MSC-TL cells. Scale bar, 100 μm, representative images.</w:t>
      </w:r>
      <w:r>
        <w:rPr>
          <w:rFonts w:eastAsia="TimesNewRomanPSMT"/>
          <w:lang w:val="en-US"/>
        </w:rPr>
        <w:t xml:space="preserve"> </w:t>
      </w:r>
      <w:r w:rsidRPr="00D36C45">
        <w:rPr>
          <w:rFonts w:eastAsia="TimesNewRomanPSMT"/>
          <w:b/>
          <w:bCs/>
          <w:lang w:val="en-US"/>
        </w:rPr>
        <w:t>f</w:t>
      </w:r>
      <w:r w:rsidRPr="00D36C45">
        <w:rPr>
          <w:rFonts w:eastAsia="TimesNewRomanPSMT"/>
          <w:lang w:val="en-US"/>
        </w:rPr>
        <w:t>-</w:t>
      </w:r>
      <w:r w:rsidRPr="00D36C45">
        <w:rPr>
          <w:rFonts w:eastAsia="TimesNewRomanPSMT"/>
          <w:b/>
          <w:bCs/>
          <w:lang w:val="en-US"/>
        </w:rPr>
        <w:t>i,</w:t>
      </w:r>
      <w:r w:rsidRPr="00D36C45">
        <w:rPr>
          <w:rFonts w:eastAsia="TimesNewRomanPSMT"/>
          <w:lang w:val="en-US"/>
        </w:rPr>
        <w:t xml:space="preserve"> </w:t>
      </w:r>
      <w:r w:rsidRPr="00D36C45">
        <w:rPr>
          <w:lang w:val="en-US"/>
        </w:rPr>
        <w:t>Recombination in reporter cells (</w:t>
      </w:r>
      <w:r>
        <w:rPr>
          <w:b/>
          <w:bCs/>
          <w:lang w:val="en-US"/>
        </w:rPr>
        <w:t>f</w:t>
      </w:r>
      <w:r w:rsidRPr="00D36C45">
        <w:rPr>
          <w:b/>
          <w:bCs/>
          <w:lang w:val="en-US"/>
        </w:rPr>
        <w:t>:</w:t>
      </w:r>
      <w:r w:rsidRPr="00D36C45">
        <w:rPr>
          <w:lang w:val="en-US"/>
        </w:rPr>
        <w:t xml:space="preserve"> HeLa-TL; </w:t>
      </w:r>
      <w:r>
        <w:rPr>
          <w:b/>
          <w:bCs/>
          <w:lang w:val="en-US"/>
        </w:rPr>
        <w:t>g</w:t>
      </w:r>
      <w:r w:rsidRPr="00D36C45">
        <w:rPr>
          <w:b/>
          <w:bCs/>
          <w:lang w:val="en-US"/>
        </w:rPr>
        <w:t>:</w:t>
      </w:r>
      <w:r w:rsidRPr="00D36C45">
        <w:rPr>
          <w:lang w:val="en-US"/>
        </w:rPr>
        <w:t xml:space="preserve"> T47D-TL; </w:t>
      </w:r>
      <w:r>
        <w:rPr>
          <w:b/>
          <w:bCs/>
          <w:lang w:val="en-US"/>
        </w:rPr>
        <w:t>h</w:t>
      </w:r>
      <w:r w:rsidRPr="00D36C45">
        <w:rPr>
          <w:b/>
          <w:bCs/>
          <w:lang w:val="en-US"/>
        </w:rPr>
        <w:t xml:space="preserve">: </w:t>
      </w:r>
      <w:r w:rsidRPr="00D36C45">
        <w:rPr>
          <w:lang w:val="en-US"/>
        </w:rPr>
        <w:t xml:space="preserve">B16F10-TL; </w:t>
      </w:r>
      <w:r>
        <w:rPr>
          <w:b/>
          <w:bCs/>
          <w:lang w:val="en-US"/>
        </w:rPr>
        <w:t>i</w:t>
      </w:r>
      <w:r w:rsidRPr="00D36C45">
        <w:rPr>
          <w:b/>
          <w:bCs/>
          <w:lang w:val="en-US"/>
        </w:rPr>
        <w:t>:</w:t>
      </w:r>
      <w:r w:rsidRPr="00D36C45">
        <w:rPr>
          <w:lang w:val="en-US"/>
        </w:rPr>
        <w:t xml:space="preserve"> MSC-TL) mediated by EVs derived from engineered cells using mutant inteins (H439Q and N440A) in VFIC system detected by flow </w:t>
      </w:r>
      <w:r w:rsidRPr="00D36C45">
        <w:rPr>
          <w:lang w:val="en-US"/>
        </w:rPr>
        <w:lastRenderedPageBreak/>
        <w:t>cytometry.</w:t>
      </w:r>
      <w:r>
        <w:rPr>
          <w:lang w:val="en-US"/>
        </w:rPr>
        <w:t xml:space="preserve"> </w:t>
      </w:r>
      <w:r w:rsidRPr="00D36C45">
        <w:rPr>
          <w:b/>
          <w:bCs/>
          <w:lang w:val="en-US"/>
        </w:rPr>
        <w:t>j,</w:t>
      </w:r>
      <w:r>
        <w:rPr>
          <w:lang w:val="en-US"/>
        </w:rPr>
        <w:t xml:space="preserve"> </w:t>
      </w:r>
      <w:r w:rsidRPr="00D36C45">
        <w:rPr>
          <w:rFonts w:eastAsia="TimesNewRomanPSMT"/>
          <w:lang w:val="en-US"/>
        </w:rPr>
        <w:t xml:space="preserve">Representative fluorescent images for the GFP positive cells after 48 hours’ adding various mutant intein variants engineered EVs at different doses for VFIC system. Scale bar, 100 </w:t>
      </w:r>
      <w:r w:rsidRPr="00D36C45">
        <w:rPr>
          <w:rFonts w:eastAsia="TimesNewRomanPSMT"/>
          <w:lang w:val="nl-NL"/>
        </w:rPr>
        <w:t>μ</w:t>
      </w:r>
      <w:r w:rsidRPr="00D36C45">
        <w:rPr>
          <w:rFonts w:eastAsia="TimesNewRomanPSMT"/>
          <w:lang w:val="en-US"/>
        </w:rPr>
        <w:t>m.</w:t>
      </w:r>
      <w:r>
        <w:rPr>
          <w:lang w:val="en-US"/>
        </w:rPr>
        <w:t xml:space="preserve"> </w:t>
      </w:r>
      <w:r w:rsidRPr="00206EEE">
        <w:rPr>
          <w:rFonts w:eastAsia="TimesNewRomanPSMT"/>
          <w:lang w:val="en-US"/>
        </w:rPr>
        <w:t xml:space="preserve">Two-way ANOVA </w:t>
      </w:r>
      <w:r w:rsidRPr="00206EEE">
        <w:t>multiple comparisons</w:t>
      </w:r>
      <w:r w:rsidRPr="00206EEE">
        <w:rPr>
          <w:rFonts w:eastAsia="TimesNewRomanPSMT"/>
          <w:lang w:val="en-US"/>
        </w:rPr>
        <w:t xml:space="preserve"> test was used for analysis of (</w:t>
      </w:r>
      <w:r w:rsidRPr="00D36C45">
        <w:rPr>
          <w:rFonts w:eastAsia="TimesNewRomanPSMT"/>
          <w:b/>
          <w:bCs/>
          <w:lang w:val="en-US"/>
        </w:rPr>
        <w:t>a</w:t>
      </w:r>
      <w:r w:rsidRPr="00206EEE">
        <w:rPr>
          <w:rFonts w:eastAsia="TimesNewRomanPSMT"/>
          <w:lang w:val="en-US"/>
        </w:rPr>
        <w:t>-</w:t>
      </w:r>
      <w:r w:rsidRPr="00D36C45">
        <w:rPr>
          <w:rFonts w:eastAsia="TimesNewRomanPSMT"/>
          <w:b/>
          <w:bCs/>
          <w:lang w:val="en-US"/>
        </w:rPr>
        <w:t>d</w:t>
      </w:r>
      <w:r w:rsidRPr="00206EEE">
        <w:rPr>
          <w:rFonts w:eastAsia="TimesNewRomanPSMT"/>
          <w:lang w:val="en-US"/>
        </w:rPr>
        <w:t xml:space="preserve">) and </w:t>
      </w:r>
      <w:r>
        <w:rPr>
          <w:rFonts w:eastAsia="TimesNewRomanPSMT"/>
          <w:lang w:val="en-US"/>
        </w:rPr>
        <w:t>(</w:t>
      </w:r>
      <w:r w:rsidRPr="00D36C45">
        <w:rPr>
          <w:rFonts w:eastAsia="TimesNewRomanPSMT"/>
          <w:b/>
          <w:bCs/>
          <w:lang w:val="en-US"/>
        </w:rPr>
        <w:t>f</w:t>
      </w:r>
      <w:r>
        <w:rPr>
          <w:rFonts w:eastAsia="TimesNewRomanPSMT"/>
          <w:lang w:val="en-US"/>
        </w:rPr>
        <w:t>-</w:t>
      </w:r>
      <w:r w:rsidRPr="00D36C45">
        <w:rPr>
          <w:rFonts w:eastAsia="TimesNewRomanPSMT"/>
          <w:b/>
          <w:bCs/>
          <w:lang w:val="en-US"/>
        </w:rPr>
        <w:t>i</w:t>
      </w:r>
      <w:r>
        <w:rPr>
          <w:rFonts w:eastAsia="TimesNewRomanPSMT"/>
          <w:lang w:val="en-US"/>
        </w:rPr>
        <w:t>)</w:t>
      </w:r>
      <w:r w:rsidRPr="00206EEE">
        <w:rPr>
          <w:rFonts w:eastAsia="TimesNewRomanPSMT"/>
          <w:lang w:val="en-US"/>
        </w:rPr>
        <w:t>. Data are shown as means+SD, * p &lt;0.05; *** p &lt; 0.001; ns: non-significant.</w:t>
      </w:r>
    </w:p>
    <w:p w14:paraId="0FF6709F" w14:textId="77777777" w:rsidR="00FF02B2" w:rsidRDefault="00FF02B2" w:rsidP="00FF02B2">
      <w:pPr>
        <w:jc w:val="both"/>
        <w:rPr>
          <w:rFonts w:eastAsia="TimesNewRomanPSMT"/>
          <w:lang w:val="en-US"/>
        </w:rPr>
      </w:pPr>
    </w:p>
    <w:p w14:paraId="7C4B435F" w14:textId="77777777" w:rsidR="00FF02B2" w:rsidRPr="002E7A3C" w:rsidRDefault="00FF02B2" w:rsidP="00FF02B2">
      <w:pPr>
        <w:autoSpaceDE w:val="0"/>
        <w:autoSpaceDN w:val="0"/>
        <w:adjustRightInd w:val="0"/>
        <w:jc w:val="both"/>
        <w:rPr>
          <w:rFonts w:eastAsiaTheme="minorEastAsia"/>
          <w:lang w:val="en-US"/>
        </w:rPr>
      </w:pPr>
      <w:r w:rsidRPr="002E7A3C">
        <w:rPr>
          <w:noProof/>
          <w:lang w:val="en-US"/>
        </w:rPr>
        <w:drawing>
          <wp:inline distT="0" distB="0" distL="0" distR="0" wp14:anchorId="794B0D1E" wp14:editId="4F433434">
            <wp:extent cx="5731510" cy="4437380"/>
            <wp:effectExtent l="0" t="0" r="0" b="0"/>
            <wp:docPr id="432068687" name="Picture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068687" name="Picture 1" descr="A close-up of a graph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3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7A3C">
        <w:rPr>
          <w:rFonts w:eastAsia="TimesNewRomanPS-BoldMT"/>
          <w:b/>
          <w:bCs/>
          <w:lang w:val="en-US"/>
        </w:rPr>
        <w:t xml:space="preserve"> Supplementary</w:t>
      </w:r>
      <w:r>
        <w:rPr>
          <w:rFonts w:eastAsia="TimesNewRomanPS-BoldMT"/>
          <w:b/>
          <w:bCs/>
          <w:lang w:val="en-US"/>
        </w:rPr>
        <w:t xml:space="preserve"> </w:t>
      </w:r>
      <w:r w:rsidRPr="002E7A3C">
        <w:rPr>
          <w:rFonts w:eastAsia="TimesNewRomanPS-BoldMT"/>
          <w:b/>
          <w:bCs/>
          <w:lang w:val="en-US"/>
        </w:rPr>
        <w:t xml:space="preserve">Fig. </w:t>
      </w:r>
      <w:r>
        <w:rPr>
          <w:rFonts w:eastAsia="TimesNewRomanPS-BoldMT"/>
          <w:b/>
          <w:bCs/>
          <w:lang w:val="en-US"/>
        </w:rPr>
        <w:t>6</w:t>
      </w:r>
      <w:r w:rsidRPr="002E7A3C">
        <w:rPr>
          <w:rFonts w:eastAsia="TimesNewRomanPS-BoldMT"/>
          <w:b/>
          <w:bCs/>
          <w:lang w:val="en-US"/>
        </w:rPr>
        <w:t xml:space="preserve">. </w:t>
      </w:r>
      <w:r w:rsidRPr="002E7A3C">
        <w:rPr>
          <w:b/>
          <w:bCs/>
          <w:lang w:val="en-US"/>
        </w:rPr>
        <w:t>The pH-sensitive intein performs C-terminal cleavage during EV-biogenesis</w:t>
      </w:r>
      <w:r>
        <w:rPr>
          <w:rFonts w:eastAsia="TimesNewRomanPS-BoldMT"/>
          <w:b/>
          <w:bCs/>
          <w:lang w:val="en-US"/>
        </w:rPr>
        <w:t xml:space="preserve">. a, </w:t>
      </w:r>
      <w:r w:rsidRPr="002E7A3C">
        <w:rPr>
          <w:rFonts w:eastAsia="TimesNewRomanPSMT"/>
          <w:lang w:val="en-US"/>
        </w:rPr>
        <w:t>Comparison of Cre transfer efficiency using different intein variants in a direct co-culture assay for VEDIC system.</w:t>
      </w:r>
      <w:r>
        <w:rPr>
          <w:rFonts w:eastAsia="TimesNewRomanPSMT"/>
          <w:lang w:val="en-US"/>
        </w:rPr>
        <w:t xml:space="preserve"> </w:t>
      </w:r>
      <w:r w:rsidRPr="002E7A3C">
        <w:rPr>
          <w:rFonts w:eastAsia="TimesNewRomanPSMT"/>
          <w:b/>
          <w:bCs/>
          <w:lang w:val="en-US"/>
        </w:rPr>
        <w:t>b,</w:t>
      </w:r>
      <w:r>
        <w:rPr>
          <w:rFonts w:eastAsia="TimesNewRomanPSMT"/>
          <w:lang w:val="en-US"/>
        </w:rPr>
        <w:t xml:space="preserve"> </w:t>
      </w:r>
      <w:r w:rsidRPr="002E7A3C">
        <w:rPr>
          <w:rFonts w:eastAsia="TimesNewRomanPSMT"/>
          <w:lang w:val="en-US"/>
        </w:rPr>
        <w:t>Flow cytometry analysis of a direct co-culture assay using intein variants to decrease Cre transfer for VFIC system. Co-culture was analyzed after 24 h incubation of the EV-producing cells and reporter cells.</w:t>
      </w:r>
      <w:r>
        <w:rPr>
          <w:rFonts w:eastAsia="TimesNewRomanPSMT"/>
          <w:lang w:val="en-US"/>
        </w:rPr>
        <w:t xml:space="preserve"> </w:t>
      </w:r>
      <w:r w:rsidRPr="002E7A3C">
        <w:rPr>
          <w:rFonts w:eastAsia="TimesNewRomanPSMT"/>
          <w:b/>
          <w:bCs/>
          <w:lang w:val="en-US"/>
        </w:rPr>
        <w:t>c,</w:t>
      </w:r>
      <w:r>
        <w:rPr>
          <w:rFonts w:eastAsia="TimesNewRomanPSMT"/>
          <w:lang w:val="en-US"/>
        </w:rPr>
        <w:t xml:space="preserve"> </w:t>
      </w:r>
      <w:r w:rsidRPr="002E7A3C">
        <w:rPr>
          <w:rFonts w:eastAsia="TimesNewRomanPSMT"/>
          <w:lang w:val="en-US"/>
        </w:rPr>
        <w:t>Protein expression of various engineered mutant intein constructs in WCL and isolated EVs derived from HEK-293T cells evaluated by WB analysis. Lysates from 5×10</w:t>
      </w:r>
      <w:r w:rsidRPr="002E7A3C">
        <w:rPr>
          <w:rFonts w:eastAsia="TimesNewRomanPSMT"/>
          <w:vertAlign w:val="superscript"/>
          <w:lang w:val="en-US"/>
        </w:rPr>
        <w:t>5</w:t>
      </w:r>
      <w:r w:rsidRPr="002E7A3C">
        <w:rPr>
          <w:rFonts w:eastAsia="TimesNewRomanPSMT"/>
          <w:sz w:val="16"/>
          <w:szCs w:val="16"/>
          <w:lang w:val="en-US"/>
        </w:rPr>
        <w:t xml:space="preserve"> </w:t>
      </w:r>
      <w:r w:rsidRPr="002E7A3C">
        <w:rPr>
          <w:rFonts w:eastAsia="TimesNewRomanPSMT"/>
          <w:lang w:val="en-US"/>
        </w:rPr>
        <w:t>EV-producing cells and 1×10</w:t>
      </w:r>
      <w:r w:rsidRPr="002E7A3C">
        <w:rPr>
          <w:rFonts w:eastAsia="TimesNewRomanPSMT"/>
          <w:vertAlign w:val="superscript"/>
          <w:lang w:val="en-US"/>
        </w:rPr>
        <w:t>10</w:t>
      </w:r>
      <w:r w:rsidRPr="002E7A3C">
        <w:rPr>
          <w:rFonts w:eastAsia="TimesNewRomanPSMT"/>
          <w:sz w:val="16"/>
          <w:szCs w:val="16"/>
          <w:lang w:val="en-US"/>
        </w:rPr>
        <w:t xml:space="preserve"> </w:t>
      </w:r>
      <w:r w:rsidRPr="002E7A3C">
        <w:rPr>
          <w:rFonts w:eastAsia="TimesNewRomanPSMT"/>
          <w:lang w:val="en-US"/>
        </w:rPr>
        <w:t xml:space="preserve">engineered vesicles were used for the assay. TSG101, syntenin-1 and </w:t>
      </w:r>
      <w:r w:rsidRPr="002E7A3C">
        <w:rPr>
          <w:rFonts w:eastAsia="TimesNewRomanPSMT"/>
          <w:lang w:val="nl-NL"/>
        </w:rPr>
        <w:t>β</w:t>
      </w:r>
      <w:r w:rsidRPr="002E7A3C">
        <w:rPr>
          <w:rFonts w:eastAsia="TimesNewRomanPSMT"/>
          <w:lang w:val="en-US"/>
        </w:rPr>
        <w:t>-actin were used as EV markers and Calnexin was used as a cellular organelle marker (endoplasmic reticulum) and should be absent for EV samples.</w:t>
      </w:r>
      <w:r>
        <w:rPr>
          <w:lang w:val="en-US"/>
        </w:rPr>
        <w:t xml:space="preserve"> </w:t>
      </w:r>
      <w:r w:rsidRPr="002E7A3C">
        <w:rPr>
          <w:rFonts w:eastAsia="TimesNewRomanPSMT"/>
          <w:lang w:val="en-US"/>
        </w:rPr>
        <w:t xml:space="preserve">Two-way ANOVA </w:t>
      </w:r>
      <w:r w:rsidRPr="002E7A3C">
        <w:t>multiple comparisons</w:t>
      </w:r>
      <w:r w:rsidRPr="002E7A3C">
        <w:rPr>
          <w:rFonts w:eastAsia="TimesNewRomanPSMT"/>
          <w:lang w:val="en-US"/>
        </w:rPr>
        <w:t xml:space="preserve"> test was used for analysis of (</w:t>
      </w:r>
      <w:r w:rsidRPr="002E7A3C">
        <w:rPr>
          <w:rFonts w:eastAsia="TimesNewRomanPSMT"/>
          <w:b/>
          <w:bCs/>
          <w:lang w:val="en-US"/>
        </w:rPr>
        <w:t>a</w:t>
      </w:r>
      <w:r>
        <w:rPr>
          <w:rFonts w:eastAsia="TimesNewRomanPSMT"/>
          <w:lang w:val="en-US"/>
        </w:rPr>
        <w:t xml:space="preserve"> and </w:t>
      </w:r>
      <w:r w:rsidRPr="002E7A3C">
        <w:rPr>
          <w:rFonts w:eastAsia="TimesNewRomanPSMT"/>
          <w:b/>
          <w:bCs/>
          <w:lang w:val="en-US"/>
        </w:rPr>
        <w:t>b</w:t>
      </w:r>
      <w:r w:rsidRPr="002E7A3C">
        <w:rPr>
          <w:rFonts w:eastAsia="TimesNewRomanPSMT"/>
          <w:lang w:val="en-US"/>
        </w:rPr>
        <w:t>). Data are shown as means+SD, *** p &lt; 0.001.</w:t>
      </w:r>
    </w:p>
    <w:p w14:paraId="6E649BE1" w14:textId="77777777" w:rsidR="00FF02B2" w:rsidRPr="00D36C45" w:rsidRDefault="00FF02B2" w:rsidP="00FF02B2">
      <w:pPr>
        <w:jc w:val="both"/>
        <w:rPr>
          <w:rFonts w:eastAsiaTheme="minorEastAsia"/>
          <w:lang w:val="en-US"/>
        </w:rPr>
      </w:pPr>
    </w:p>
    <w:p w14:paraId="24BCF70F" w14:textId="77777777" w:rsidR="00FF02B2" w:rsidRDefault="00FF02B2" w:rsidP="00FF02B2">
      <w:pPr>
        <w:rPr>
          <w:b/>
          <w:bCs/>
          <w:lang w:val="en-US"/>
        </w:rPr>
      </w:pPr>
      <w:r w:rsidRPr="007B454A">
        <w:rPr>
          <w:b/>
          <w:bCs/>
          <w:noProof/>
          <w:lang w:val="en-US"/>
        </w:rPr>
        <w:lastRenderedPageBreak/>
        <w:drawing>
          <wp:inline distT="0" distB="0" distL="0" distR="0" wp14:anchorId="603695EA" wp14:editId="292228D9">
            <wp:extent cx="5731510" cy="6271895"/>
            <wp:effectExtent l="0" t="0" r="0" b="1905"/>
            <wp:docPr id="217974711" name="Picture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974711" name="Picture 1" descr="A close-up of a graph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27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5EB8B8" w14:textId="77777777" w:rsidR="00FF02B2" w:rsidRDefault="00FF02B2" w:rsidP="00FF02B2">
      <w:pPr>
        <w:jc w:val="both"/>
        <w:rPr>
          <w:rFonts w:eastAsia="TimesNewRomanPSMT"/>
          <w:lang w:val="en-US"/>
        </w:rPr>
      </w:pPr>
      <w:r>
        <w:rPr>
          <w:rFonts w:eastAsia="TimesNewRomanPS-BoldMT"/>
          <w:b/>
          <w:bCs/>
          <w:lang w:val="en-US"/>
        </w:rPr>
        <w:t xml:space="preserve">Supplementary </w:t>
      </w:r>
      <w:r w:rsidRPr="007B454A">
        <w:rPr>
          <w:rFonts w:eastAsia="TimesNewRomanPS-BoldMT"/>
          <w:b/>
          <w:bCs/>
          <w:lang w:val="en-US"/>
        </w:rPr>
        <w:t xml:space="preserve">Fig. </w:t>
      </w:r>
      <w:r>
        <w:rPr>
          <w:rFonts w:eastAsia="TimesNewRomanPS-BoldMT"/>
          <w:b/>
          <w:bCs/>
          <w:lang w:val="en-US"/>
        </w:rPr>
        <w:t>7</w:t>
      </w:r>
      <w:r w:rsidRPr="007B454A">
        <w:rPr>
          <w:rFonts w:eastAsia="TimesNewRomanPS-BoldMT"/>
          <w:b/>
          <w:bCs/>
          <w:lang w:val="en-US"/>
        </w:rPr>
        <w:t xml:space="preserve">. </w:t>
      </w:r>
      <w:r w:rsidRPr="007B454A">
        <w:rPr>
          <w:b/>
          <w:bCs/>
          <w:lang w:val="en-US"/>
        </w:rPr>
        <w:t>VSV-G boosts endosomal escape following receptor-mediated endocytosis of engineered EVs into recipient cells</w:t>
      </w:r>
      <w:r>
        <w:rPr>
          <w:rFonts w:eastAsia="TimesNewRomanPS-BoldMT"/>
          <w:b/>
          <w:bCs/>
          <w:lang w:val="en-US"/>
        </w:rPr>
        <w:t xml:space="preserve">. </w:t>
      </w:r>
      <w:r w:rsidRPr="007B454A">
        <w:rPr>
          <w:rFonts w:eastAsia="TimesNewRomanPSMT"/>
          <w:b/>
          <w:bCs/>
          <w:lang w:val="en-US"/>
        </w:rPr>
        <w:t>a</w:t>
      </w:r>
      <w:r>
        <w:rPr>
          <w:rFonts w:eastAsia="TimesNewRomanPSMT"/>
          <w:lang w:val="en-US"/>
        </w:rPr>
        <w:t>-</w:t>
      </w:r>
      <w:r w:rsidRPr="007B454A">
        <w:rPr>
          <w:rFonts w:eastAsia="TimesNewRomanPSMT"/>
          <w:b/>
          <w:bCs/>
          <w:lang w:val="en-US"/>
        </w:rPr>
        <w:t>c,</w:t>
      </w:r>
      <w:r w:rsidRPr="007B454A">
        <w:rPr>
          <w:rFonts w:eastAsia="TimesNewRomanPSMT"/>
          <w:lang w:val="en-US"/>
        </w:rPr>
        <w:t xml:space="preserve"> </w:t>
      </w:r>
      <w:r w:rsidRPr="007B454A">
        <w:rPr>
          <w:lang w:val="en-US"/>
        </w:rPr>
        <w:t>Percentage of GFP positive HeLa-TL, T47D-TL and B16F10-TL cells after adding CD63-Intein-Cre EVs or wild type, P127D or K47Q VSV-G plus CD63-Intein-Cre EVs, as evaluated by flow cytometry.</w:t>
      </w:r>
      <w:r>
        <w:rPr>
          <w:lang w:val="en-US"/>
        </w:rPr>
        <w:t xml:space="preserve"> </w:t>
      </w:r>
      <w:r w:rsidRPr="007B454A">
        <w:rPr>
          <w:rFonts w:eastAsia="TimesNewRomanPSMT"/>
          <w:b/>
          <w:bCs/>
          <w:lang w:val="en-US"/>
        </w:rPr>
        <w:t>d,</w:t>
      </w:r>
      <w:r w:rsidRPr="007B454A">
        <w:rPr>
          <w:rFonts w:eastAsia="TimesNewRomanPSMT"/>
          <w:lang w:val="en-US"/>
        </w:rPr>
        <w:t xml:space="preserve"> Direct co-culture assay to show the recombination efficiency of different engineered EVs. VSV-G (K47Q) and VSV-G (P127D) mutants were expressed in the EV-producing cells and resulting in abolished Cre delivery. </w:t>
      </w:r>
      <w:r w:rsidRPr="007B454A">
        <w:rPr>
          <w:rFonts w:eastAsia="TimesNewRomanPSMT"/>
          <w:b/>
          <w:bCs/>
          <w:lang w:val="en-US"/>
        </w:rPr>
        <w:t>e,</w:t>
      </w:r>
      <w:r w:rsidRPr="007B454A">
        <w:rPr>
          <w:rFonts w:eastAsia="TimesNewRomanPSMT"/>
          <w:lang w:val="en-US"/>
        </w:rPr>
        <w:t xml:space="preserve"> Percentage of recombined GFP positive cells after a Transwell assay with B16F10-TL cells. VSV-G (K47Q) and VSV-G (P127D) mutants were expressed in the EV producing cells. Indicated numbers of EV-producing cells and 5×10</w:t>
      </w:r>
      <w:r w:rsidRPr="007B454A">
        <w:rPr>
          <w:rFonts w:eastAsia="TimesNewRomanPSMT"/>
          <w:vertAlign w:val="superscript"/>
          <w:lang w:val="en-US"/>
        </w:rPr>
        <w:t>4</w:t>
      </w:r>
      <w:r w:rsidRPr="007B454A">
        <w:rPr>
          <w:rFonts w:eastAsia="TimesNewRomanPSMT"/>
          <w:sz w:val="16"/>
          <w:szCs w:val="16"/>
          <w:lang w:val="en-US"/>
        </w:rPr>
        <w:t xml:space="preserve"> </w:t>
      </w:r>
      <w:r w:rsidRPr="007B454A">
        <w:rPr>
          <w:rFonts w:eastAsia="TimesNewRomanPSMT"/>
          <w:lang w:val="en-US"/>
        </w:rPr>
        <w:t xml:space="preserve">B16F10-TL cells were used for the assay in 24-well plates. </w:t>
      </w:r>
      <w:r w:rsidRPr="007B454A">
        <w:rPr>
          <w:rFonts w:eastAsia="TimesNewRomanPSMT"/>
          <w:b/>
          <w:bCs/>
          <w:lang w:val="en-US"/>
        </w:rPr>
        <w:t>f,</w:t>
      </w:r>
      <w:r w:rsidRPr="007B454A">
        <w:rPr>
          <w:rFonts w:eastAsia="TimesNewRomanPSMT"/>
          <w:lang w:val="en-US"/>
        </w:rPr>
        <w:t xml:space="preserve"> Percentage of GFP positive cells evaluated by IBIDI assay in B16F10-TL cells. Indicated number of EV-producing cells and 4×10</w:t>
      </w:r>
      <w:r w:rsidRPr="007B454A">
        <w:rPr>
          <w:rFonts w:eastAsia="TimesNewRomanPSMT"/>
          <w:vertAlign w:val="superscript"/>
          <w:lang w:val="en-US"/>
        </w:rPr>
        <w:t>4</w:t>
      </w:r>
      <w:r w:rsidRPr="007B454A">
        <w:rPr>
          <w:rFonts w:eastAsia="TimesNewRomanPSMT"/>
          <w:sz w:val="16"/>
          <w:szCs w:val="16"/>
          <w:lang w:val="en-US"/>
        </w:rPr>
        <w:t xml:space="preserve"> </w:t>
      </w:r>
      <w:r w:rsidRPr="007B454A">
        <w:rPr>
          <w:rFonts w:eastAsia="TimesNewRomanPSMT"/>
          <w:lang w:val="en-US"/>
        </w:rPr>
        <w:t xml:space="preserve">reporter cells were used for this assay. </w:t>
      </w:r>
      <w:r w:rsidRPr="007B454A">
        <w:rPr>
          <w:rFonts w:eastAsia="TimesNewRomanPSMT"/>
          <w:b/>
          <w:bCs/>
          <w:lang w:val="en-US"/>
        </w:rPr>
        <w:t>g,</w:t>
      </w:r>
      <w:r w:rsidRPr="007B454A">
        <w:rPr>
          <w:rFonts w:eastAsia="TimesNewRomanPSMT"/>
          <w:lang w:val="en-US"/>
        </w:rPr>
        <w:t xml:space="preserve"> Protein expression of mutated VSV-G-related constructs both in WCL of and isolated EVs evaluated by WB analysis. Proteins from 5×10</w:t>
      </w:r>
      <w:r w:rsidRPr="007B454A">
        <w:rPr>
          <w:rFonts w:eastAsia="TimesNewRomanPSMT"/>
          <w:vertAlign w:val="superscript"/>
          <w:lang w:val="en-US"/>
        </w:rPr>
        <w:t>5</w:t>
      </w:r>
      <w:r w:rsidRPr="007B454A">
        <w:rPr>
          <w:rFonts w:eastAsia="TimesNewRomanPSMT"/>
          <w:lang w:val="en-US"/>
        </w:rPr>
        <w:t xml:space="preserve"> EV producing cells and 1×10</w:t>
      </w:r>
      <w:r w:rsidRPr="007B454A">
        <w:rPr>
          <w:rFonts w:eastAsia="TimesNewRomanPSMT"/>
          <w:vertAlign w:val="superscript"/>
          <w:lang w:val="en-US"/>
        </w:rPr>
        <w:t>10</w:t>
      </w:r>
      <w:r w:rsidRPr="007B454A">
        <w:rPr>
          <w:rFonts w:eastAsia="TimesNewRomanPSMT"/>
          <w:sz w:val="16"/>
          <w:szCs w:val="16"/>
          <w:lang w:val="en-US"/>
        </w:rPr>
        <w:t xml:space="preserve"> </w:t>
      </w:r>
      <w:r w:rsidRPr="007B454A">
        <w:rPr>
          <w:rFonts w:eastAsia="TimesNewRomanPSMT"/>
          <w:lang w:val="en-US"/>
        </w:rPr>
        <w:t xml:space="preserve">engineered vesicles were used for the assay. TSG101, syntenin-1 and </w:t>
      </w:r>
      <w:r w:rsidRPr="007B454A">
        <w:rPr>
          <w:rFonts w:eastAsia="TimesNewRomanPSMT"/>
          <w:lang w:val="nl-NL"/>
        </w:rPr>
        <w:t>β</w:t>
      </w:r>
      <w:r w:rsidRPr="007B454A">
        <w:rPr>
          <w:rFonts w:eastAsia="TimesNewRomanPSMT"/>
          <w:lang w:val="en-US"/>
        </w:rPr>
        <w:t xml:space="preserve">-actin </w:t>
      </w:r>
      <w:r w:rsidRPr="007B454A">
        <w:rPr>
          <w:rFonts w:eastAsia="TimesNewRomanPSMT"/>
          <w:lang w:val="en-US"/>
        </w:rPr>
        <w:lastRenderedPageBreak/>
        <w:t>were used as EV markers and Calnexin was used as cellular organelle marker (endoplasmic reticulum).</w:t>
      </w:r>
      <w:r>
        <w:rPr>
          <w:rFonts w:eastAsia="TimesNewRomanPSMT"/>
          <w:lang w:val="en-US"/>
        </w:rPr>
        <w:t xml:space="preserve"> </w:t>
      </w:r>
      <w:r w:rsidRPr="007B454A">
        <w:rPr>
          <w:rFonts w:eastAsia="TimesNewRomanPSMT"/>
          <w:lang w:val="en-US"/>
        </w:rPr>
        <w:t xml:space="preserve">Two-way ANOVA </w:t>
      </w:r>
      <w:r w:rsidRPr="007B454A">
        <w:t>multiple comparisons</w:t>
      </w:r>
      <w:r w:rsidRPr="007B454A">
        <w:rPr>
          <w:rFonts w:eastAsia="TimesNewRomanPSMT"/>
          <w:lang w:val="en-US"/>
        </w:rPr>
        <w:t xml:space="preserve"> test was used for analysis of (</w:t>
      </w:r>
      <w:r w:rsidRPr="007B454A">
        <w:rPr>
          <w:rFonts w:eastAsia="TimesNewRomanPSMT"/>
          <w:b/>
          <w:bCs/>
          <w:lang w:val="en-US"/>
        </w:rPr>
        <w:t>a</w:t>
      </w:r>
      <w:r w:rsidRPr="007B454A">
        <w:rPr>
          <w:rFonts w:eastAsia="TimesNewRomanPSMT"/>
          <w:lang w:val="en-US"/>
        </w:rPr>
        <w:t>-</w:t>
      </w:r>
      <w:r w:rsidRPr="007B454A">
        <w:rPr>
          <w:rFonts w:eastAsia="TimesNewRomanPSMT"/>
          <w:b/>
          <w:bCs/>
          <w:lang w:val="en-US"/>
        </w:rPr>
        <w:t>f</w:t>
      </w:r>
      <w:r w:rsidRPr="007B454A">
        <w:rPr>
          <w:rFonts w:eastAsia="TimesNewRomanPSMT"/>
          <w:lang w:val="en-US"/>
        </w:rPr>
        <w:t>). Data are shown as means+SD, * p &lt; 0.05; ** p &lt; 0.01; *** p &lt; 0.001, ns: non-significant.</w:t>
      </w:r>
    </w:p>
    <w:p w14:paraId="4CE11C25" w14:textId="77777777" w:rsidR="00FF02B2" w:rsidRPr="007B454A" w:rsidRDefault="00FF02B2" w:rsidP="00FF02B2">
      <w:pPr>
        <w:jc w:val="both"/>
        <w:rPr>
          <w:rFonts w:eastAsia="TimesNewRomanPS-BoldMT"/>
          <w:b/>
          <w:bCs/>
          <w:lang w:val="en-US"/>
        </w:rPr>
      </w:pPr>
    </w:p>
    <w:p w14:paraId="7301A536" w14:textId="77777777" w:rsidR="00FF02B2" w:rsidRDefault="00FF02B2" w:rsidP="00FF02B2">
      <w:pPr>
        <w:rPr>
          <w:b/>
          <w:bCs/>
          <w:lang w:val="en-US"/>
        </w:rPr>
      </w:pPr>
      <w:r w:rsidRPr="008D221B">
        <w:rPr>
          <w:b/>
          <w:bCs/>
          <w:noProof/>
          <w:lang w:val="en-US"/>
        </w:rPr>
        <w:drawing>
          <wp:inline distT="0" distB="0" distL="0" distR="0" wp14:anchorId="1E85C375" wp14:editId="0CA822F1">
            <wp:extent cx="5731510" cy="6964045"/>
            <wp:effectExtent l="0" t="0" r="0" b="0"/>
            <wp:docPr id="1992623985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2623985" name="Picture 1" descr="A screenshot of a graph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96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BF4D1" w14:textId="77777777" w:rsidR="00FF02B2" w:rsidRDefault="00FF02B2" w:rsidP="00FF02B2">
      <w:pPr>
        <w:jc w:val="both"/>
        <w:rPr>
          <w:rFonts w:eastAsia="TimesNewRomanPSMT"/>
          <w:lang w:val="en-US"/>
        </w:rPr>
      </w:pPr>
      <w:r>
        <w:rPr>
          <w:rFonts w:eastAsia="TimesNewRomanPS-BoldMT"/>
          <w:b/>
          <w:bCs/>
          <w:lang w:val="en-US"/>
        </w:rPr>
        <w:t xml:space="preserve">Supplementary </w:t>
      </w:r>
      <w:r w:rsidRPr="008D221B">
        <w:rPr>
          <w:rFonts w:eastAsia="TimesNewRomanPS-BoldMT"/>
          <w:b/>
          <w:bCs/>
          <w:lang w:val="en-US"/>
        </w:rPr>
        <w:t xml:space="preserve">Fig. </w:t>
      </w:r>
      <w:r>
        <w:rPr>
          <w:rFonts w:eastAsia="TimesNewRomanPS-BoldMT"/>
          <w:b/>
          <w:bCs/>
          <w:lang w:val="en-US"/>
        </w:rPr>
        <w:t>8</w:t>
      </w:r>
      <w:r w:rsidRPr="008D221B">
        <w:rPr>
          <w:rFonts w:eastAsia="TimesNewRomanPS-BoldMT"/>
          <w:b/>
          <w:bCs/>
          <w:lang w:val="en-US"/>
        </w:rPr>
        <w:t xml:space="preserve">. </w:t>
      </w:r>
      <w:r w:rsidRPr="008D221B">
        <w:rPr>
          <w:b/>
          <w:bCs/>
          <w:lang w:val="en-US"/>
        </w:rPr>
        <w:t>VSV-G boosts endosomal escape following receptor-mediated endocytosis of engineered EVs into recipient cells</w:t>
      </w:r>
      <w:r>
        <w:rPr>
          <w:rFonts w:eastAsia="TimesNewRomanPS-BoldMT"/>
          <w:b/>
          <w:bCs/>
          <w:lang w:val="en-US"/>
        </w:rPr>
        <w:t xml:space="preserve">. </w:t>
      </w:r>
      <w:r w:rsidRPr="00EF58FE">
        <w:rPr>
          <w:rFonts w:eastAsia="TimesNewRomanPSMT"/>
          <w:b/>
          <w:bCs/>
          <w:lang w:val="en-US"/>
        </w:rPr>
        <w:t>a</w:t>
      </w:r>
      <w:r w:rsidRPr="00EF58FE">
        <w:rPr>
          <w:rFonts w:eastAsia="TimesNewRomanPSMT"/>
          <w:lang w:val="en-US"/>
        </w:rPr>
        <w:t>-</w:t>
      </w:r>
      <w:r>
        <w:rPr>
          <w:rFonts w:eastAsia="TimesNewRomanPSMT"/>
          <w:b/>
          <w:bCs/>
          <w:lang w:val="en-US"/>
        </w:rPr>
        <w:t>d</w:t>
      </w:r>
      <w:r w:rsidRPr="00EF58FE">
        <w:rPr>
          <w:rFonts w:eastAsia="TimesNewRomanPSMT"/>
          <w:b/>
          <w:bCs/>
          <w:lang w:val="en-US"/>
        </w:rPr>
        <w:t>,</w:t>
      </w:r>
      <w:r w:rsidRPr="008D221B">
        <w:rPr>
          <w:rFonts w:eastAsia="TimesNewRomanPSMT"/>
          <w:lang w:val="en-US"/>
        </w:rPr>
        <w:t xml:space="preserve"> </w:t>
      </w:r>
      <w:r w:rsidRPr="00EF58FE">
        <w:rPr>
          <w:lang w:val="en-US"/>
        </w:rPr>
        <w:t>Percentage of GFP positive HeLa-TL, T47D-TL</w:t>
      </w:r>
      <w:r>
        <w:rPr>
          <w:lang w:val="en-US"/>
        </w:rPr>
        <w:t>,</w:t>
      </w:r>
      <w:r w:rsidRPr="00EF58FE">
        <w:rPr>
          <w:lang w:val="en-US"/>
        </w:rPr>
        <w:t xml:space="preserve"> B16F10-TL</w:t>
      </w:r>
      <w:r>
        <w:rPr>
          <w:lang w:val="en-US"/>
        </w:rPr>
        <w:t xml:space="preserve"> and MSC-TL</w:t>
      </w:r>
      <w:r w:rsidRPr="00EF58FE">
        <w:rPr>
          <w:lang w:val="en-US"/>
        </w:rPr>
        <w:t xml:space="preserve"> cells after adding wild type, P127D or K47Q VSV-G </w:t>
      </w:r>
      <w:r>
        <w:rPr>
          <w:lang w:val="en-US"/>
        </w:rPr>
        <w:t>directly fused with</w:t>
      </w:r>
      <w:r w:rsidRPr="00EF58FE">
        <w:rPr>
          <w:lang w:val="en-US"/>
        </w:rPr>
        <w:t xml:space="preserve"> </w:t>
      </w:r>
      <w:r>
        <w:rPr>
          <w:lang w:val="en-US"/>
        </w:rPr>
        <w:t>Foldon</w:t>
      </w:r>
      <w:r w:rsidRPr="00EF58FE">
        <w:rPr>
          <w:lang w:val="en-US"/>
        </w:rPr>
        <w:t xml:space="preserve">-Intein-Cre EVs, as evaluated by flow cytometry. </w:t>
      </w:r>
      <w:r w:rsidRPr="00BB454C">
        <w:rPr>
          <w:rFonts w:eastAsia="TimesNewRomanPSMT"/>
          <w:b/>
          <w:bCs/>
          <w:lang w:val="en-US"/>
        </w:rPr>
        <w:t>e,</w:t>
      </w:r>
      <w:r w:rsidRPr="00EF58FE">
        <w:rPr>
          <w:rFonts w:eastAsia="TimesNewRomanPSMT"/>
          <w:lang w:val="en-US"/>
        </w:rPr>
        <w:t xml:space="preserve"> Direct co-culture assay to show the recombination efficiency of different engineered EVs.</w:t>
      </w:r>
      <w:r w:rsidRPr="008D221B">
        <w:rPr>
          <w:rFonts w:eastAsia="TimesNewRomanPSMT"/>
          <w:lang w:val="en-US"/>
        </w:rPr>
        <w:t xml:space="preserve"> VSV-G (K47Q) and VSV-G (P127D) mutants were expressed in the EV-producing cells and resulting in </w:t>
      </w:r>
      <w:r w:rsidRPr="008D221B">
        <w:rPr>
          <w:rFonts w:eastAsia="TimesNewRomanPSMT"/>
          <w:lang w:val="en-US"/>
        </w:rPr>
        <w:lastRenderedPageBreak/>
        <w:t xml:space="preserve">abolished Cre delivery. </w:t>
      </w:r>
      <w:r w:rsidRPr="00BB454C">
        <w:rPr>
          <w:rFonts w:eastAsia="TimesNewRomanPSMT"/>
          <w:b/>
          <w:bCs/>
          <w:lang w:val="en-US"/>
        </w:rPr>
        <w:t>f,</w:t>
      </w:r>
      <w:r w:rsidRPr="008D221B">
        <w:rPr>
          <w:rFonts w:eastAsia="TimesNewRomanPSMT"/>
          <w:lang w:val="en-US"/>
        </w:rPr>
        <w:t xml:space="preserve"> Percentage of recombined GFP positive cells after a Transwell assay with B16F10-TL cells. VSV-G (K47Q) and VSV-G (P127D) mutants were expressed in the EV producing cells. Indicated numbers of EV-producing cells and 5×10</w:t>
      </w:r>
      <w:r w:rsidRPr="008D221B">
        <w:rPr>
          <w:rFonts w:eastAsia="TimesNewRomanPSMT"/>
          <w:vertAlign w:val="superscript"/>
          <w:lang w:val="en-US"/>
        </w:rPr>
        <w:t>4</w:t>
      </w:r>
      <w:r w:rsidRPr="008D221B">
        <w:rPr>
          <w:rFonts w:eastAsia="TimesNewRomanPSMT"/>
          <w:sz w:val="16"/>
          <w:szCs w:val="16"/>
          <w:lang w:val="en-US"/>
        </w:rPr>
        <w:t xml:space="preserve"> </w:t>
      </w:r>
      <w:r w:rsidRPr="008D221B">
        <w:rPr>
          <w:rFonts w:eastAsia="TimesNewRomanPSMT"/>
          <w:lang w:val="en-US"/>
        </w:rPr>
        <w:t xml:space="preserve">B16F10-TL cells were used for the assay in 24-well plates. </w:t>
      </w:r>
      <w:r w:rsidRPr="00BB454C">
        <w:rPr>
          <w:rFonts w:eastAsia="TimesNewRomanPSMT"/>
          <w:b/>
          <w:bCs/>
          <w:lang w:val="en-US"/>
        </w:rPr>
        <w:t>g,</w:t>
      </w:r>
      <w:r w:rsidRPr="008D221B">
        <w:rPr>
          <w:rFonts w:eastAsia="TimesNewRomanPSMT"/>
          <w:lang w:val="en-US"/>
        </w:rPr>
        <w:t xml:space="preserve"> Percentage of GFP positive cells evaluated by IBIDI assay in B16F10-TL cells. Indicated number of EV-producing cells and 4×10</w:t>
      </w:r>
      <w:r w:rsidRPr="008D221B">
        <w:rPr>
          <w:rFonts w:eastAsia="TimesNewRomanPSMT"/>
          <w:vertAlign w:val="superscript"/>
          <w:lang w:val="en-US"/>
        </w:rPr>
        <w:t>4</w:t>
      </w:r>
      <w:r w:rsidRPr="008D221B">
        <w:rPr>
          <w:rFonts w:eastAsia="TimesNewRomanPSMT"/>
          <w:sz w:val="16"/>
          <w:szCs w:val="16"/>
          <w:lang w:val="en-US"/>
        </w:rPr>
        <w:t xml:space="preserve"> </w:t>
      </w:r>
      <w:r w:rsidRPr="008D221B">
        <w:rPr>
          <w:rFonts w:eastAsia="TimesNewRomanPSMT"/>
          <w:lang w:val="en-US"/>
        </w:rPr>
        <w:t xml:space="preserve">reporter cells were used for this assay. </w:t>
      </w:r>
      <w:r w:rsidRPr="00BB454C">
        <w:rPr>
          <w:rFonts w:eastAsia="TimesNewRomanPSMT"/>
          <w:b/>
          <w:bCs/>
          <w:lang w:val="en-US"/>
        </w:rPr>
        <w:t>h,</w:t>
      </w:r>
      <w:r w:rsidRPr="008D221B">
        <w:rPr>
          <w:rFonts w:eastAsia="TimesNewRomanPSMT"/>
          <w:lang w:val="en-US"/>
        </w:rPr>
        <w:t xml:space="preserve"> Protein expression of directly fused mutated VSV-G-related constructs both in WCL of and isolated EVs evaluated by WB analysis. Proteins from 5×10</w:t>
      </w:r>
      <w:r w:rsidRPr="008D221B">
        <w:rPr>
          <w:rFonts w:eastAsia="TimesNewRomanPSMT"/>
          <w:vertAlign w:val="superscript"/>
          <w:lang w:val="en-US"/>
        </w:rPr>
        <w:t>5</w:t>
      </w:r>
      <w:r w:rsidRPr="008D221B">
        <w:rPr>
          <w:rFonts w:eastAsia="TimesNewRomanPSMT"/>
          <w:lang w:val="en-US"/>
        </w:rPr>
        <w:t xml:space="preserve"> EV producing cells and 1×10</w:t>
      </w:r>
      <w:r w:rsidRPr="008D221B">
        <w:rPr>
          <w:rFonts w:eastAsia="TimesNewRomanPSMT"/>
          <w:vertAlign w:val="superscript"/>
          <w:lang w:val="en-US"/>
        </w:rPr>
        <w:t>10</w:t>
      </w:r>
      <w:r w:rsidRPr="008D221B">
        <w:rPr>
          <w:rFonts w:eastAsia="TimesNewRomanPSMT"/>
          <w:sz w:val="16"/>
          <w:szCs w:val="16"/>
          <w:lang w:val="en-US"/>
        </w:rPr>
        <w:t xml:space="preserve"> </w:t>
      </w:r>
      <w:r w:rsidRPr="008D221B">
        <w:rPr>
          <w:rFonts w:eastAsia="TimesNewRomanPSMT"/>
          <w:lang w:val="en-US"/>
        </w:rPr>
        <w:t xml:space="preserve">engineered vesicles were used for the assay. TSG101, syntenin-1 and </w:t>
      </w:r>
      <w:r w:rsidRPr="008D221B">
        <w:rPr>
          <w:rFonts w:eastAsia="TimesNewRomanPSMT"/>
          <w:lang w:val="nl-NL"/>
        </w:rPr>
        <w:t>β</w:t>
      </w:r>
      <w:r w:rsidRPr="008D221B">
        <w:rPr>
          <w:rFonts w:eastAsia="TimesNewRomanPSMT"/>
          <w:lang w:val="en-US"/>
        </w:rPr>
        <w:t>-actin were used as EV markers and Calnexin was used as cellular organelle marker (endoplasmic reticulum).</w:t>
      </w:r>
      <w:r>
        <w:rPr>
          <w:rFonts w:eastAsia="TimesNewRomanPSMT"/>
          <w:lang w:val="en-US"/>
        </w:rPr>
        <w:t xml:space="preserve"> </w:t>
      </w:r>
      <w:r w:rsidRPr="008D221B">
        <w:rPr>
          <w:rFonts w:eastAsia="TimesNewRomanPSMT"/>
          <w:lang w:val="en-US"/>
        </w:rPr>
        <w:t xml:space="preserve">Two-way ANOVA </w:t>
      </w:r>
      <w:r w:rsidRPr="008D221B">
        <w:t>multiple comparisons</w:t>
      </w:r>
      <w:r w:rsidRPr="008D221B">
        <w:rPr>
          <w:rFonts w:eastAsia="TimesNewRomanPSMT"/>
          <w:lang w:val="en-US"/>
        </w:rPr>
        <w:t xml:space="preserve"> test was used for analysis of (</w:t>
      </w:r>
      <w:r w:rsidRPr="00BB454C">
        <w:rPr>
          <w:rFonts w:eastAsia="TimesNewRomanPSMT"/>
          <w:b/>
          <w:bCs/>
          <w:lang w:val="en-US"/>
        </w:rPr>
        <w:t>a</w:t>
      </w:r>
      <w:r w:rsidRPr="008D221B">
        <w:rPr>
          <w:rFonts w:eastAsia="TimesNewRomanPSMT"/>
          <w:lang w:val="en-US"/>
        </w:rPr>
        <w:t>-</w:t>
      </w:r>
      <w:r w:rsidRPr="00BB454C">
        <w:rPr>
          <w:rFonts w:eastAsia="TimesNewRomanPSMT"/>
          <w:b/>
          <w:bCs/>
          <w:lang w:val="en-US"/>
        </w:rPr>
        <w:t>g</w:t>
      </w:r>
      <w:r w:rsidRPr="008D221B">
        <w:rPr>
          <w:rFonts w:eastAsia="TimesNewRomanPSMT"/>
          <w:lang w:val="en-US"/>
        </w:rPr>
        <w:t>). Data are shown as means+SD, * p &lt; 0.05; ** p &lt; 0.01; *** p &lt; 0.00</w:t>
      </w:r>
      <w:r>
        <w:rPr>
          <w:rFonts w:eastAsia="TimesNewRomanPSMT"/>
          <w:lang w:val="en-US"/>
        </w:rPr>
        <w:t>1</w:t>
      </w:r>
      <w:r w:rsidRPr="008D221B">
        <w:rPr>
          <w:rFonts w:eastAsia="TimesNewRomanPSMT"/>
          <w:lang w:val="en-US"/>
        </w:rPr>
        <w:t>.</w:t>
      </w:r>
    </w:p>
    <w:p w14:paraId="2E5BB47E" w14:textId="77777777" w:rsidR="00FF02B2" w:rsidRDefault="00FF02B2" w:rsidP="00FF02B2">
      <w:pPr>
        <w:jc w:val="both"/>
        <w:rPr>
          <w:rFonts w:eastAsia="TimesNewRomanPSMT"/>
          <w:lang w:val="en-US"/>
        </w:rPr>
      </w:pPr>
    </w:p>
    <w:p w14:paraId="0F2812F4" w14:textId="77777777" w:rsidR="00FF02B2" w:rsidRDefault="00FF02B2" w:rsidP="00FF02B2">
      <w:pPr>
        <w:jc w:val="both"/>
        <w:rPr>
          <w:rFonts w:eastAsia="TimesNewRomanPSMT"/>
          <w:lang w:val="en-US"/>
        </w:rPr>
      </w:pPr>
      <w:r w:rsidRPr="00786E42">
        <w:rPr>
          <w:rFonts w:eastAsia="TimesNewRomanPS-BoldMT"/>
          <w:b/>
          <w:bCs/>
          <w:noProof/>
          <w:lang w:val="en-US"/>
        </w:rPr>
        <w:drawing>
          <wp:inline distT="0" distB="0" distL="0" distR="0" wp14:anchorId="29513D50" wp14:editId="2CA9DDA9">
            <wp:extent cx="5731510" cy="3515995"/>
            <wp:effectExtent l="0" t="0" r="0" b="1905"/>
            <wp:docPr id="275888846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888846" name="Picture 1" descr="A screenshot of a computer screen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86E42">
        <w:rPr>
          <w:rFonts w:eastAsia="TimesNewRomanPS-BoldMT"/>
          <w:b/>
          <w:bCs/>
          <w:lang w:val="en-US"/>
        </w:rPr>
        <w:t xml:space="preserve"> Supplementary</w:t>
      </w:r>
      <w:r>
        <w:rPr>
          <w:rFonts w:eastAsia="TimesNewRomanPS-BoldMT"/>
          <w:b/>
          <w:bCs/>
          <w:lang w:val="en-US"/>
        </w:rPr>
        <w:t xml:space="preserve"> </w:t>
      </w:r>
      <w:r w:rsidRPr="00786E42">
        <w:rPr>
          <w:rFonts w:eastAsia="TimesNewRomanPS-BoldMT"/>
          <w:b/>
          <w:bCs/>
          <w:lang w:val="en-US"/>
        </w:rPr>
        <w:t>Fig. 9. Characterization of Cas9-mediated genome editing in reporter cells</w:t>
      </w:r>
      <w:r>
        <w:rPr>
          <w:rFonts w:eastAsia="TimesNewRomanPS-BoldMT"/>
          <w:b/>
          <w:bCs/>
          <w:lang w:val="en-US"/>
        </w:rPr>
        <w:t xml:space="preserve"> by </w:t>
      </w:r>
      <w:r w:rsidRPr="00786E42">
        <w:rPr>
          <w:rFonts w:eastAsia="TimesNewRomanPS-BoldMT"/>
          <w:b/>
          <w:bCs/>
          <w:lang w:val="en-US"/>
        </w:rPr>
        <w:t>engineered EVs</w:t>
      </w:r>
      <w:r>
        <w:rPr>
          <w:rFonts w:eastAsia="TimesNewRomanPS-BoldMT"/>
          <w:b/>
          <w:bCs/>
          <w:lang w:val="en-US"/>
        </w:rPr>
        <w:t>.</w:t>
      </w:r>
      <w:r w:rsidRPr="00786E42">
        <w:rPr>
          <w:rFonts w:eastAsia="TimesNewRomanPS-BoldMT"/>
          <w:b/>
          <w:bCs/>
          <w:lang w:val="en-US"/>
        </w:rPr>
        <w:t xml:space="preserve"> </w:t>
      </w:r>
      <w:r w:rsidRPr="00786E42">
        <w:rPr>
          <w:rFonts w:eastAsia="TimesNewRomanPSMT"/>
          <w:b/>
          <w:bCs/>
          <w:lang w:val="en-US"/>
        </w:rPr>
        <w:t>a,</w:t>
      </w:r>
      <w:r>
        <w:rPr>
          <w:rFonts w:eastAsia="TimesNewRomanPSMT"/>
          <w:lang w:val="en-US"/>
        </w:rPr>
        <w:t xml:space="preserve"> </w:t>
      </w:r>
      <w:r w:rsidRPr="00786E42">
        <w:rPr>
          <w:rFonts w:eastAsia="TimesNewRomanPSMT"/>
          <w:lang w:val="en-US"/>
        </w:rPr>
        <w:t xml:space="preserve">Fluorescence microscopy images demonstrating functional Cas9/sgRNA RNPs delivery, as indicated by GFP positive signals, in HEK293T stoplight (HEK-SL) reporter cells after addition of indicated doses of EVs for 72 h. Scale bar, 100 </w:t>
      </w:r>
      <w:r w:rsidRPr="00786E42">
        <w:rPr>
          <w:rFonts w:eastAsia="TimesNewRomanPSMT"/>
          <w:lang w:val="nl-NL"/>
        </w:rPr>
        <w:t>μ</w:t>
      </w:r>
      <w:r w:rsidRPr="00786E42">
        <w:rPr>
          <w:rFonts w:eastAsia="TimesNewRomanPSMT"/>
          <w:lang w:val="en-US"/>
        </w:rPr>
        <w:t xml:space="preserve">m, representative images. </w:t>
      </w:r>
      <w:r w:rsidRPr="00786E42">
        <w:rPr>
          <w:rFonts w:eastAsia="TimesNewRomanPSMT"/>
          <w:b/>
          <w:bCs/>
          <w:lang w:val="en-US"/>
        </w:rPr>
        <w:t xml:space="preserve">b, </w:t>
      </w:r>
      <w:r w:rsidRPr="00786E42">
        <w:rPr>
          <w:rFonts w:eastAsia="TimesNewRomanPSMT"/>
          <w:lang w:val="en-US"/>
        </w:rPr>
        <w:t>Protein expression of Cas9 related constructs in both whole cell lysate (WCL) and EVs evaluated by western blot analysis. Proteins from 5×10</w:t>
      </w:r>
      <w:r w:rsidRPr="00786E42">
        <w:rPr>
          <w:rFonts w:eastAsia="TimesNewRomanPSMT"/>
          <w:vertAlign w:val="superscript"/>
          <w:lang w:val="en-US"/>
        </w:rPr>
        <w:t>5</w:t>
      </w:r>
      <w:r w:rsidRPr="00786E42">
        <w:rPr>
          <w:rFonts w:eastAsia="TimesNewRomanPSMT"/>
          <w:sz w:val="16"/>
          <w:szCs w:val="16"/>
          <w:lang w:val="en-US"/>
        </w:rPr>
        <w:t xml:space="preserve"> </w:t>
      </w:r>
      <w:r w:rsidRPr="00786E42">
        <w:rPr>
          <w:rFonts w:eastAsia="TimesNewRomanPSMT"/>
          <w:lang w:val="en-US"/>
        </w:rPr>
        <w:t>EV-producing cells and 1×10</w:t>
      </w:r>
      <w:r w:rsidRPr="00786E42">
        <w:rPr>
          <w:rFonts w:eastAsia="TimesNewRomanPSMT"/>
          <w:vertAlign w:val="superscript"/>
          <w:lang w:val="en-US"/>
        </w:rPr>
        <w:t>10</w:t>
      </w:r>
      <w:r w:rsidRPr="00786E42">
        <w:rPr>
          <w:rFonts w:eastAsia="TimesNewRomanPSMT"/>
          <w:sz w:val="16"/>
          <w:szCs w:val="16"/>
          <w:lang w:val="en-US"/>
        </w:rPr>
        <w:t xml:space="preserve"> </w:t>
      </w:r>
      <w:r w:rsidRPr="00786E42">
        <w:rPr>
          <w:rFonts w:eastAsia="TimesNewRomanPSMT"/>
          <w:lang w:val="en-US"/>
        </w:rPr>
        <w:t xml:space="preserve">engineered vesicles were used for the assay. TSG101, syntenin-1 and </w:t>
      </w:r>
      <w:r w:rsidRPr="00786E42">
        <w:rPr>
          <w:rFonts w:eastAsia="TimesNewRomanPSMT"/>
          <w:lang w:val="nl-NL"/>
        </w:rPr>
        <w:t>β</w:t>
      </w:r>
      <w:r w:rsidRPr="00786E42">
        <w:rPr>
          <w:rFonts w:eastAsia="TimesNewRomanPSMT"/>
          <w:lang w:val="en-US"/>
        </w:rPr>
        <w:t>-actin were used as EV markers while Calnexin was used as cellular organelle marker (endoplasmic reticulum).</w:t>
      </w:r>
    </w:p>
    <w:p w14:paraId="0F6BD191" w14:textId="77777777" w:rsidR="00FF02B2" w:rsidRPr="00786E42" w:rsidRDefault="00FF02B2" w:rsidP="00FF02B2">
      <w:pPr>
        <w:jc w:val="both"/>
        <w:rPr>
          <w:rFonts w:eastAsia="TimesNewRomanPS-BoldMT"/>
          <w:b/>
          <w:bCs/>
          <w:lang w:val="en-US"/>
        </w:rPr>
      </w:pPr>
      <w:r w:rsidRPr="00786E42">
        <w:rPr>
          <w:rFonts w:eastAsia="TimesNewRomanPS-BoldMT"/>
          <w:b/>
          <w:bCs/>
          <w:noProof/>
          <w:lang w:val="en-US"/>
        </w:rPr>
        <w:lastRenderedPageBreak/>
        <w:drawing>
          <wp:inline distT="0" distB="0" distL="0" distR="0" wp14:anchorId="0BA96DB2" wp14:editId="7DE1FC35">
            <wp:extent cx="5731510" cy="5008245"/>
            <wp:effectExtent l="0" t="0" r="0" b="0"/>
            <wp:docPr id="1746894383" name="Picture 1" descr="A close-up of a m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894383" name="Picture 1" descr="A close-up of a mouse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0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3609F" w14:textId="77777777" w:rsidR="00FF02B2" w:rsidRDefault="00FF02B2" w:rsidP="00FF02B2">
      <w:pPr>
        <w:jc w:val="both"/>
        <w:rPr>
          <w:noProof/>
        </w:rPr>
      </w:pPr>
      <w:r>
        <w:rPr>
          <w:b/>
          <w:bCs/>
          <w:lang w:val="en-US"/>
        </w:rPr>
        <w:t xml:space="preserve">Supplementary </w:t>
      </w:r>
      <w:r w:rsidRPr="00786E42">
        <w:rPr>
          <w:b/>
          <w:bCs/>
          <w:lang w:val="en-US"/>
        </w:rPr>
        <w:t xml:space="preserve">Fig. </w:t>
      </w:r>
      <w:r>
        <w:rPr>
          <w:b/>
          <w:bCs/>
          <w:lang w:val="en-US"/>
        </w:rPr>
        <w:t>10</w:t>
      </w:r>
      <w:r w:rsidRPr="00786E42">
        <w:rPr>
          <w:b/>
          <w:bCs/>
          <w:lang w:val="en-US"/>
        </w:rPr>
        <w:t>.</w:t>
      </w:r>
      <w:r w:rsidRPr="00786E42">
        <w:rPr>
          <w:lang w:val="en-US"/>
        </w:rPr>
        <w:t xml:space="preserve"> </w:t>
      </w:r>
      <w:r w:rsidRPr="00786E42">
        <w:rPr>
          <w:b/>
          <w:bCs/>
          <w:lang w:val="en-US"/>
        </w:rPr>
        <w:t>Cre recombination in melanoma-xenograft.</w:t>
      </w:r>
      <w:r>
        <w:rPr>
          <w:lang w:val="en-US"/>
        </w:rPr>
        <w:t xml:space="preserve"> </w:t>
      </w:r>
      <w:r w:rsidRPr="00786E42">
        <w:rPr>
          <w:b/>
          <w:bCs/>
          <w:lang w:val="en-US"/>
        </w:rPr>
        <w:t>a,</w:t>
      </w:r>
      <w:r w:rsidRPr="00786E42">
        <w:rPr>
          <w:lang w:val="en-US"/>
        </w:rPr>
        <w:t xml:space="preserve"> Workflow for the intratumoral injection model. </w:t>
      </w:r>
      <w:r w:rsidRPr="00786E42">
        <w:rPr>
          <w:b/>
          <w:bCs/>
          <w:lang w:val="en-US"/>
        </w:rPr>
        <w:t>b,</w:t>
      </w:r>
      <w:r w:rsidRPr="00786E42">
        <w:rPr>
          <w:lang w:val="en-US"/>
        </w:rPr>
        <w:t xml:space="preserve"> Representative immunofluorescence images from tumor tissues after intratumoral injection of engineered EVs to induce GFP expression. Scale bar, 100 </w:t>
      </w:r>
      <w:r w:rsidRPr="00786E42">
        <w:t xml:space="preserve">µm. </w:t>
      </w:r>
      <w:r w:rsidRPr="00786E42">
        <w:rPr>
          <w:lang w:val="en-US"/>
        </w:rPr>
        <w:t>n=3 mice per group.</w:t>
      </w:r>
    </w:p>
    <w:p w14:paraId="37AE8F66" w14:textId="77777777" w:rsidR="00FF02B2" w:rsidRDefault="00FF02B2" w:rsidP="00FF02B2">
      <w:pPr>
        <w:jc w:val="both"/>
        <w:rPr>
          <w:rFonts w:eastAsia="TimesNewRomanPSMT"/>
          <w:lang w:val="en-US"/>
        </w:rPr>
      </w:pPr>
      <w:r w:rsidRPr="00AB3C0B">
        <w:rPr>
          <w:noProof/>
          <w:lang w:val="en-US"/>
        </w:rPr>
        <w:lastRenderedPageBreak/>
        <w:drawing>
          <wp:inline distT="0" distB="0" distL="0" distR="0" wp14:anchorId="61958672" wp14:editId="4053B3BB">
            <wp:extent cx="5731510" cy="5875020"/>
            <wp:effectExtent l="0" t="0" r="0" b="5080"/>
            <wp:docPr id="1126572755" name="Picture 1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572755" name="Picture 1" descr="A collage of images of cells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7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B3C0B">
        <w:rPr>
          <w:rFonts w:eastAsia="TimesNewRomanPS-BoldMT"/>
          <w:b/>
          <w:bCs/>
          <w:lang w:val="en-US"/>
        </w:rPr>
        <w:t xml:space="preserve"> Supplementary</w:t>
      </w:r>
      <w:r>
        <w:rPr>
          <w:rFonts w:eastAsia="TimesNewRomanPS-BoldMT"/>
          <w:b/>
          <w:bCs/>
          <w:lang w:val="en-US"/>
        </w:rPr>
        <w:t xml:space="preserve"> </w:t>
      </w:r>
      <w:r w:rsidRPr="00AB3C0B">
        <w:rPr>
          <w:rFonts w:eastAsia="TimesNewRomanPS-BoldMT"/>
          <w:b/>
          <w:bCs/>
          <w:lang w:val="en-US"/>
        </w:rPr>
        <w:t xml:space="preserve">Fig. </w:t>
      </w:r>
      <w:r>
        <w:rPr>
          <w:rFonts w:eastAsia="TimesNewRomanPS-BoldMT"/>
          <w:b/>
          <w:bCs/>
          <w:lang w:val="en-US"/>
        </w:rPr>
        <w:t>11</w:t>
      </w:r>
      <w:r w:rsidRPr="00AB3C0B">
        <w:rPr>
          <w:rFonts w:eastAsia="TimesNewRomanPS-BoldMT"/>
          <w:b/>
          <w:bCs/>
          <w:lang w:val="en-US"/>
        </w:rPr>
        <w:t xml:space="preserve">. </w:t>
      </w:r>
      <w:r w:rsidRPr="00AB3C0B">
        <w:rPr>
          <w:b/>
          <w:bCs/>
          <w:lang w:val="en-US"/>
        </w:rPr>
        <w:t xml:space="preserve">Cre-mediated recombination </w:t>
      </w:r>
      <w:r>
        <w:rPr>
          <w:b/>
          <w:bCs/>
          <w:lang w:val="en-US"/>
        </w:rPr>
        <w:t xml:space="preserve">in </w:t>
      </w:r>
      <w:r w:rsidRPr="00AB3C0B">
        <w:rPr>
          <w:b/>
          <w:bCs/>
          <w:lang w:val="en-US"/>
        </w:rPr>
        <w:t>R26-LSL-tdTomato reporter mice by VEDIC and VFIC systems after local injection</w:t>
      </w:r>
      <w:r>
        <w:rPr>
          <w:rFonts w:eastAsia="TimesNewRomanPS-BoldMT"/>
          <w:b/>
          <w:bCs/>
          <w:lang w:val="en-US"/>
        </w:rPr>
        <w:t xml:space="preserve">. </w:t>
      </w:r>
      <w:r w:rsidRPr="00AB3C0B">
        <w:rPr>
          <w:rFonts w:eastAsia="TimesNewRomanPSMT"/>
          <w:b/>
          <w:bCs/>
          <w:lang w:val="en-US"/>
        </w:rPr>
        <w:t>a,</w:t>
      </w:r>
      <w:r w:rsidRPr="00AB3C0B">
        <w:rPr>
          <w:rFonts w:eastAsia="TimesNewRomanPSMT"/>
          <w:lang w:val="en-US"/>
        </w:rPr>
        <w:t xml:space="preserve"> IHC staining of the olfactory bulb and thalamus one week after ICV injection of the engineered EVs. Scale bar, 50</w:t>
      </w:r>
      <w:r w:rsidRPr="00AB3C0B">
        <w:rPr>
          <w:rFonts w:eastAsia="TimesNewRomanPSMT"/>
          <w:lang w:val="nl-NL"/>
        </w:rPr>
        <w:t>μ</w:t>
      </w:r>
      <w:r w:rsidRPr="00AB3C0B">
        <w:rPr>
          <w:rFonts w:eastAsia="TimesNewRomanPSMT"/>
          <w:lang w:val="en-US"/>
        </w:rPr>
        <w:t xml:space="preserve">m. </w:t>
      </w:r>
      <w:r w:rsidRPr="005E2BEA">
        <w:rPr>
          <w:rFonts w:eastAsia="TimesNewRomanPSMT"/>
          <w:b/>
          <w:bCs/>
          <w:lang w:val="en-US"/>
        </w:rPr>
        <w:t>b</w:t>
      </w:r>
      <w:r>
        <w:rPr>
          <w:rFonts w:eastAsia="TimesNewRomanPSMT"/>
          <w:lang w:val="en-US"/>
        </w:rPr>
        <w:t>-</w:t>
      </w:r>
      <w:r w:rsidRPr="005E2BEA">
        <w:rPr>
          <w:rFonts w:eastAsia="TimesNewRomanPSMT"/>
          <w:b/>
          <w:bCs/>
          <w:lang w:val="en-US"/>
        </w:rPr>
        <w:t>d,</w:t>
      </w:r>
      <w:r w:rsidRPr="00AB3C0B">
        <w:rPr>
          <w:lang w:val="en-US"/>
        </w:rPr>
        <w:t xml:space="preserve"> Co-staining of tdTomato with the astrocyte marker GFAP in corpus callosum (outlined by dashed lines) and hippocampus one week after ICV injection of engineered EVs. Scale bar, 20 </w:t>
      </w:r>
      <w:r w:rsidRPr="00AB3C0B">
        <w:t>µm</w:t>
      </w:r>
      <w:r w:rsidRPr="00AB3C0B">
        <w:rPr>
          <w:lang w:val="en-US"/>
        </w:rPr>
        <w:t xml:space="preserve">. </w:t>
      </w:r>
      <w:r w:rsidRPr="00AB3C0B">
        <w:rPr>
          <w:rFonts w:eastAsia="TimesNewRomanPSMT"/>
          <w:lang w:val="en-US"/>
        </w:rPr>
        <w:t xml:space="preserve"> </w:t>
      </w:r>
      <w:r w:rsidRPr="005E2BEA">
        <w:rPr>
          <w:rFonts w:eastAsia="TimesNewRomanPSMT"/>
          <w:b/>
          <w:bCs/>
          <w:lang w:val="en-US"/>
        </w:rPr>
        <w:t>e,</w:t>
      </w:r>
      <w:r w:rsidRPr="00AB3C0B">
        <w:rPr>
          <w:rFonts w:eastAsia="TimesNewRomanPSMT"/>
          <w:lang w:val="en-US"/>
        </w:rPr>
        <w:t xml:space="preserve"> Co-staining of microglia marker IBA1 with </w:t>
      </w:r>
      <w:r w:rsidRPr="00AB3C0B">
        <w:rPr>
          <w:lang w:val="en-US"/>
        </w:rPr>
        <w:t>tdTomato</w:t>
      </w:r>
      <w:r w:rsidRPr="00AB3C0B" w:rsidDel="003C463D">
        <w:rPr>
          <w:rFonts w:eastAsia="TimesNewRomanPSMT"/>
          <w:lang w:val="en-US"/>
        </w:rPr>
        <w:t xml:space="preserve"> </w:t>
      </w:r>
      <w:r w:rsidRPr="00AB3C0B">
        <w:rPr>
          <w:rFonts w:eastAsia="TimesNewRomanPSMT"/>
          <w:lang w:val="en-US"/>
        </w:rPr>
        <w:t xml:space="preserve">in corpus callosum (highlighted by dashed lines) after ICV injection of engineered EVs. Scale bar, 20 </w:t>
      </w:r>
      <w:r w:rsidRPr="00AB3C0B">
        <w:rPr>
          <w:rFonts w:eastAsia="TimesNewRomanPSMT"/>
          <w:lang w:val="nl-NL"/>
        </w:rPr>
        <w:t>μ</w:t>
      </w:r>
      <w:r w:rsidRPr="00AB3C0B">
        <w:rPr>
          <w:rFonts w:eastAsia="TimesNewRomanPSMT"/>
          <w:lang w:val="en-US"/>
        </w:rPr>
        <w:t xml:space="preserve">m. </w:t>
      </w:r>
      <w:r w:rsidRPr="005E2BEA">
        <w:rPr>
          <w:rFonts w:eastAsia="TimesNewRomanPSMT"/>
          <w:b/>
          <w:bCs/>
          <w:lang w:val="en-US"/>
        </w:rPr>
        <w:t>f,</w:t>
      </w:r>
      <w:r w:rsidRPr="00AB3C0B">
        <w:rPr>
          <w:rFonts w:eastAsia="TimesNewRomanPSMT"/>
          <w:lang w:val="en-US"/>
        </w:rPr>
        <w:t xml:space="preserve"> Co-staining of neuron cell marker NeuN with </w:t>
      </w:r>
      <w:r w:rsidRPr="00AB3C0B">
        <w:rPr>
          <w:lang w:val="en-US"/>
        </w:rPr>
        <w:t>tdTomato</w:t>
      </w:r>
      <w:r w:rsidRPr="00AB3C0B">
        <w:rPr>
          <w:rFonts w:eastAsia="TimesNewRomanPSMT"/>
          <w:lang w:val="en-US"/>
        </w:rPr>
        <w:t xml:space="preserve"> in different regions of brain after ICV injection of different engineered EVs. Scale bar, 20 </w:t>
      </w:r>
      <w:r w:rsidRPr="00AB3C0B">
        <w:rPr>
          <w:rFonts w:eastAsia="TimesNewRomanPSMT"/>
          <w:lang w:val="nl-NL"/>
        </w:rPr>
        <w:t>μ</w:t>
      </w:r>
      <w:r w:rsidRPr="00AB3C0B">
        <w:rPr>
          <w:rFonts w:eastAsia="TimesNewRomanPSMT"/>
          <w:lang w:val="en-US"/>
        </w:rPr>
        <w:t>m. White arrow indicates sporadic cells with co-localization of NeuN and RFP. n=3 mice per group, representative images for (</w:t>
      </w:r>
      <w:r w:rsidRPr="005E2BEA">
        <w:rPr>
          <w:rFonts w:eastAsia="TimesNewRomanPSMT"/>
          <w:b/>
          <w:bCs/>
          <w:lang w:val="en-US"/>
        </w:rPr>
        <w:t>a</w:t>
      </w:r>
      <w:r w:rsidRPr="00AB3C0B">
        <w:rPr>
          <w:rFonts w:eastAsia="TimesNewRomanPSMT"/>
          <w:lang w:val="en-US"/>
        </w:rPr>
        <w:t>-</w:t>
      </w:r>
      <w:r w:rsidRPr="005E2BEA">
        <w:rPr>
          <w:rFonts w:eastAsia="TimesNewRomanPSMT"/>
          <w:b/>
          <w:bCs/>
          <w:lang w:val="en-US"/>
        </w:rPr>
        <w:t>f</w:t>
      </w:r>
      <w:r w:rsidRPr="00AB3C0B">
        <w:rPr>
          <w:rFonts w:eastAsia="TimesNewRomanPSMT"/>
          <w:lang w:val="en-US"/>
        </w:rPr>
        <w:t>).</w:t>
      </w:r>
    </w:p>
    <w:p w14:paraId="3EC01B84" w14:textId="77777777" w:rsidR="00FF02B2" w:rsidRPr="005E2BEA" w:rsidRDefault="00FF02B2" w:rsidP="00FF02B2">
      <w:pPr>
        <w:jc w:val="both"/>
        <w:rPr>
          <w:rFonts w:eastAsia="TimesNewRomanPS-BoldMT"/>
          <w:b/>
          <w:bCs/>
          <w:lang w:val="en-US"/>
        </w:rPr>
      </w:pPr>
      <w:r w:rsidRPr="00AC78C0">
        <w:rPr>
          <w:rFonts w:eastAsia="TimesNewRomanPS-BoldMT"/>
          <w:b/>
          <w:bCs/>
          <w:noProof/>
          <w:lang w:val="en-US"/>
        </w:rPr>
        <w:lastRenderedPageBreak/>
        <w:drawing>
          <wp:inline distT="0" distB="0" distL="0" distR="0" wp14:anchorId="6622F17C" wp14:editId="6597191B">
            <wp:extent cx="5731510" cy="7406005"/>
            <wp:effectExtent l="0" t="0" r="0" b="0"/>
            <wp:docPr id="1571012989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012989" name="Picture 1" descr="A screenshot of a computer screen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40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EC5A29" w14:textId="77777777" w:rsidR="00FF02B2" w:rsidRPr="00AC78C0" w:rsidRDefault="00FF02B2" w:rsidP="00FF02B2">
      <w:pPr>
        <w:jc w:val="both"/>
        <w:rPr>
          <w:rFonts w:eastAsia="TimesNewRomanPS-BoldMT"/>
          <w:b/>
          <w:bCs/>
          <w:lang w:val="en-US"/>
        </w:rPr>
      </w:pPr>
      <w:r>
        <w:rPr>
          <w:rFonts w:eastAsia="TimesNewRomanPS-BoldMT"/>
          <w:b/>
          <w:bCs/>
          <w:lang w:val="en-US"/>
        </w:rPr>
        <w:t xml:space="preserve">Supplementary </w:t>
      </w:r>
      <w:r w:rsidRPr="00AC78C0">
        <w:rPr>
          <w:rFonts w:eastAsia="TimesNewRomanPS-BoldMT"/>
          <w:b/>
          <w:bCs/>
          <w:lang w:val="en-US"/>
        </w:rPr>
        <w:t xml:space="preserve">Fig. </w:t>
      </w:r>
      <w:r>
        <w:rPr>
          <w:rFonts w:eastAsia="TimesNewRomanPS-BoldMT"/>
          <w:b/>
          <w:bCs/>
          <w:lang w:val="en-US"/>
        </w:rPr>
        <w:t>12</w:t>
      </w:r>
      <w:r w:rsidRPr="00AC78C0">
        <w:rPr>
          <w:rFonts w:eastAsia="TimesNewRomanPS-BoldMT"/>
          <w:b/>
          <w:bCs/>
          <w:lang w:val="en-US"/>
        </w:rPr>
        <w:t xml:space="preserve">. </w:t>
      </w:r>
      <w:r w:rsidRPr="00AC78C0">
        <w:rPr>
          <w:b/>
          <w:bCs/>
          <w:lang w:val="en-US"/>
        </w:rPr>
        <w:t>Cre recombination in R26-LSL-tdTomato reporter</w:t>
      </w:r>
      <w:r w:rsidRPr="00AC78C0">
        <w:rPr>
          <w:lang w:val="en-US"/>
        </w:rPr>
        <w:t xml:space="preserve"> </w:t>
      </w:r>
      <w:r w:rsidRPr="00AC78C0">
        <w:rPr>
          <w:b/>
          <w:bCs/>
          <w:lang w:val="en-US"/>
        </w:rPr>
        <w:t>mice following systemic VEDIC and VFIC EV-mediated Cre delivery</w:t>
      </w:r>
      <w:r>
        <w:rPr>
          <w:b/>
          <w:bCs/>
          <w:lang w:val="en-US"/>
        </w:rPr>
        <w:t>.</w:t>
      </w:r>
      <w:r>
        <w:rPr>
          <w:rFonts w:eastAsia="TimesNewRomanPS-BoldMT"/>
          <w:b/>
          <w:bCs/>
          <w:lang w:val="en-US"/>
        </w:rPr>
        <w:t xml:space="preserve"> </w:t>
      </w:r>
      <w:r w:rsidRPr="00AC78C0">
        <w:rPr>
          <w:rFonts w:eastAsia="TimesNewRomanPSMT"/>
          <w:b/>
          <w:bCs/>
          <w:lang w:val="en-US"/>
        </w:rPr>
        <w:t>a,</w:t>
      </w:r>
      <w:r w:rsidRPr="00AC78C0">
        <w:rPr>
          <w:rFonts w:eastAsia="TimesNewRomanPSMT"/>
          <w:lang w:val="en-US"/>
        </w:rPr>
        <w:t xml:space="preserve"> Representative fluorescent microscopic images demonstrated tdTomato positive liver primary cells from </w:t>
      </w:r>
      <w:r w:rsidRPr="00AC78C0">
        <w:rPr>
          <w:rFonts w:eastAsia="TimesNewRomanPS-BoldMT"/>
          <w:lang w:val="en-US"/>
        </w:rPr>
        <w:t>R26-LSL-tdTomato</w:t>
      </w:r>
      <w:r w:rsidRPr="00AC78C0">
        <w:rPr>
          <w:lang w:val="en-US"/>
        </w:rPr>
        <w:t xml:space="preserve"> reporter </w:t>
      </w:r>
      <w:r w:rsidRPr="00AC78C0">
        <w:rPr>
          <w:rFonts w:eastAsia="TimesNewRomanPS-BoldMT"/>
          <w:lang w:val="en-US"/>
        </w:rPr>
        <w:t>mice</w:t>
      </w:r>
      <w:r w:rsidRPr="00AC78C0">
        <w:rPr>
          <w:rFonts w:eastAsia="TimesNewRomanPSMT"/>
          <w:lang w:val="en-US"/>
        </w:rPr>
        <w:t xml:space="preserve"> after adding VEDIC and VFIC EVs for 2 days. Scale bar, 100 </w:t>
      </w:r>
      <w:r w:rsidRPr="00AC78C0">
        <w:rPr>
          <w:rFonts w:eastAsia="TimesNewRomanPSMT"/>
          <w:lang w:val="nl-NL"/>
        </w:rPr>
        <w:t>μ</w:t>
      </w:r>
      <w:r w:rsidRPr="00AC78C0">
        <w:rPr>
          <w:rFonts w:eastAsia="TimesNewRomanPSMT"/>
          <w:lang w:val="en-US"/>
        </w:rPr>
        <w:t xml:space="preserve">m.  </w:t>
      </w:r>
    </w:p>
    <w:p w14:paraId="084BD47A" w14:textId="77777777" w:rsidR="00FF02B2" w:rsidRDefault="00FF02B2" w:rsidP="00FF02B2">
      <w:pPr>
        <w:autoSpaceDE w:val="0"/>
        <w:autoSpaceDN w:val="0"/>
        <w:adjustRightInd w:val="0"/>
        <w:jc w:val="both"/>
        <w:rPr>
          <w:rFonts w:eastAsia="TimesNewRomanPSMT"/>
          <w:lang w:val="en-US"/>
        </w:rPr>
      </w:pPr>
      <w:r w:rsidRPr="00AC78C0">
        <w:rPr>
          <w:rFonts w:eastAsia="TimesNewRomanPSMT"/>
          <w:b/>
          <w:bCs/>
          <w:lang w:val="en-US"/>
        </w:rPr>
        <w:t>b,</w:t>
      </w:r>
      <w:r w:rsidRPr="00AC78C0">
        <w:rPr>
          <w:rFonts w:eastAsia="TimesNewRomanPSMT"/>
          <w:lang w:val="en-US"/>
        </w:rPr>
        <w:t xml:space="preserve"> IHC staining of the heart, one week after IP injection of the engineered EVs. Scale bar, 50 </w:t>
      </w:r>
      <w:r w:rsidRPr="00AC78C0">
        <w:rPr>
          <w:rFonts w:eastAsia="TimesNewRomanPSMT"/>
          <w:lang w:val="nl-NL"/>
        </w:rPr>
        <w:t>μ</w:t>
      </w:r>
      <w:r w:rsidRPr="00AC78C0">
        <w:rPr>
          <w:rFonts w:eastAsia="TimesNewRomanPSMT"/>
          <w:lang w:val="en-US"/>
        </w:rPr>
        <w:t xml:space="preserve">m. </w:t>
      </w:r>
      <w:r w:rsidRPr="00AC78C0">
        <w:rPr>
          <w:b/>
          <w:bCs/>
          <w:lang w:val="en-US"/>
        </w:rPr>
        <w:t>c,</w:t>
      </w:r>
      <w:r w:rsidRPr="00AC78C0">
        <w:rPr>
          <w:lang w:val="en-US"/>
        </w:rPr>
        <w:t xml:space="preserve"> Co-staining of tdTomato with the general leukocyte marker CD45 in spleen as detected by immunofluorescence one week after IP injection of engineered EVs. Scale bar, 50 </w:t>
      </w:r>
      <w:r w:rsidRPr="00AC78C0">
        <w:t>µm</w:t>
      </w:r>
      <w:r w:rsidRPr="00AC78C0">
        <w:rPr>
          <w:lang w:val="en-US"/>
        </w:rPr>
        <w:t xml:space="preserve">. </w:t>
      </w:r>
      <w:r w:rsidRPr="00AC78C0">
        <w:rPr>
          <w:rFonts w:eastAsia="TimesNewRomanPSMT"/>
          <w:b/>
          <w:bCs/>
          <w:lang w:val="en-US"/>
        </w:rPr>
        <w:t>d,</w:t>
      </w:r>
      <w:r w:rsidRPr="00AC78C0">
        <w:rPr>
          <w:rFonts w:eastAsia="TimesNewRomanPSMT"/>
          <w:lang w:val="en-US"/>
        </w:rPr>
        <w:t xml:space="preserve"> </w:t>
      </w:r>
      <w:r w:rsidRPr="00AC78C0">
        <w:rPr>
          <w:rFonts w:eastAsia="TimesNewRomanPSMT"/>
          <w:lang w:val="en-US"/>
        </w:rPr>
        <w:lastRenderedPageBreak/>
        <w:t xml:space="preserve">Co-staining of </w:t>
      </w:r>
      <w:r w:rsidRPr="00AC78C0">
        <w:rPr>
          <w:lang w:val="en-US"/>
        </w:rPr>
        <w:t>general leukocyte marker</w:t>
      </w:r>
      <w:r w:rsidRPr="00AC78C0">
        <w:rPr>
          <w:rFonts w:eastAsia="TimesNewRomanPSMT"/>
          <w:lang w:val="en-US"/>
        </w:rPr>
        <w:t xml:space="preserve"> CD45 with </w:t>
      </w:r>
      <w:r w:rsidRPr="00AC78C0">
        <w:rPr>
          <w:lang w:val="en-US"/>
        </w:rPr>
        <w:t>tdTomato</w:t>
      </w:r>
      <w:r w:rsidRPr="00AC78C0">
        <w:rPr>
          <w:rFonts w:eastAsia="TimesNewRomanPSMT"/>
          <w:lang w:val="en-US"/>
        </w:rPr>
        <w:t xml:space="preserve"> expression in liver after IP injection of engineered EVs. Scale bar, 50 </w:t>
      </w:r>
      <w:r w:rsidRPr="00AC78C0">
        <w:rPr>
          <w:rFonts w:eastAsia="TimesNewRomanPSMT"/>
          <w:lang w:val="nl-NL"/>
        </w:rPr>
        <w:t>μ</w:t>
      </w:r>
      <w:r w:rsidRPr="00AC78C0">
        <w:rPr>
          <w:rFonts w:eastAsia="TimesNewRomanPSMT"/>
          <w:lang w:val="en-US"/>
        </w:rPr>
        <w:t xml:space="preserve">m. </w:t>
      </w:r>
      <w:r w:rsidRPr="00AC78C0">
        <w:rPr>
          <w:rFonts w:eastAsia="TimesNewRomanPSMT"/>
          <w:b/>
          <w:bCs/>
          <w:lang w:val="en-US"/>
        </w:rPr>
        <w:t>e,</w:t>
      </w:r>
      <w:r w:rsidRPr="00AC78C0">
        <w:rPr>
          <w:rFonts w:eastAsia="TimesNewRomanPSMT"/>
          <w:lang w:val="en-US"/>
        </w:rPr>
        <w:t xml:space="preserve"> C-localization of T cell marker CD3 with </w:t>
      </w:r>
      <w:r w:rsidRPr="00AC78C0">
        <w:rPr>
          <w:lang w:val="en-US"/>
        </w:rPr>
        <w:t>tdTomato</w:t>
      </w:r>
      <w:r w:rsidRPr="00AC78C0">
        <w:rPr>
          <w:rFonts w:eastAsia="TimesNewRomanPSMT"/>
          <w:lang w:val="en-US"/>
        </w:rPr>
        <w:t xml:space="preserve"> in liver one week after IP injection of engineered EVs as detected by IHC co-staining. Scale bar, 50 </w:t>
      </w:r>
      <w:r w:rsidRPr="00AC78C0">
        <w:rPr>
          <w:rFonts w:eastAsia="TimesNewRomanPSMT"/>
          <w:lang w:val="nl-NL"/>
        </w:rPr>
        <w:t>μ</w:t>
      </w:r>
      <w:r w:rsidRPr="00AC78C0">
        <w:rPr>
          <w:rFonts w:eastAsia="TimesNewRomanPSMT"/>
          <w:lang w:val="en-US"/>
        </w:rPr>
        <w:t xml:space="preserve">m. </w:t>
      </w:r>
      <w:r w:rsidRPr="00AC78C0">
        <w:rPr>
          <w:rFonts w:eastAsia="TimesNewRomanPSMT"/>
          <w:b/>
          <w:bCs/>
          <w:lang w:val="en-US"/>
        </w:rPr>
        <w:t>f,</w:t>
      </w:r>
      <w:r w:rsidRPr="00AC78C0">
        <w:rPr>
          <w:rFonts w:eastAsia="TimesNewRomanPSMT"/>
          <w:lang w:val="en-US"/>
        </w:rPr>
        <w:t xml:space="preserve"> Co-localization of B cell marker B220 with </w:t>
      </w:r>
      <w:r w:rsidRPr="00AC78C0">
        <w:rPr>
          <w:lang w:val="en-US"/>
        </w:rPr>
        <w:t>tdTomato</w:t>
      </w:r>
      <w:r w:rsidRPr="00AC78C0">
        <w:rPr>
          <w:rFonts w:eastAsia="TimesNewRomanPSMT"/>
          <w:lang w:val="en-US"/>
        </w:rPr>
        <w:t xml:space="preserve"> in liver one week after IP injection of different engineered EVs. Scale bar, 50 </w:t>
      </w:r>
      <w:r w:rsidRPr="00AC78C0">
        <w:rPr>
          <w:rFonts w:eastAsia="TimesNewRomanPSMT"/>
          <w:lang w:val="nl-NL"/>
        </w:rPr>
        <w:t>μ</w:t>
      </w:r>
      <w:r w:rsidRPr="00AC78C0">
        <w:rPr>
          <w:rFonts w:eastAsia="TimesNewRomanPSMT"/>
          <w:lang w:val="en-US"/>
        </w:rPr>
        <w:t xml:space="preserve">m. </w:t>
      </w:r>
      <w:r w:rsidRPr="00AC78C0">
        <w:rPr>
          <w:rFonts w:eastAsia="TimesNewRomanPSMT"/>
          <w:b/>
          <w:bCs/>
          <w:lang w:val="en-US"/>
        </w:rPr>
        <w:t>g,</w:t>
      </w:r>
      <w:r w:rsidRPr="00AC78C0">
        <w:rPr>
          <w:rFonts w:eastAsia="TimesNewRomanPSMT"/>
          <w:lang w:val="en-US"/>
        </w:rPr>
        <w:t xml:space="preserve"> Co-expression of macrophage marker F4/80 with </w:t>
      </w:r>
      <w:r w:rsidRPr="00AC78C0">
        <w:rPr>
          <w:lang w:val="en-US"/>
        </w:rPr>
        <w:t>tdTomato</w:t>
      </w:r>
      <w:r w:rsidRPr="00AC78C0">
        <w:rPr>
          <w:rFonts w:eastAsia="TimesNewRomanPSMT"/>
          <w:lang w:val="en-US"/>
        </w:rPr>
        <w:t xml:space="preserve"> in liver evaluated by IHC co-staining one week after injecting engineered EVs. Scale bar, 50 </w:t>
      </w:r>
      <w:r w:rsidRPr="00AC78C0">
        <w:rPr>
          <w:rFonts w:eastAsia="TimesNewRomanPSMT"/>
          <w:lang w:val="nl-NL"/>
        </w:rPr>
        <w:t>μ</w:t>
      </w:r>
      <w:r w:rsidRPr="00AC78C0">
        <w:rPr>
          <w:rFonts w:eastAsia="TimesNewRomanPSMT"/>
          <w:lang w:val="en-US"/>
        </w:rPr>
        <w:t>m. n=3 mice per group, representative images for (</w:t>
      </w:r>
      <w:r w:rsidRPr="00AC78C0">
        <w:rPr>
          <w:rFonts w:eastAsia="TimesNewRomanPSMT"/>
          <w:b/>
          <w:bCs/>
          <w:lang w:val="en-US"/>
        </w:rPr>
        <w:t>b</w:t>
      </w:r>
      <w:r w:rsidRPr="00AC78C0">
        <w:rPr>
          <w:rFonts w:eastAsia="TimesNewRomanPSMT"/>
          <w:lang w:val="en-US"/>
        </w:rPr>
        <w:t>-</w:t>
      </w:r>
      <w:r w:rsidRPr="00AC78C0">
        <w:rPr>
          <w:rFonts w:eastAsia="TimesNewRomanPSMT"/>
          <w:b/>
          <w:bCs/>
          <w:lang w:val="en-US"/>
        </w:rPr>
        <w:t>g</w:t>
      </w:r>
      <w:r w:rsidRPr="00AC78C0">
        <w:rPr>
          <w:rFonts w:eastAsia="TimesNewRomanPSMT"/>
          <w:lang w:val="en-US"/>
        </w:rPr>
        <w:t>).</w:t>
      </w:r>
    </w:p>
    <w:p w14:paraId="60231047" w14:textId="77777777" w:rsidR="00FF02B2" w:rsidRPr="00AC78C0" w:rsidRDefault="00FF02B2" w:rsidP="00FF02B2">
      <w:pPr>
        <w:autoSpaceDE w:val="0"/>
        <w:autoSpaceDN w:val="0"/>
        <w:adjustRightInd w:val="0"/>
        <w:jc w:val="both"/>
        <w:rPr>
          <w:rFonts w:eastAsia="TimesNewRomanPSMT"/>
          <w:lang w:val="en-US"/>
        </w:rPr>
      </w:pPr>
    </w:p>
    <w:p w14:paraId="3C346A55" w14:textId="77777777" w:rsidR="00FF02B2" w:rsidRPr="00AC78C0" w:rsidRDefault="00FF02B2" w:rsidP="00FF02B2">
      <w:pPr>
        <w:jc w:val="both"/>
        <w:rPr>
          <w:rFonts w:eastAsia="TimesNewRomanPSMT"/>
          <w:lang w:val="en-US"/>
        </w:rPr>
      </w:pPr>
      <w:r w:rsidRPr="00AC78C0">
        <w:rPr>
          <w:noProof/>
          <w:lang w:val="en-US"/>
        </w:rPr>
        <w:drawing>
          <wp:inline distT="0" distB="0" distL="0" distR="0" wp14:anchorId="70AB12B2" wp14:editId="6DF93A76">
            <wp:extent cx="5731510" cy="4755515"/>
            <wp:effectExtent l="0" t="0" r="0" b="0"/>
            <wp:docPr id="50385787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85787" name="Picture 1" descr="A screenshot of a computer screen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5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78C0">
        <w:rPr>
          <w:rFonts w:eastAsia="TimesNewRomanPS-BoldMT"/>
          <w:b/>
          <w:bCs/>
          <w:lang w:val="en-US"/>
        </w:rPr>
        <w:t xml:space="preserve"> Supplementary</w:t>
      </w:r>
      <w:r>
        <w:rPr>
          <w:rFonts w:eastAsia="TimesNewRomanPS-BoldMT"/>
          <w:b/>
          <w:bCs/>
          <w:lang w:val="en-US"/>
        </w:rPr>
        <w:t xml:space="preserve"> </w:t>
      </w:r>
      <w:r w:rsidRPr="00AC78C0">
        <w:rPr>
          <w:rFonts w:eastAsia="TimesNewRomanPS-BoldMT"/>
          <w:b/>
          <w:bCs/>
          <w:lang w:val="en-US"/>
        </w:rPr>
        <w:t xml:space="preserve">Fig. </w:t>
      </w:r>
      <w:r>
        <w:rPr>
          <w:rFonts w:eastAsia="TimesNewRomanPS-BoldMT"/>
          <w:b/>
          <w:bCs/>
          <w:lang w:val="en-US"/>
        </w:rPr>
        <w:t>13</w:t>
      </w:r>
      <w:r w:rsidRPr="00AC78C0">
        <w:rPr>
          <w:rFonts w:eastAsia="TimesNewRomanPS-BoldMT"/>
          <w:b/>
          <w:bCs/>
          <w:lang w:val="en-US"/>
        </w:rPr>
        <w:t xml:space="preserve">. </w:t>
      </w:r>
      <w:r>
        <w:rPr>
          <w:b/>
          <w:bCs/>
          <w:lang w:val="en-US"/>
        </w:rPr>
        <w:t>The</w:t>
      </w:r>
      <w:r w:rsidRPr="00AC78C0">
        <w:rPr>
          <w:b/>
          <w:bCs/>
          <w:lang w:val="en-US"/>
        </w:rPr>
        <w:t xml:space="preserve"> </w:t>
      </w:r>
      <w:r w:rsidRPr="00AC78C0">
        <w:rPr>
          <w:rFonts w:eastAsia="TimesNewRomanPS-BoldMT"/>
          <w:b/>
          <w:bCs/>
          <w:lang w:val="en-US"/>
        </w:rPr>
        <w:t>design of super repressor (SR) inhibitor of NF-ĸB constructs and their expression and function in vitro</w:t>
      </w:r>
      <w:r>
        <w:rPr>
          <w:rFonts w:eastAsia="TimesNewRomanPS-BoldMT"/>
          <w:b/>
          <w:bCs/>
          <w:lang w:val="en-US"/>
        </w:rPr>
        <w:t xml:space="preserve">. </w:t>
      </w:r>
      <w:r w:rsidRPr="00AC78C0">
        <w:rPr>
          <w:rFonts w:eastAsia="TimesNewRomanPSMT"/>
          <w:b/>
          <w:bCs/>
          <w:lang w:val="en-US"/>
        </w:rPr>
        <w:t>a,</w:t>
      </w:r>
      <w:r w:rsidRPr="00AC78C0">
        <w:rPr>
          <w:rFonts w:eastAsia="TimesNewRomanPSMT"/>
          <w:lang w:val="en-US"/>
        </w:rPr>
        <w:t xml:space="preserve"> The mutations and properties of the super repressor inhibitor of NF-ĸB. </w:t>
      </w:r>
      <w:r w:rsidRPr="00AC78C0">
        <w:rPr>
          <w:rFonts w:eastAsia="TimesNewRomanPSMT"/>
          <w:b/>
          <w:bCs/>
          <w:lang w:val="en-US"/>
        </w:rPr>
        <w:t>b,</w:t>
      </w:r>
      <w:r w:rsidRPr="00AC78C0">
        <w:rPr>
          <w:rFonts w:eastAsia="TimesNewRomanPSMT"/>
          <w:lang w:val="en-US"/>
        </w:rPr>
        <w:t xml:space="preserve"> Activation of luciferase expression 6 h after TNF-</w:t>
      </w:r>
      <w:r w:rsidRPr="00AC78C0">
        <w:rPr>
          <w:rFonts w:eastAsia="TimesNewRomanPSMT"/>
          <w:lang w:val="nl-NL"/>
        </w:rPr>
        <w:t>α</w:t>
      </w:r>
      <w:r w:rsidRPr="00AC78C0">
        <w:rPr>
          <w:rFonts w:eastAsia="TimesNewRomanPSMT"/>
          <w:lang w:val="en-US"/>
        </w:rPr>
        <w:t xml:space="preserve"> stimulation (10 ng/ml) in HEK-Blue-NF-ĸB reporter cells. </w:t>
      </w:r>
      <w:r w:rsidRPr="00AC78C0">
        <w:rPr>
          <w:rFonts w:eastAsia="TimesNewRomanPSMT"/>
          <w:b/>
          <w:bCs/>
          <w:lang w:val="en-US"/>
        </w:rPr>
        <w:t>c,</w:t>
      </w:r>
      <w:r w:rsidRPr="00AC78C0">
        <w:rPr>
          <w:rFonts w:eastAsia="TimesNewRomanPSMT"/>
          <w:lang w:val="en-US"/>
        </w:rPr>
        <w:t xml:space="preserve"> Significant decrease of the luciferase signals from lysate of HEK-Blue-NF-ĸB reporter cells after transient transfection of SR-related constructs. 48 h after transfection cells were stimulated with TNF-</w:t>
      </w:r>
      <w:r w:rsidRPr="00AC78C0">
        <w:rPr>
          <w:rFonts w:eastAsia="TimesNewRomanPSMT"/>
          <w:lang w:val="nl-NL"/>
        </w:rPr>
        <w:t>α</w:t>
      </w:r>
      <w:r w:rsidRPr="00AC78C0">
        <w:rPr>
          <w:rFonts w:eastAsia="TimesNewRomanPSMT"/>
          <w:lang w:val="en-US"/>
        </w:rPr>
        <w:t xml:space="preserve"> for 6 h prior to luciferase detection. </w:t>
      </w:r>
      <w:r w:rsidRPr="00AC78C0">
        <w:rPr>
          <w:rFonts w:eastAsia="TimesNewRomanPSMT"/>
          <w:b/>
          <w:bCs/>
          <w:lang w:val="en-US"/>
        </w:rPr>
        <w:t>d,</w:t>
      </w:r>
      <w:r w:rsidRPr="00AC78C0">
        <w:rPr>
          <w:rFonts w:eastAsia="TimesNewRomanPSMT"/>
          <w:lang w:val="en-US"/>
        </w:rPr>
        <w:t xml:space="preserve"> Protein expression of SR-related constructs in both WCL and isolated EVs evaluated by WB analysis. Proteins from 5×10</w:t>
      </w:r>
      <w:r w:rsidRPr="00AC78C0">
        <w:rPr>
          <w:rFonts w:eastAsia="TimesNewRomanPSMT"/>
          <w:vertAlign w:val="superscript"/>
          <w:lang w:val="en-US"/>
        </w:rPr>
        <w:t>5</w:t>
      </w:r>
      <w:r w:rsidRPr="00AC78C0">
        <w:rPr>
          <w:rFonts w:eastAsia="TimesNewRomanPSMT"/>
          <w:sz w:val="16"/>
          <w:szCs w:val="16"/>
          <w:lang w:val="en-US"/>
        </w:rPr>
        <w:t xml:space="preserve"> </w:t>
      </w:r>
      <w:r w:rsidRPr="00AC78C0">
        <w:rPr>
          <w:rFonts w:eastAsia="TimesNewRomanPSMT"/>
          <w:lang w:val="en-US"/>
        </w:rPr>
        <w:t>EV-producing cells and 1×10</w:t>
      </w:r>
      <w:r w:rsidRPr="00AC78C0">
        <w:rPr>
          <w:rFonts w:eastAsia="TimesNewRomanPSMT"/>
          <w:vertAlign w:val="superscript"/>
          <w:lang w:val="en-US"/>
        </w:rPr>
        <w:t>10</w:t>
      </w:r>
      <w:r w:rsidRPr="00AC78C0">
        <w:rPr>
          <w:rFonts w:eastAsia="TimesNewRomanPSMT"/>
          <w:sz w:val="16"/>
          <w:szCs w:val="16"/>
          <w:lang w:val="en-US"/>
        </w:rPr>
        <w:t xml:space="preserve"> </w:t>
      </w:r>
      <w:r w:rsidRPr="00AC78C0">
        <w:rPr>
          <w:rFonts w:eastAsia="TimesNewRomanPSMT"/>
          <w:lang w:val="en-US"/>
        </w:rPr>
        <w:t xml:space="preserve">engineered vesicles were used for the assay. TSG101, syntenin-1 and </w:t>
      </w:r>
      <w:r w:rsidRPr="00AC78C0">
        <w:rPr>
          <w:rFonts w:eastAsia="TimesNewRomanPSMT"/>
          <w:lang w:val="nl-NL"/>
        </w:rPr>
        <w:t>β</w:t>
      </w:r>
      <w:r w:rsidRPr="00AC78C0">
        <w:rPr>
          <w:rFonts w:eastAsia="TimesNewRomanPSMT"/>
          <w:lang w:val="en-US"/>
        </w:rPr>
        <w:t>-actin were used as EV markers while Calnexin was used as cellular organelle marker (endoplasmic reticulum).</w:t>
      </w:r>
      <w:r w:rsidRPr="00AC78C0" w:rsidDel="00A44F05">
        <w:rPr>
          <w:rFonts w:eastAsia="TimesNewRomanPSMT"/>
          <w:lang w:val="en-US"/>
        </w:rPr>
        <w:t xml:space="preserve"> </w:t>
      </w:r>
      <w:r w:rsidRPr="00AC78C0">
        <w:rPr>
          <w:rFonts w:eastAsia="TimesNewRomanPSMT"/>
          <w:lang w:val="en-US"/>
        </w:rPr>
        <w:t xml:space="preserve">Two-tailed T-test was used for the analysis of </w:t>
      </w:r>
      <w:r>
        <w:rPr>
          <w:rFonts w:eastAsia="TimesNewRomanPSMT"/>
          <w:lang w:val="en-US"/>
        </w:rPr>
        <w:t>(</w:t>
      </w:r>
      <w:r w:rsidRPr="00AC78C0">
        <w:rPr>
          <w:rFonts w:eastAsia="TimesNewRomanPSMT"/>
          <w:b/>
          <w:bCs/>
          <w:lang w:val="en-US"/>
        </w:rPr>
        <w:t>b</w:t>
      </w:r>
      <w:r>
        <w:rPr>
          <w:rFonts w:eastAsia="TimesNewRomanPSMT"/>
          <w:b/>
          <w:bCs/>
          <w:lang w:val="en-US"/>
        </w:rPr>
        <w:t>)</w:t>
      </w:r>
      <w:r w:rsidRPr="00AC78C0">
        <w:rPr>
          <w:rFonts w:eastAsia="TimesNewRomanPSMT"/>
          <w:lang w:val="en-US"/>
        </w:rPr>
        <w:t xml:space="preserve">; One-way ANOVA </w:t>
      </w:r>
      <w:r w:rsidRPr="00AC78C0">
        <w:t>multiple comparisons</w:t>
      </w:r>
      <w:r w:rsidRPr="00AC78C0">
        <w:rPr>
          <w:rFonts w:eastAsia="TimesNewRomanPSMT"/>
          <w:lang w:val="en-US"/>
        </w:rPr>
        <w:t xml:space="preserve"> test was used for analysis of </w:t>
      </w:r>
      <w:r>
        <w:rPr>
          <w:rFonts w:eastAsia="TimesNewRomanPSMT"/>
          <w:lang w:val="en-US"/>
        </w:rPr>
        <w:t>(</w:t>
      </w:r>
      <w:r w:rsidRPr="00AC78C0">
        <w:rPr>
          <w:rFonts w:eastAsia="TimesNewRomanPSMT"/>
          <w:b/>
          <w:bCs/>
          <w:lang w:val="en-US"/>
        </w:rPr>
        <w:t>c</w:t>
      </w:r>
      <w:r>
        <w:rPr>
          <w:rFonts w:eastAsia="TimesNewRomanPSMT"/>
          <w:lang w:val="en-US"/>
        </w:rPr>
        <w:t>)</w:t>
      </w:r>
      <w:r w:rsidRPr="00AC78C0">
        <w:rPr>
          <w:rFonts w:eastAsia="TimesNewRomanPSMT"/>
          <w:lang w:val="en-US"/>
        </w:rPr>
        <w:t>. Data are shown as means+SD, *** p &lt; 0.001.</w:t>
      </w:r>
    </w:p>
    <w:p w14:paraId="41DFFFFE" w14:textId="77777777" w:rsidR="00FF02B2" w:rsidRPr="00786E42" w:rsidRDefault="00FF02B2" w:rsidP="00FF02B2">
      <w:pPr>
        <w:jc w:val="both"/>
        <w:rPr>
          <w:lang w:val="en-US"/>
        </w:rPr>
      </w:pPr>
    </w:p>
    <w:p w14:paraId="496C8731" w14:textId="77777777" w:rsidR="00FF02B2" w:rsidRPr="009777EB" w:rsidRDefault="00FF02B2" w:rsidP="00FF02B2">
      <w:pPr>
        <w:autoSpaceDE w:val="0"/>
        <w:autoSpaceDN w:val="0"/>
        <w:adjustRightInd w:val="0"/>
        <w:jc w:val="both"/>
        <w:rPr>
          <w:lang w:val="en-US"/>
        </w:rPr>
      </w:pPr>
    </w:p>
    <w:p w14:paraId="638B4D6C" w14:textId="77777777" w:rsidR="00FF02B2" w:rsidRDefault="00FF02B2" w:rsidP="00FF02B2">
      <w:pPr>
        <w:autoSpaceDE w:val="0"/>
        <w:autoSpaceDN w:val="0"/>
        <w:adjustRightInd w:val="0"/>
        <w:jc w:val="both"/>
      </w:pPr>
      <w:r>
        <w:lastRenderedPageBreak/>
        <w:t>Supplementary Table 1: key reagents and resources</w:t>
      </w:r>
    </w:p>
    <w:p w14:paraId="72261447" w14:textId="77777777" w:rsidR="00FF02B2" w:rsidRDefault="00FF02B2" w:rsidP="00FF02B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 w:themeColor="text1"/>
          <w:sz w:val="21"/>
          <w:szCs w:val="22"/>
          <w:lang w:val="en-US"/>
        </w:rPr>
      </w:pPr>
    </w:p>
    <w:p w14:paraId="39E4E526" w14:textId="77777777" w:rsidR="00FF02B2" w:rsidRDefault="00FF02B2" w:rsidP="00FF02B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 w:themeColor="text1"/>
          <w:sz w:val="21"/>
          <w:szCs w:val="22"/>
          <w:lang w:val="en-US"/>
        </w:rPr>
      </w:pPr>
    </w:p>
    <w:tbl>
      <w:tblPr>
        <w:tblStyle w:val="ListTable6Colorful"/>
        <w:tblW w:w="8222" w:type="dxa"/>
        <w:tblLayout w:type="fixed"/>
        <w:tblLook w:val="04A0" w:firstRow="1" w:lastRow="0" w:firstColumn="1" w:lastColumn="0" w:noHBand="0" w:noVBand="1"/>
      </w:tblPr>
      <w:tblGrid>
        <w:gridCol w:w="2694"/>
        <w:gridCol w:w="1842"/>
        <w:gridCol w:w="2552"/>
        <w:gridCol w:w="1134"/>
      </w:tblGrid>
      <w:tr w:rsidR="00FF02B2" w:rsidRPr="00140909" w14:paraId="466DC8E0" w14:textId="77777777" w:rsidTr="009E27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1D37B84D" w14:textId="77777777" w:rsidR="00FF02B2" w:rsidRPr="00140909" w:rsidRDefault="00FF02B2" w:rsidP="009E277A">
            <w:pPr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/>
                <w:color w:val="C45911" w:themeColor="accent2" w:themeShade="BF"/>
              </w:rPr>
              <w:t>Reagent</w:t>
            </w:r>
            <w:r>
              <w:rPr>
                <w:rFonts w:ascii="Arial" w:hAnsi="Arial" w:cs="Arial"/>
                <w:color w:val="C45911" w:themeColor="accent2" w:themeShade="BF"/>
              </w:rPr>
              <w:t xml:space="preserve"> or resource</w:t>
            </w:r>
          </w:p>
        </w:tc>
        <w:tc>
          <w:tcPr>
            <w:tcW w:w="1842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7DA61F1C" w14:textId="77777777" w:rsidR="00FF02B2" w:rsidRPr="00140909" w:rsidRDefault="00FF02B2" w:rsidP="009E27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 w:hint="eastAsia"/>
                <w:color w:val="C45911" w:themeColor="accent2" w:themeShade="BF"/>
              </w:rPr>
              <w:t>S</w:t>
            </w:r>
            <w:r w:rsidRPr="00140909">
              <w:rPr>
                <w:rFonts w:ascii="Arial" w:hAnsi="Arial" w:cs="Arial"/>
                <w:color w:val="C45911" w:themeColor="accent2" w:themeShade="BF"/>
              </w:rPr>
              <w:t>ource</w:t>
            </w:r>
          </w:p>
        </w:tc>
        <w:tc>
          <w:tcPr>
            <w:tcW w:w="2552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69047DC4" w14:textId="77777777" w:rsidR="00FF02B2" w:rsidRPr="00140909" w:rsidRDefault="00FF02B2" w:rsidP="009E27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 w:hint="eastAsia"/>
                <w:color w:val="C45911" w:themeColor="accent2" w:themeShade="BF"/>
              </w:rPr>
              <w:t>I</w:t>
            </w:r>
            <w:r w:rsidRPr="00140909">
              <w:rPr>
                <w:rFonts w:ascii="Arial" w:hAnsi="Arial" w:cs="Arial"/>
                <w:color w:val="C45911" w:themeColor="accent2" w:themeShade="BF"/>
              </w:rPr>
              <w:t>dentifier</w:t>
            </w:r>
          </w:p>
        </w:tc>
        <w:tc>
          <w:tcPr>
            <w:tcW w:w="1134" w:type="dxa"/>
            <w:tcBorders>
              <w:top w:val="single" w:sz="12" w:space="0" w:color="C45911" w:themeColor="accent2" w:themeShade="BF"/>
            </w:tcBorders>
          </w:tcPr>
          <w:p w14:paraId="6C59A723" w14:textId="77777777" w:rsidR="00FF02B2" w:rsidRPr="00140909" w:rsidRDefault="00FF02B2" w:rsidP="009E277A">
            <w:pPr>
              <w:ind w:left="105" w:hangingChars="50" w:hanging="10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45911" w:themeColor="accent2" w:themeShade="BF"/>
              </w:rPr>
            </w:pPr>
            <w:r>
              <w:rPr>
                <w:rFonts w:ascii="Arial" w:hAnsi="Arial" w:cs="Arial"/>
                <w:color w:val="C45911" w:themeColor="accent2" w:themeShade="BF"/>
              </w:rPr>
              <w:t>D</w:t>
            </w:r>
            <w:r w:rsidRPr="00140909">
              <w:rPr>
                <w:rFonts w:ascii="Arial" w:hAnsi="Arial" w:cs="Arial"/>
                <w:color w:val="C45911" w:themeColor="accent2" w:themeShade="BF"/>
              </w:rPr>
              <w:t>ilution</w:t>
            </w:r>
          </w:p>
        </w:tc>
      </w:tr>
      <w:tr w:rsidR="00FF02B2" w:rsidRPr="00140909" w14:paraId="6DE20B58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gridSpan w:val="4"/>
            <w:tcBorders>
              <w:top w:val="single" w:sz="8" w:space="0" w:color="C45911" w:themeColor="accent2" w:themeShade="BF"/>
              <w:bottom w:val="single" w:sz="8" w:space="0" w:color="C45911" w:themeColor="accent2" w:themeShade="BF"/>
            </w:tcBorders>
            <w:shd w:val="clear" w:color="auto" w:fill="auto"/>
          </w:tcPr>
          <w:p w14:paraId="7CC00739" w14:textId="77777777" w:rsidR="00FF02B2" w:rsidRPr="00140909" w:rsidRDefault="00FF02B2" w:rsidP="009E277A">
            <w:pPr>
              <w:rPr>
                <w:rFonts w:ascii="Arial" w:hAnsi="Arial" w:cs="Arial"/>
                <w:b w:val="0"/>
                <w:bCs w:val="0"/>
                <w:color w:val="C45911" w:themeColor="accent2" w:themeShade="BF"/>
              </w:rPr>
            </w:pPr>
            <w:r w:rsidRPr="00140909">
              <w:rPr>
                <w:rFonts w:ascii="Arial" w:hAnsi="Arial" w:cs="Arial"/>
                <w:b w:val="0"/>
                <w:bCs w:val="0"/>
                <w:color w:val="C45911" w:themeColor="accent2" w:themeShade="BF"/>
              </w:rPr>
              <w:t>Primary antibodies</w:t>
            </w:r>
            <w:r>
              <w:rPr>
                <w:rFonts w:ascii="Arial" w:hAnsi="Arial" w:cs="Arial"/>
                <w:b w:val="0"/>
                <w:bCs w:val="0"/>
                <w:color w:val="C45911" w:themeColor="accent2" w:themeShade="BF"/>
              </w:rPr>
              <w:t xml:space="preserve"> for IHC</w:t>
            </w:r>
          </w:p>
        </w:tc>
      </w:tr>
      <w:tr w:rsidR="00FF02B2" w14:paraId="5D5A7ED8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13DA0FB4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8B2B68">
              <w:rPr>
                <w:rFonts w:ascii="Arial" w:hAnsi="Arial" w:cs="Arial"/>
                <w:b w:val="0"/>
                <w:bCs w:val="0"/>
              </w:rPr>
              <w:t>Rabbit anti-IBA1</w:t>
            </w:r>
          </w:p>
        </w:tc>
        <w:tc>
          <w:tcPr>
            <w:tcW w:w="1842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2F99330D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 w:hint="eastAsia"/>
              </w:rPr>
              <w:t>W</w:t>
            </w:r>
            <w:r w:rsidRPr="008B2B68">
              <w:rPr>
                <w:rFonts w:ascii="Arial" w:hAnsi="Arial" w:cs="Arial"/>
              </w:rPr>
              <w:t>ako</w:t>
            </w:r>
          </w:p>
        </w:tc>
        <w:tc>
          <w:tcPr>
            <w:tcW w:w="2552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23483837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 019-1941</w:t>
            </w:r>
          </w:p>
        </w:tc>
        <w:tc>
          <w:tcPr>
            <w:tcW w:w="1134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24A15C31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1:500</w:t>
            </w:r>
          </w:p>
        </w:tc>
      </w:tr>
      <w:tr w:rsidR="00FF02B2" w14:paraId="3FDBBF11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73C10366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8B2B68">
              <w:rPr>
                <w:rFonts w:ascii="Arial" w:hAnsi="Arial" w:cs="Arial"/>
                <w:b w:val="0"/>
                <w:bCs w:val="0"/>
              </w:rPr>
              <w:t>Rabbit anti-GFAP</w:t>
            </w:r>
          </w:p>
        </w:tc>
        <w:tc>
          <w:tcPr>
            <w:tcW w:w="1842" w:type="dxa"/>
            <w:shd w:val="clear" w:color="auto" w:fill="auto"/>
          </w:tcPr>
          <w:p w14:paraId="4EAC6594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 w:hint="eastAsia"/>
              </w:rPr>
              <w:t>A</w:t>
            </w:r>
            <w:r w:rsidRPr="008B2B68">
              <w:rPr>
                <w:rFonts w:ascii="Arial" w:hAnsi="Arial" w:cs="Arial"/>
              </w:rPr>
              <w:t>bcam</w:t>
            </w:r>
          </w:p>
        </w:tc>
        <w:tc>
          <w:tcPr>
            <w:tcW w:w="2552" w:type="dxa"/>
            <w:shd w:val="clear" w:color="auto" w:fill="auto"/>
          </w:tcPr>
          <w:p w14:paraId="46C1AC9E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 w:rsidRPr="008B2B68">
              <w:rPr>
                <w:rFonts w:ascii="Arial" w:hAnsi="Arial" w:cs="Arial"/>
                <w:szCs w:val="21"/>
              </w:rPr>
              <w:t xml:space="preserve"> ab53554</w:t>
            </w:r>
          </w:p>
        </w:tc>
        <w:tc>
          <w:tcPr>
            <w:tcW w:w="1134" w:type="dxa"/>
            <w:shd w:val="clear" w:color="auto" w:fill="auto"/>
          </w:tcPr>
          <w:p w14:paraId="0F07F8AD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1:500</w:t>
            </w:r>
          </w:p>
        </w:tc>
      </w:tr>
      <w:tr w:rsidR="00FF02B2" w14:paraId="14C67D51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6C3DCE2F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8B2B68">
              <w:rPr>
                <w:rFonts w:ascii="Arial" w:hAnsi="Arial" w:cs="Arial"/>
                <w:b w:val="0"/>
                <w:bCs w:val="0"/>
              </w:rPr>
              <w:t>Rabbit anti-RFP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1A1BC734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8B2B68">
              <w:rPr>
                <w:rFonts w:ascii="Arial" w:hAnsi="Arial" w:cs="Arial"/>
                <w:szCs w:val="21"/>
              </w:rPr>
              <w:t>Thermo Fisher Scientific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36B5DF8C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 xml:space="preserve">Cat#: </w:t>
            </w:r>
            <w:r w:rsidRPr="008B2B68">
              <w:rPr>
                <w:rFonts w:ascii="Arial" w:hAnsi="Arial" w:cs="Arial"/>
                <w:szCs w:val="21"/>
              </w:rPr>
              <w:t>600-401-379-RTU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A4DC689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1:400</w:t>
            </w:r>
          </w:p>
        </w:tc>
      </w:tr>
      <w:tr w:rsidR="00FF02B2" w14:paraId="7DBE7CB9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1DC25688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8B2B68">
              <w:rPr>
                <w:rFonts w:ascii="Arial" w:hAnsi="Arial" w:cs="Arial"/>
                <w:b w:val="0"/>
                <w:bCs w:val="0"/>
              </w:rPr>
              <w:t>Biotin anti-RFP</w:t>
            </w:r>
          </w:p>
        </w:tc>
        <w:tc>
          <w:tcPr>
            <w:tcW w:w="1842" w:type="dxa"/>
            <w:shd w:val="clear" w:color="auto" w:fill="auto"/>
          </w:tcPr>
          <w:p w14:paraId="437E6B89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8B2B68">
              <w:rPr>
                <w:rFonts w:ascii="Arial" w:hAnsi="Arial" w:cs="Arial"/>
                <w:szCs w:val="21"/>
              </w:rPr>
              <w:t>Abcam</w:t>
            </w:r>
          </w:p>
        </w:tc>
        <w:tc>
          <w:tcPr>
            <w:tcW w:w="2552" w:type="dxa"/>
            <w:shd w:val="clear" w:color="auto" w:fill="auto"/>
          </w:tcPr>
          <w:p w14:paraId="63F02F39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 ab34771</w:t>
            </w:r>
          </w:p>
        </w:tc>
        <w:tc>
          <w:tcPr>
            <w:tcW w:w="1134" w:type="dxa"/>
            <w:shd w:val="clear" w:color="auto" w:fill="auto"/>
          </w:tcPr>
          <w:p w14:paraId="1050905A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1:400</w:t>
            </w:r>
          </w:p>
        </w:tc>
      </w:tr>
      <w:tr w:rsidR="00FF02B2" w14:paraId="7460E80A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0FC3AF9C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8B2B68">
              <w:rPr>
                <w:rFonts w:ascii="Arial" w:hAnsi="Arial" w:cs="Arial"/>
                <w:b w:val="0"/>
                <w:bCs w:val="0"/>
              </w:rPr>
              <w:t>Rabbit anti-</w:t>
            </w:r>
            <w:r>
              <w:rPr>
                <w:rFonts w:ascii="Arial" w:hAnsi="Arial" w:cs="Arial"/>
                <w:b w:val="0"/>
                <w:bCs w:val="0"/>
              </w:rPr>
              <w:t>CD45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6134A473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8B2B68">
              <w:rPr>
                <w:rFonts w:ascii="Arial" w:hAnsi="Arial" w:cs="Arial" w:hint="eastAsia"/>
              </w:rPr>
              <w:t>A</w:t>
            </w:r>
            <w:r w:rsidRPr="008B2B68">
              <w:rPr>
                <w:rFonts w:ascii="Arial" w:hAnsi="Arial" w:cs="Arial"/>
              </w:rPr>
              <w:t>bcam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3B95B322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 xml:space="preserve">Cat#: </w:t>
            </w:r>
            <w:r w:rsidRPr="007B3FED">
              <w:rPr>
                <w:rFonts w:ascii="Arial" w:hAnsi="Arial" w:cs="Arial"/>
                <w:szCs w:val="21"/>
              </w:rPr>
              <w:t>ab10558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905F3A5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</w:t>
            </w:r>
            <w:r>
              <w:rPr>
                <w:rFonts w:ascii="Arial" w:hAnsi="Arial" w:cs="Arial"/>
              </w:rPr>
              <w:t>2</w:t>
            </w:r>
            <w:r w:rsidRPr="008B2B68">
              <w:rPr>
                <w:rFonts w:ascii="Arial" w:hAnsi="Arial" w:cs="Arial"/>
              </w:rPr>
              <w:t>00</w:t>
            </w:r>
          </w:p>
        </w:tc>
      </w:tr>
      <w:tr w:rsidR="00FF02B2" w14:paraId="49A1F2CE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44B2C570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8B2B68">
              <w:rPr>
                <w:rFonts w:ascii="Arial" w:hAnsi="Arial" w:cs="Arial"/>
                <w:b w:val="0"/>
                <w:bCs w:val="0"/>
              </w:rPr>
              <w:t>Rat anti-</w:t>
            </w:r>
            <w:r>
              <w:rPr>
                <w:rFonts w:ascii="Arial" w:hAnsi="Arial" w:cs="Arial"/>
                <w:b w:val="0"/>
                <w:bCs w:val="0"/>
              </w:rPr>
              <w:t>F4/80</w:t>
            </w:r>
          </w:p>
        </w:tc>
        <w:tc>
          <w:tcPr>
            <w:tcW w:w="1842" w:type="dxa"/>
            <w:shd w:val="clear" w:color="auto" w:fill="auto"/>
          </w:tcPr>
          <w:p w14:paraId="194D32A1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8B2B68">
              <w:rPr>
                <w:rFonts w:ascii="Arial" w:hAnsi="Arial" w:cs="Arial" w:hint="eastAsia"/>
              </w:rPr>
              <w:t>B</w:t>
            </w:r>
            <w:r w:rsidRPr="008B2B68">
              <w:rPr>
                <w:rFonts w:ascii="Arial" w:hAnsi="Arial" w:cs="Arial"/>
              </w:rPr>
              <w:t>io-Rad</w:t>
            </w:r>
          </w:p>
        </w:tc>
        <w:tc>
          <w:tcPr>
            <w:tcW w:w="2552" w:type="dxa"/>
            <w:shd w:val="clear" w:color="auto" w:fill="auto"/>
          </w:tcPr>
          <w:p w14:paraId="419C1544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 w:rsidRPr="008B2B68">
              <w:t xml:space="preserve"> </w:t>
            </w:r>
            <w:r w:rsidRPr="007B3FED">
              <w:rPr>
                <w:rFonts w:ascii="Arial" w:hAnsi="Arial" w:cs="Arial"/>
              </w:rPr>
              <w:t>MCA497G</w:t>
            </w:r>
          </w:p>
        </w:tc>
        <w:tc>
          <w:tcPr>
            <w:tcW w:w="1134" w:type="dxa"/>
            <w:shd w:val="clear" w:color="auto" w:fill="auto"/>
          </w:tcPr>
          <w:p w14:paraId="1BE8B62F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</w:t>
            </w:r>
            <w:r>
              <w:rPr>
                <w:rFonts w:ascii="Arial" w:hAnsi="Arial" w:cs="Arial"/>
              </w:rPr>
              <w:t>1</w:t>
            </w:r>
            <w:r w:rsidRPr="008B2B68">
              <w:rPr>
                <w:rFonts w:ascii="Arial" w:hAnsi="Arial" w:cs="Arial"/>
              </w:rPr>
              <w:t>00</w:t>
            </w:r>
          </w:p>
        </w:tc>
      </w:tr>
      <w:tr w:rsidR="00FF02B2" w14:paraId="19A64EC1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64EC987C" w14:textId="77777777" w:rsidR="00FF02B2" w:rsidRPr="00772789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8B2B68">
              <w:rPr>
                <w:rFonts w:ascii="Arial" w:hAnsi="Arial" w:cs="Arial"/>
                <w:b w:val="0"/>
                <w:bCs w:val="0"/>
              </w:rPr>
              <w:t>Rat anti-</w:t>
            </w:r>
            <w:r>
              <w:rPr>
                <w:rFonts w:ascii="Arial" w:hAnsi="Arial" w:cs="Arial"/>
                <w:b w:val="0"/>
                <w:bCs w:val="0"/>
              </w:rPr>
              <w:t>B220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63A2AA1B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72789">
              <w:rPr>
                <w:rFonts w:ascii="Arial" w:hAnsi="Arial" w:cs="Arial"/>
              </w:rPr>
              <w:t>Thermo Fisher Scientific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7264BE93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 w:rsidRPr="00772789">
              <w:rPr>
                <w:rFonts w:ascii="Arial" w:hAnsi="Arial" w:cs="Arial"/>
              </w:rPr>
              <w:t xml:space="preserve"> 14-0452-82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1DEFF568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</w:t>
            </w:r>
            <w:r>
              <w:rPr>
                <w:rFonts w:ascii="Arial" w:hAnsi="Arial" w:cs="Arial"/>
              </w:rPr>
              <w:t>1</w:t>
            </w:r>
            <w:r w:rsidRPr="008B2B68">
              <w:rPr>
                <w:rFonts w:ascii="Arial" w:hAnsi="Arial" w:cs="Arial"/>
              </w:rPr>
              <w:t>00</w:t>
            </w:r>
          </w:p>
        </w:tc>
      </w:tr>
      <w:tr w:rsidR="00FF02B2" w14:paraId="6DAADA7D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1C280FE4" w14:textId="77777777" w:rsidR="00FF02B2" w:rsidRPr="008B2B68" w:rsidRDefault="00FF02B2" w:rsidP="009E277A">
            <w:pPr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  <w:b w:val="0"/>
                <w:bCs w:val="0"/>
              </w:rPr>
              <w:t>Rat anti-</w:t>
            </w:r>
            <w:r>
              <w:rPr>
                <w:rFonts w:ascii="Arial" w:hAnsi="Arial" w:cs="Arial"/>
                <w:b w:val="0"/>
                <w:bCs w:val="0"/>
              </w:rPr>
              <w:t>NeuN</w:t>
            </w:r>
          </w:p>
        </w:tc>
        <w:tc>
          <w:tcPr>
            <w:tcW w:w="1842" w:type="dxa"/>
            <w:shd w:val="clear" w:color="auto" w:fill="auto"/>
          </w:tcPr>
          <w:p w14:paraId="47F66622" w14:textId="77777777" w:rsidR="00FF02B2" w:rsidRPr="00772789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Millipore</w:t>
            </w:r>
          </w:p>
        </w:tc>
        <w:tc>
          <w:tcPr>
            <w:tcW w:w="2552" w:type="dxa"/>
            <w:shd w:val="clear" w:color="auto" w:fill="auto"/>
          </w:tcPr>
          <w:p w14:paraId="52B90B0E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 w:rsidRPr="008B2B68">
              <w:t xml:space="preserve"> </w:t>
            </w:r>
            <w:r>
              <w:rPr>
                <w:rFonts w:ascii="Arial" w:hAnsi="Arial" w:cs="Arial"/>
              </w:rPr>
              <w:t>MAB377</w:t>
            </w:r>
          </w:p>
        </w:tc>
        <w:tc>
          <w:tcPr>
            <w:tcW w:w="1134" w:type="dxa"/>
            <w:shd w:val="clear" w:color="auto" w:fill="auto"/>
          </w:tcPr>
          <w:p w14:paraId="1FE9F6B9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</w:t>
            </w:r>
            <w:r>
              <w:rPr>
                <w:rFonts w:ascii="Arial" w:hAnsi="Arial" w:cs="Arial"/>
              </w:rPr>
              <w:t>1</w:t>
            </w:r>
            <w:r w:rsidRPr="008B2B68">
              <w:rPr>
                <w:rFonts w:ascii="Arial" w:hAnsi="Arial" w:cs="Arial"/>
              </w:rPr>
              <w:t>00</w:t>
            </w:r>
          </w:p>
        </w:tc>
      </w:tr>
      <w:tr w:rsidR="00FF02B2" w14:paraId="32D9927B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4E8CF1F5" w14:textId="77777777" w:rsidR="00FF02B2" w:rsidRPr="008B2B68" w:rsidRDefault="00FF02B2" w:rsidP="009E277A">
            <w:pPr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  <w:b w:val="0"/>
                <w:bCs w:val="0"/>
              </w:rPr>
              <w:t>Rat anti-</w:t>
            </w:r>
            <w:r>
              <w:rPr>
                <w:rFonts w:ascii="Arial" w:hAnsi="Arial" w:cs="Arial"/>
                <w:b w:val="0"/>
                <w:bCs w:val="0"/>
              </w:rPr>
              <w:t>CD3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102B2A49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Dako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6301E3AC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 w:rsidRPr="008B2B68">
              <w:t xml:space="preserve"> </w:t>
            </w:r>
            <w:r>
              <w:rPr>
                <w:rFonts w:ascii="Arial" w:hAnsi="Arial" w:cs="Arial"/>
              </w:rPr>
              <w:t>A0452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5A881D51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</w:t>
            </w:r>
            <w:r>
              <w:rPr>
                <w:rFonts w:ascii="Arial" w:hAnsi="Arial" w:cs="Arial"/>
              </w:rPr>
              <w:t>1</w:t>
            </w:r>
            <w:r w:rsidRPr="008B2B68">
              <w:rPr>
                <w:rFonts w:ascii="Arial" w:hAnsi="Arial" w:cs="Arial"/>
              </w:rPr>
              <w:t>00</w:t>
            </w:r>
          </w:p>
        </w:tc>
      </w:tr>
      <w:tr w:rsidR="00FF02B2" w14:paraId="4EABCBB5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nil"/>
            </w:tcBorders>
            <w:shd w:val="clear" w:color="auto" w:fill="auto"/>
          </w:tcPr>
          <w:p w14:paraId="5FD53B4B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7B3FED">
              <w:rPr>
                <w:rFonts w:ascii="Arial" w:hAnsi="Arial" w:cs="Arial"/>
                <w:b w:val="0"/>
                <w:bCs w:val="0"/>
              </w:rPr>
              <w:t xml:space="preserve">Rat </w:t>
            </w:r>
            <w:r>
              <w:rPr>
                <w:rFonts w:ascii="Arial" w:hAnsi="Arial" w:cs="Arial"/>
                <w:b w:val="0"/>
                <w:bCs w:val="0"/>
              </w:rPr>
              <w:t>a</w:t>
            </w:r>
            <w:r w:rsidRPr="007B3FED">
              <w:rPr>
                <w:rFonts w:ascii="Arial" w:hAnsi="Arial" w:cs="Arial"/>
                <w:b w:val="0"/>
                <w:bCs w:val="0"/>
              </w:rPr>
              <w:t>nti-Mouse CD8a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</w:tcPr>
          <w:p w14:paraId="12509872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3FED">
              <w:rPr>
                <w:rFonts w:ascii="Arial" w:hAnsi="Arial" w:cs="Arial"/>
                <w:szCs w:val="21"/>
              </w:rPr>
              <w:t>BD Pharmingen</w:t>
            </w:r>
          </w:p>
        </w:tc>
        <w:tc>
          <w:tcPr>
            <w:tcW w:w="2552" w:type="dxa"/>
            <w:tcBorders>
              <w:bottom w:val="nil"/>
            </w:tcBorders>
            <w:shd w:val="clear" w:color="auto" w:fill="auto"/>
          </w:tcPr>
          <w:p w14:paraId="38F50BFB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>
              <w:rPr>
                <w:rFonts w:ascii="Arial" w:hAnsi="Arial" w:cs="Arial"/>
              </w:rPr>
              <w:t xml:space="preserve"> </w:t>
            </w:r>
            <w:r w:rsidRPr="007B3FED">
              <w:rPr>
                <w:rFonts w:ascii="Arial" w:hAnsi="Arial" w:cs="Arial"/>
              </w:rPr>
              <w:t>553027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2BD9695C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1:500</w:t>
            </w:r>
          </w:p>
        </w:tc>
      </w:tr>
      <w:tr w:rsidR="00FF02B2" w14:paraId="7C655477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FB2BE10" w14:textId="77777777" w:rsidR="00FF02B2" w:rsidRPr="007B3FED" w:rsidRDefault="00FF02B2" w:rsidP="009E277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 w:val="0"/>
                <w:bCs w:val="0"/>
              </w:rPr>
              <w:t>Rabbit</w:t>
            </w:r>
            <w:r w:rsidRPr="008B2B68">
              <w:rPr>
                <w:rFonts w:ascii="Arial" w:hAnsi="Arial" w:cs="Arial"/>
                <w:b w:val="0"/>
                <w:bCs w:val="0"/>
              </w:rPr>
              <w:t xml:space="preserve"> anti-</w:t>
            </w:r>
            <w:r>
              <w:rPr>
                <w:rFonts w:ascii="Arial" w:hAnsi="Arial" w:cs="Arial"/>
                <w:b w:val="0"/>
                <w:bCs w:val="0"/>
              </w:rPr>
              <w:t>G</w:t>
            </w:r>
            <w:r w:rsidRPr="008B2B68">
              <w:rPr>
                <w:rFonts w:ascii="Arial" w:hAnsi="Arial" w:cs="Arial"/>
                <w:b w:val="0"/>
                <w:bCs w:val="0"/>
              </w:rPr>
              <w:t>FP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7324772" w14:textId="77777777" w:rsidR="00FF02B2" w:rsidRPr="007B3FED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8B2B68">
              <w:rPr>
                <w:rFonts w:ascii="Arial" w:hAnsi="Arial" w:cs="Arial"/>
                <w:szCs w:val="21"/>
              </w:rPr>
              <w:t>Abcam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EEBE63C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 ab</w:t>
            </w:r>
            <w:r>
              <w:rPr>
                <w:rFonts w:ascii="Arial" w:hAnsi="Arial" w:cs="Arial"/>
              </w:rPr>
              <w:t>290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AEC7586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</w:t>
            </w:r>
            <w:r>
              <w:rPr>
                <w:rFonts w:ascii="Arial" w:hAnsi="Arial" w:cs="Arial"/>
              </w:rPr>
              <w:t>2</w:t>
            </w:r>
            <w:r w:rsidRPr="008B2B68">
              <w:rPr>
                <w:rFonts w:ascii="Arial" w:hAnsi="Arial" w:cs="Arial"/>
              </w:rPr>
              <w:t>00</w:t>
            </w:r>
          </w:p>
        </w:tc>
      </w:tr>
      <w:tr w:rsidR="00FF02B2" w:rsidRPr="00140909" w14:paraId="30BDFAD9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gridSpan w:val="4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  <w:shd w:val="clear" w:color="auto" w:fill="auto"/>
          </w:tcPr>
          <w:p w14:paraId="566661AD" w14:textId="77777777" w:rsidR="00FF02B2" w:rsidRPr="00140909" w:rsidRDefault="00FF02B2" w:rsidP="009E277A">
            <w:pPr>
              <w:rPr>
                <w:rFonts w:ascii="Arial" w:hAnsi="Arial" w:cs="Arial"/>
                <w:b w:val="0"/>
                <w:bCs w:val="0"/>
                <w:color w:val="C45911" w:themeColor="accent2" w:themeShade="BF"/>
              </w:rPr>
            </w:pPr>
            <w:r w:rsidRPr="00140909">
              <w:rPr>
                <w:rFonts w:ascii="Arial" w:hAnsi="Arial" w:cs="Arial" w:hint="eastAsia"/>
                <w:b w:val="0"/>
                <w:bCs w:val="0"/>
                <w:color w:val="C45911" w:themeColor="accent2" w:themeShade="BF"/>
              </w:rPr>
              <w:t>S</w:t>
            </w:r>
            <w:r w:rsidRPr="00140909">
              <w:rPr>
                <w:rFonts w:ascii="Arial" w:hAnsi="Arial" w:cs="Arial"/>
                <w:b w:val="0"/>
                <w:bCs w:val="0"/>
                <w:color w:val="C45911" w:themeColor="accent2" w:themeShade="BF"/>
              </w:rPr>
              <w:t>econdary antibodies</w:t>
            </w:r>
            <w:r>
              <w:rPr>
                <w:rFonts w:ascii="Arial" w:hAnsi="Arial" w:cs="Arial"/>
                <w:b w:val="0"/>
                <w:bCs w:val="0"/>
                <w:color w:val="C45911" w:themeColor="accent2" w:themeShade="BF"/>
              </w:rPr>
              <w:t xml:space="preserve"> for IHC</w:t>
            </w:r>
          </w:p>
        </w:tc>
      </w:tr>
      <w:tr w:rsidR="00FF02B2" w14:paraId="5DEA4047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034D17E0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8B2B68">
              <w:rPr>
                <w:rFonts w:ascii="Arial" w:hAnsi="Arial" w:cs="Arial"/>
                <w:b w:val="0"/>
                <w:bCs w:val="0"/>
              </w:rPr>
              <w:t>Alexa Flour 488 goat anti-mouse</w:t>
            </w:r>
          </w:p>
        </w:tc>
        <w:tc>
          <w:tcPr>
            <w:tcW w:w="1842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3F9992F7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  <w:szCs w:val="21"/>
              </w:rPr>
              <w:t>Thermo Fisher Scientific</w:t>
            </w:r>
          </w:p>
        </w:tc>
        <w:tc>
          <w:tcPr>
            <w:tcW w:w="2552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01A7D61E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 w:rsidRPr="008B2B68">
              <w:t xml:space="preserve"> </w:t>
            </w:r>
            <w:r w:rsidRPr="008B2B68">
              <w:rPr>
                <w:rFonts w:ascii="Arial" w:hAnsi="Arial" w:cs="Arial"/>
              </w:rPr>
              <w:t>A11001</w:t>
            </w:r>
          </w:p>
        </w:tc>
        <w:tc>
          <w:tcPr>
            <w:tcW w:w="1134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1ECDF2D9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1:400</w:t>
            </w:r>
          </w:p>
        </w:tc>
      </w:tr>
      <w:tr w:rsidR="00FF02B2" w14:paraId="789541C1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7EB0DA24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8B2B68">
              <w:rPr>
                <w:rFonts w:ascii="Arial" w:hAnsi="Arial" w:cs="Arial"/>
                <w:b w:val="0"/>
                <w:bCs w:val="0"/>
              </w:rPr>
              <w:t>Alexa Fluor 633 goat anti-rabbit</w:t>
            </w:r>
          </w:p>
        </w:tc>
        <w:tc>
          <w:tcPr>
            <w:tcW w:w="1842" w:type="dxa"/>
            <w:shd w:val="clear" w:color="auto" w:fill="auto"/>
          </w:tcPr>
          <w:p w14:paraId="61AD8047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  <w:szCs w:val="21"/>
              </w:rPr>
              <w:t>Thermo Fisher Scientific</w:t>
            </w:r>
          </w:p>
        </w:tc>
        <w:tc>
          <w:tcPr>
            <w:tcW w:w="2552" w:type="dxa"/>
            <w:shd w:val="clear" w:color="auto" w:fill="auto"/>
          </w:tcPr>
          <w:p w14:paraId="581EFE88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 A21070</w:t>
            </w:r>
          </w:p>
        </w:tc>
        <w:tc>
          <w:tcPr>
            <w:tcW w:w="1134" w:type="dxa"/>
            <w:shd w:val="clear" w:color="auto" w:fill="auto"/>
          </w:tcPr>
          <w:p w14:paraId="38177FF9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1:400</w:t>
            </w:r>
          </w:p>
        </w:tc>
      </w:tr>
      <w:tr w:rsidR="00FF02B2" w14:paraId="6C7C14C5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11088233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8B2B68">
              <w:rPr>
                <w:rFonts w:ascii="Arial" w:hAnsi="Arial" w:cs="Arial"/>
                <w:b w:val="0"/>
                <w:bCs w:val="0"/>
              </w:rPr>
              <w:t>Alexa Fluor 568 goat anti-rat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0E77A663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8B2B68">
              <w:rPr>
                <w:rFonts w:ascii="Arial" w:hAnsi="Arial" w:cs="Arial"/>
                <w:szCs w:val="21"/>
              </w:rPr>
              <w:t>Thermo Fisher Scientific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1F36DEDC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 w:rsidRPr="008B2B68">
              <w:t xml:space="preserve"> </w:t>
            </w:r>
            <w:r w:rsidRPr="008B2B68">
              <w:rPr>
                <w:rFonts w:ascii="Arial" w:hAnsi="Arial" w:cs="Arial"/>
              </w:rPr>
              <w:t>A11077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17106EEC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8FF">
              <w:rPr>
                <w:rFonts w:ascii="Arial" w:hAnsi="Arial" w:cs="Arial"/>
              </w:rPr>
              <w:t>1:400</w:t>
            </w:r>
          </w:p>
        </w:tc>
      </w:tr>
      <w:tr w:rsidR="00FF02B2" w14:paraId="20113207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6F35BCE1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8B2B68">
              <w:rPr>
                <w:rFonts w:ascii="Arial" w:hAnsi="Arial" w:cs="Arial"/>
                <w:b w:val="0"/>
                <w:bCs w:val="0"/>
              </w:rPr>
              <w:t>Alexa Fluor 568-conjugated</w:t>
            </w:r>
            <w:r w:rsidRPr="008B2B68">
              <w:rPr>
                <w:b w:val="0"/>
                <w:bCs w:val="0"/>
              </w:rPr>
              <w:t xml:space="preserve"> </w:t>
            </w:r>
            <w:r w:rsidRPr="008B2B68">
              <w:rPr>
                <w:rFonts w:ascii="Arial" w:hAnsi="Arial" w:cs="Arial"/>
                <w:b w:val="0"/>
                <w:bCs w:val="0"/>
              </w:rPr>
              <w:t>streptavidin</w:t>
            </w:r>
          </w:p>
        </w:tc>
        <w:tc>
          <w:tcPr>
            <w:tcW w:w="1842" w:type="dxa"/>
            <w:shd w:val="clear" w:color="auto" w:fill="auto"/>
          </w:tcPr>
          <w:p w14:paraId="7B9BF28E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8B2B68">
              <w:rPr>
                <w:rFonts w:ascii="Arial" w:hAnsi="Arial" w:cs="Arial"/>
                <w:szCs w:val="21"/>
              </w:rPr>
              <w:t>Thermo Fisher Scientific</w:t>
            </w:r>
          </w:p>
        </w:tc>
        <w:tc>
          <w:tcPr>
            <w:tcW w:w="2552" w:type="dxa"/>
            <w:shd w:val="clear" w:color="auto" w:fill="auto"/>
          </w:tcPr>
          <w:p w14:paraId="28B5244E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 w:rsidRPr="008B2B68">
              <w:t xml:space="preserve"> </w:t>
            </w:r>
            <w:r w:rsidRPr="008B2B68">
              <w:rPr>
                <w:rFonts w:ascii="Arial" w:hAnsi="Arial" w:cs="Arial"/>
              </w:rPr>
              <w:t>S11226</w:t>
            </w:r>
          </w:p>
        </w:tc>
        <w:tc>
          <w:tcPr>
            <w:tcW w:w="1134" w:type="dxa"/>
            <w:shd w:val="clear" w:color="auto" w:fill="auto"/>
          </w:tcPr>
          <w:p w14:paraId="483E7B68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8FF">
              <w:rPr>
                <w:rFonts w:ascii="Arial" w:hAnsi="Arial" w:cs="Arial"/>
              </w:rPr>
              <w:t>1:400</w:t>
            </w:r>
          </w:p>
        </w:tc>
      </w:tr>
      <w:tr w:rsidR="00FF02B2" w:rsidRPr="008B2B68" w14:paraId="0E39C2FA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4EB909F0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8B2B68">
              <w:rPr>
                <w:rFonts w:ascii="Arial" w:hAnsi="Arial" w:cs="Arial"/>
                <w:b w:val="0"/>
                <w:bCs w:val="0"/>
              </w:rPr>
              <w:t xml:space="preserve">Alexa Fluor </w:t>
            </w:r>
            <w:r>
              <w:rPr>
                <w:rFonts w:ascii="Arial" w:hAnsi="Arial" w:cs="Arial"/>
                <w:b w:val="0"/>
                <w:bCs w:val="0"/>
              </w:rPr>
              <w:t>48</w:t>
            </w:r>
            <w:r w:rsidRPr="008B2B68">
              <w:rPr>
                <w:rFonts w:ascii="Arial" w:hAnsi="Arial" w:cs="Arial"/>
                <w:b w:val="0"/>
                <w:bCs w:val="0"/>
              </w:rPr>
              <w:t>8 goat anti-rat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2BBF1C66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8B2B68">
              <w:rPr>
                <w:rFonts w:ascii="Arial" w:hAnsi="Arial" w:cs="Arial"/>
                <w:szCs w:val="21"/>
              </w:rPr>
              <w:t>Abcam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5DB13138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 w:rsidRPr="008B2B68">
              <w:t xml:space="preserve"> </w:t>
            </w:r>
            <w:r>
              <w:rPr>
                <w:rFonts w:ascii="Arial" w:hAnsi="Arial" w:cs="Arial"/>
              </w:rPr>
              <w:t>ab150077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1BA2C13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8FF">
              <w:rPr>
                <w:rFonts w:ascii="Arial" w:hAnsi="Arial" w:cs="Arial"/>
              </w:rPr>
              <w:t>1:</w:t>
            </w:r>
            <w:r>
              <w:rPr>
                <w:rFonts w:ascii="Arial" w:hAnsi="Arial" w:cs="Arial"/>
              </w:rPr>
              <w:t>8</w:t>
            </w:r>
            <w:r w:rsidRPr="00F458FF">
              <w:rPr>
                <w:rFonts w:ascii="Arial" w:hAnsi="Arial" w:cs="Arial"/>
              </w:rPr>
              <w:t>00</w:t>
            </w:r>
          </w:p>
        </w:tc>
      </w:tr>
    </w:tbl>
    <w:p w14:paraId="58F99DDA" w14:textId="77777777" w:rsidR="00FF02B2" w:rsidRDefault="00FF02B2" w:rsidP="00FF02B2"/>
    <w:tbl>
      <w:tblPr>
        <w:tblStyle w:val="ListTable6Colorful"/>
        <w:tblW w:w="8222" w:type="dxa"/>
        <w:tblLayout w:type="fixed"/>
        <w:tblLook w:val="04A0" w:firstRow="1" w:lastRow="0" w:firstColumn="1" w:lastColumn="0" w:noHBand="0" w:noVBand="1"/>
      </w:tblPr>
      <w:tblGrid>
        <w:gridCol w:w="2694"/>
        <w:gridCol w:w="1842"/>
        <w:gridCol w:w="2552"/>
        <w:gridCol w:w="1134"/>
      </w:tblGrid>
      <w:tr w:rsidR="00FF02B2" w:rsidRPr="00140909" w14:paraId="24B4CF74" w14:textId="77777777" w:rsidTr="009E27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7B299466" w14:textId="77777777" w:rsidR="00FF02B2" w:rsidRPr="00140909" w:rsidRDefault="00FF02B2" w:rsidP="009E277A">
            <w:pPr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/>
                <w:color w:val="C45911" w:themeColor="accent2" w:themeShade="BF"/>
              </w:rPr>
              <w:t>Reagent</w:t>
            </w:r>
            <w:r>
              <w:rPr>
                <w:rFonts w:ascii="Arial" w:hAnsi="Arial" w:cs="Arial"/>
                <w:color w:val="C45911" w:themeColor="accent2" w:themeShade="BF"/>
              </w:rPr>
              <w:t xml:space="preserve"> or resource</w:t>
            </w:r>
          </w:p>
        </w:tc>
        <w:tc>
          <w:tcPr>
            <w:tcW w:w="1842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052F15F4" w14:textId="77777777" w:rsidR="00FF02B2" w:rsidRPr="00140909" w:rsidRDefault="00FF02B2" w:rsidP="009E27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 w:hint="eastAsia"/>
                <w:color w:val="C45911" w:themeColor="accent2" w:themeShade="BF"/>
              </w:rPr>
              <w:t>S</w:t>
            </w:r>
            <w:r w:rsidRPr="00140909">
              <w:rPr>
                <w:rFonts w:ascii="Arial" w:hAnsi="Arial" w:cs="Arial"/>
                <w:color w:val="C45911" w:themeColor="accent2" w:themeShade="BF"/>
              </w:rPr>
              <w:t>ource</w:t>
            </w:r>
          </w:p>
        </w:tc>
        <w:tc>
          <w:tcPr>
            <w:tcW w:w="2552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7A69DFB8" w14:textId="77777777" w:rsidR="00FF02B2" w:rsidRPr="00140909" w:rsidRDefault="00FF02B2" w:rsidP="009E27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 w:hint="eastAsia"/>
                <w:color w:val="C45911" w:themeColor="accent2" w:themeShade="BF"/>
              </w:rPr>
              <w:t>I</w:t>
            </w:r>
            <w:r w:rsidRPr="00140909">
              <w:rPr>
                <w:rFonts w:ascii="Arial" w:hAnsi="Arial" w:cs="Arial"/>
                <w:color w:val="C45911" w:themeColor="accent2" w:themeShade="BF"/>
              </w:rPr>
              <w:t>dentifier</w:t>
            </w:r>
          </w:p>
        </w:tc>
        <w:tc>
          <w:tcPr>
            <w:tcW w:w="1134" w:type="dxa"/>
            <w:tcBorders>
              <w:top w:val="single" w:sz="12" w:space="0" w:color="C45911" w:themeColor="accent2" w:themeShade="BF"/>
            </w:tcBorders>
          </w:tcPr>
          <w:p w14:paraId="4AB88AE2" w14:textId="77777777" w:rsidR="00FF02B2" w:rsidRPr="00140909" w:rsidRDefault="00FF02B2" w:rsidP="009E277A">
            <w:pPr>
              <w:ind w:left="105" w:hangingChars="50" w:hanging="10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45911" w:themeColor="accent2" w:themeShade="BF"/>
              </w:rPr>
            </w:pPr>
            <w:r>
              <w:rPr>
                <w:rFonts w:ascii="Arial" w:hAnsi="Arial" w:cs="Arial"/>
                <w:color w:val="C45911" w:themeColor="accent2" w:themeShade="BF"/>
              </w:rPr>
              <w:t>D</w:t>
            </w:r>
            <w:r w:rsidRPr="00140909">
              <w:rPr>
                <w:rFonts w:ascii="Arial" w:hAnsi="Arial" w:cs="Arial"/>
                <w:color w:val="C45911" w:themeColor="accent2" w:themeShade="BF"/>
              </w:rPr>
              <w:t>ilution</w:t>
            </w:r>
          </w:p>
        </w:tc>
      </w:tr>
      <w:tr w:rsidR="00FF02B2" w:rsidRPr="00140909" w14:paraId="2E07AF68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gridSpan w:val="4"/>
            <w:tcBorders>
              <w:top w:val="single" w:sz="8" w:space="0" w:color="C45911" w:themeColor="accent2" w:themeShade="BF"/>
              <w:bottom w:val="single" w:sz="8" w:space="0" w:color="C45911" w:themeColor="accent2" w:themeShade="BF"/>
            </w:tcBorders>
            <w:shd w:val="clear" w:color="auto" w:fill="auto"/>
          </w:tcPr>
          <w:p w14:paraId="47875654" w14:textId="77777777" w:rsidR="00FF02B2" w:rsidRPr="00140909" w:rsidRDefault="00FF02B2" w:rsidP="009E277A">
            <w:pPr>
              <w:rPr>
                <w:rFonts w:ascii="Arial" w:hAnsi="Arial" w:cs="Arial"/>
                <w:b w:val="0"/>
                <w:bCs w:val="0"/>
                <w:color w:val="C45911" w:themeColor="accent2" w:themeShade="BF"/>
              </w:rPr>
            </w:pPr>
            <w:r w:rsidRPr="00140909">
              <w:rPr>
                <w:rFonts w:ascii="Arial" w:hAnsi="Arial" w:cs="Arial"/>
                <w:b w:val="0"/>
                <w:bCs w:val="0"/>
                <w:color w:val="C45911" w:themeColor="accent2" w:themeShade="BF"/>
              </w:rPr>
              <w:t>Primary antibodies</w:t>
            </w:r>
            <w:r>
              <w:rPr>
                <w:rFonts w:ascii="Arial" w:hAnsi="Arial" w:cs="Arial"/>
                <w:b w:val="0"/>
                <w:bCs w:val="0"/>
                <w:color w:val="C45911" w:themeColor="accent2" w:themeShade="BF"/>
              </w:rPr>
              <w:t xml:space="preserve"> for WB</w:t>
            </w:r>
          </w:p>
        </w:tc>
      </w:tr>
      <w:tr w:rsidR="00FF02B2" w:rsidRPr="008B2B68" w14:paraId="1F3B45D5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77E0E8EB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8B2B68">
              <w:rPr>
                <w:rFonts w:ascii="Arial" w:hAnsi="Arial" w:cs="Arial"/>
                <w:b w:val="0"/>
                <w:bCs w:val="0"/>
              </w:rPr>
              <w:t>Rabbit anti-</w:t>
            </w:r>
            <w:r>
              <w:rPr>
                <w:rFonts w:ascii="Arial" w:hAnsi="Arial" w:cs="Arial"/>
                <w:b w:val="0"/>
                <w:bCs w:val="0"/>
              </w:rPr>
              <w:t>TSG101</w:t>
            </w:r>
          </w:p>
        </w:tc>
        <w:tc>
          <w:tcPr>
            <w:tcW w:w="1842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0A546BCC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  <w:szCs w:val="21"/>
              </w:rPr>
              <w:t>Thermo Fisher Scientific</w:t>
            </w:r>
          </w:p>
        </w:tc>
        <w:tc>
          <w:tcPr>
            <w:tcW w:w="2552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63B81E4A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 xml:space="preserve">Cat#: </w:t>
            </w:r>
            <w:r>
              <w:rPr>
                <w:rFonts w:ascii="Arial" w:hAnsi="Arial" w:cs="Arial"/>
                <w:szCs w:val="21"/>
              </w:rPr>
              <w:t>PA5-82236</w:t>
            </w:r>
          </w:p>
        </w:tc>
        <w:tc>
          <w:tcPr>
            <w:tcW w:w="1134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296EEB07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</w:t>
            </w:r>
            <w:r>
              <w:rPr>
                <w:rFonts w:ascii="Arial" w:hAnsi="Arial" w:cs="Arial"/>
              </w:rPr>
              <w:t>10</w:t>
            </w:r>
            <w:r w:rsidRPr="008B2B68">
              <w:rPr>
                <w:rFonts w:ascii="Arial" w:hAnsi="Arial" w:cs="Arial"/>
              </w:rPr>
              <w:t>00</w:t>
            </w:r>
          </w:p>
        </w:tc>
      </w:tr>
      <w:tr w:rsidR="00FF02B2" w:rsidRPr="008B2B68" w14:paraId="0B30BA2C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3FF2D17F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8B2B68">
              <w:rPr>
                <w:rFonts w:ascii="Arial" w:hAnsi="Arial" w:cs="Arial"/>
                <w:b w:val="0"/>
                <w:bCs w:val="0"/>
              </w:rPr>
              <w:t>Rabbit anti-</w:t>
            </w:r>
            <w:r>
              <w:rPr>
                <w:rFonts w:ascii="Arial" w:hAnsi="Arial" w:cs="Arial"/>
                <w:b w:val="0"/>
                <w:bCs w:val="0"/>
              </w:rPr>
              <w:t>Cre</w:t>
            </w:r>
          </w:p>
        </w:tc>
        <w:tc>
          <w:tcPr>
            <w:tcW w:w="1842" w:type="dxa"/>
            <w:shd w:val="clear" w:color="auto" w:fill="auto"/>
          </w:tcPr>
          <w:p w14:paraId="615BDC29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 w:hint="eastAsia"/>
              </w:rPr>
              <w:t>A</w:t>
            </w:r>
            <w:r w:rsidRPr="008B2B68">
              <w:rPr>
                <w:rFonts w:ascii="Arial" w:hAnsi="Arial" w:cs="Arial"/>
              </w:rPr>
              <w:t>bcam</w:t>
            </w:r>
          </w:p>
        </w:tc>
        <w:tc>
          <w:tcPr>
            <w:tcW w:w="2552" w:type="dxa"/>
            <w:shd w:val="clear" w:color="auto" w:fill="auto"/>
          </w:tcPr>
          <w:p w14:paraId="1C1A07BC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 w:rsidRPr="008B2B68">
              <w:rPr>
                <w:rFonts w:ascii="Arial" w:hAnsi="Arial" w:cs="Arial"/>
                <w:szCs w:val="21"/>
              </w:rPr>
              <w:t xml:space="preserve"> ab</w:t>
            </w:r>
            <w:r>
              <w:rPr>
                <w:rFonts w:ascii="Arial" w:hAnsi="Arial" w:cs="Arial"/>
                <w:szCs w:val="21"/>
              </w:rPr>
              <w:t>188568</w:t>
            </w:r>
          </w:p>
        </w:tc>
        <w:tc>
          <w:tcPr>
            <w:tcW w:w="1134" w:type="dxa"/>
            <w:shd w:val="clear" w:color="auto" w:fill="auto"/>
          </w:tcPr>
          <w:p w14:paraId="2DA76DEC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</w:t>
            </w:r>
            <w:r>
              <w:rPr>
                <w:rFonts w:ascii="Arial" w:hAnsi="Arial" w:cs="Arial"/>
              </w:rPr>
              <w:t>10</w:t>
            </w:r>
            <w:r w:rsidRPr="008B2B68">
              <w:rPr>
                <w:rFonts w:ascii="Arial" w:hAnsi="Arial" w:cs="Arial"/>
              </w:rPr>
              <w:t>00</w:t>
            </w:r>
          </w:p>
        </w:tc>
      </w:tr>
      <w:tr w:rsidR="00FF02B2" w:rsidRPr="008B2B68" w14:paraId="1A32DC12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6762EFBE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8B2B68">
              <w:rPr>
                <w:rFonts w:ascii="Arial" w:hAnsi="Arial" w:cs="Arial"/>
                <w:b w:val="0"/>
                <w:bCs w:val="0"/>
              </w:rPr>
              <w:t>Rabbit anti-</w:t>
            </w:r>
            <w:r>
              <w:rPr>
                <w:rFonts w:ascii="Arial" w:hAnsi="Arial" w:cs="Arial"/>
                <w:b w:val="0"/>
                <w:bCs w:val="0"/>
              </w:rPr>
              <w:t>Syntenin-1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599429FB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8B2B68">
              <w:rPr>
                <w:rFonts w:ascii="Arial" w:hAnsi="Arial" w:cs="Arial"/>
                <w:szCs w:val="21"/>
              </w:rPr>
              <w:t>Thermo Fisher Scientific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241B79D9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 xml:space="preserve">Cat#: </w:t>
            </w:r>
            <w:r w:rsidRPr="008B2B68">
              <w:rPr>
                <w:rFonts w:ascii="Arial" w:hAnsi="Arial" w:cs="Arial"/>
                <w:szCs w:val="21"/>
              </w:rPr>
              <w:t>600-401-379-RTU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4D1E3061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</w:t>
            </w:r>
            <w:r>
              <w:rPr>
                <w:rFonts w:ascii="Arial" w:hAnsi="Arial" w:cs="Arial"/>
              </w:rPr>
              <w:t>10</w:t>
            </w:r>
            <w:r w:rsidRPr="008B2B68">
              <w:rPr>
                <w:rFonts w:ascii="Arial" w:hAnsi="Arial" w:cs="Arial"/>
              </w:rPr>
              <w:t>00</w:t>
            </w:r>
          </w:p>
        </w:tc>
      </w:tr>
      <w:tr w:rsidR="00FF02B2" w:rsidRPr="008B2B68" w14:paraId="6CF36B4B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2C31686B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Goat</w:t>
            </w:r>
            <w:r w:rsidRPr="008B2B68">
              <w:rPr>
                <w:rFonts w:ascii="Arial" w:hAnsi="Arial" w:cs="Arial"/>
                <w:b w:val="0"/>
                <w:bCs w:val="0"/>
              </w:rPr>
              <w:t xml:space="preserve"> anti-</w:t>
            </w:r>
            <w:r>
              <w:rPr>
                <w:rFonts w:ascii="Arial" w:hAnsi="Arial" w:cs="Arial"/>
                <w:b w:val="0"/>
                <w:bCs w:val="0"/>
              </w:rPr>
              <w:t>VSV-G</w:t>
            </w:r>
          </w:p>
        </w:tc>
        <w:tc>
          <w:tcPr>
            <w:tcW w:w="1842" w:type="dxa"/>
            <w:shd w:val="clear" w:color="auto" w:fill="auto"/>
          </w:tcPr>
          <w:p w14:paraId="7E7FAE74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8B2B68">
              <w:rPr>
                <w:rFonts w:ascii="Arial" w:hAnsi="Arial" w:cs="Arial"/>
                <w:szCs w:val="21"/>
              </w:rPr>
              <w:t>Thermo Fisher Scientific</w:t>
            </w:r>
          </w:p>
        </w:tc>
        <w:tc>
          <w:tcPr>
            <w:tcW w:w="2552" w:type="dxa"/>
            <w:shd w:val="clear" w:color="auto" w:fill="auto"/>
          </w:tcPr>
          <w:p w14:paraId="03549354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 xml:space="preserve">Cat#: </w:t>
            </w:r>
            <w:r>
              <w:rPr>
                <w:rFonts w:ascii="Arial" w:hAnsi="Arial" w:cs="Arial"/>
              </w:rPr>
              <w:t>PA1-30278</w:t>
            </w:r>
          </w:p>
        </w:tc>
        <w:tc>
          <w:tcPr>
            <w:tcW w:w="1134" w:type="dxa"/>
            <w:shd w:val="clear" w:color="auto" w:fill="auto"/>
          </w:tcPr>
          <w:p w14:paraId="5EA4A24E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</w:t>
            </w:r>
            <w:r>
              <w:rPr>
                <w:rFonts w:ascii="Arial" w:hAnsi="Arial" w:cs="Arial"/>
              </w:rPr>
              <w:t>10</w:t>
            </w:r>
            <w:r w:rsidRPr="008B2B68">
              <w:rPr>
                <w:rFonts w:ascii="Arial" w:hAnsi="Arial" w:cs="Arial"/>
              </w:rPr>
              <w:t>00</w:t>
            </w:r>
          </w:p>
        </w:tc>
      </w:tr>
      <w:tr w:rsidR="00FF02B2" w:rsidRPr="008B2B68" w14:paraId="4CABD90F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51680EBC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Mouse</w:t>
            </w:r>
            <w:r w:rsidRPr="008B2B68">
              <w:rPr>
                <w:rFonts w:ascii="Arial" w:hAnsi="Arial" w:cs="Arial"/>
                <w:b w:val="0"/>
                <w:bCs w:val="0"/>
              </w:rPr>
              <w:t xml:space="preserve"> anti-</w:t>
            </w:r>
            <w:r>
              <w:rPr>
                <w:rFonts w:ascii="Arial" w:hAnsi="Arial" w:cs="Arial"/>
                <w:b w:val="0"/>
                <w:bCs w:val="0"/>
              </w:rPr>
              <w:t>Cas9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200A311E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8B2B68">
              <w:rPr>
                <w:rFonts w:ascii="Arial" w:hAnsi="Arial" w:cs="Arial"/>
                <w:szCs w:val="21"/>
              </w:rPr>
              <w:t>Thermo Fisher Scientific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420B182D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 xml:space="preserve">Cat#: </w:t>
            </w:r>
            <w:r>
              <w:rPr>
                <w:rFonts w:ascii="Arial" w:hAnsi="Arial" w:cs="Arial"/>
                <w:szCs w:val="21"/>
              </w:rPr>
              <w:t>MA5-23519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3EAB4CBE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</w:t>
            </w:r>
            <w:r>
              <w:rPr>
                <w:rFonts w:ascii="Arial" w:hAnsi="Arial" w:cs="Arial"/>
              </w:rPr>
              <w:t>10</w:t>
            </w:r>
            <w:r w:rsidRPr="008B2B68">
              <w:rPr>
                <w:rFonts w:ascii="Arial" w:hAnsi="Arial" w:cs="Arial"/>
              </w:rPr>
              <w:t>00</w:t>
            </w:r>
          </w:p>
        </w:tc>
      </w:tr>
      <w:tr w:rsidR="00FF02B2" w:rsidRPr="008B2B68" w14:paraId="2377299D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77B2EB96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 xml:space="preserve">Goat </w:t>
            </w:r>
            <w:r w:rsidRPr="008B2B68">
              <w:rPr>
                <w:rFonts w:ascii="Arial" w:hAnsi="Arial" w:cs="Arial"/>
                <w:b w:val="0"/>
                <w:bCs w:val="0"/>
              </w:rPr>
              <w:t>anti-</w:t>
            </w:r>
            <w:r>
              <w:rPr>
                <w:rFonts w:ascii="Arial" w:hAnsi="Arial" w:cs="Arial"/>
                <w:b w:val="0"/>
                <w:bCs w:val="0"/>
              </w:rPr>
              <w:t>Calnexin</w:t>
            </w:r>
          </w:p>
        </w:tc>
        <w:tc>
          <w:tcPr>
            <w:tcW w:w="1842" w:type="dxa"/>
            <w:shd w:val="clear" w:color="auto" w:fill="auto"/>
          </w:tcPr>
          <w:p w14:paraId="2604E336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8B2B68">
              <w:rPr>
                <w:rFonts w:ascii="Arial" w:hAnsi="Arial" w:cs="Arial"/>
                <w:szCs w:val="21"/>
              </w:rPr>
              <w:t>Thermo Fisher Scientific</w:t>
            </w:r>
          </w:p>
        </w:tc>
        <w:tc>
          <w:tcPr>
            <w:tcW w:w="2552" w:type="dxa"/>
            <w:shd w:val="clear" w:color="auto" w:fill="auto"/>
          </w:tcPr>
          <w:p w14:paraId="248D6310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 w:rsidRPr="008B2B68">
              <w:t xml:space="preserve"> </w:t>
            </w:r>
            <w:r w:rsidRPr="007B3FED">
              <w:rPr>
                <w:rFonts w:ascii="Arial" w:hAnsi="Arial" w:cs="Arial"/>
              </w:rPr>
              <w:t>MCA497G</w:t>
            </w:r>
          </w:p>
        </w:tc>
        <w:tc>
          <w:tcPr>
            <w:tcW w:w="1134" w:type="dxa"/>
            <w:shd w:val="clear" w:color="auto" w:fill="auto"/>
          </w:tcPr>
          <w:p w14:paraId="5F1E2B7C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</w:t>
            </w:r>
            <w:r>
              <w:rPr>
                <w:rFonts w:ascii="Arial" w:hAnsi="Arial" w:cs="Arial"/>
              </w:rPr>
              <w:t>1</w:t>
            </w:r>
            <w:r w:rsidRPr="008B2B68">
              <w:rPr>
                <w:rFonts w:ascii="Arial" w:hAnsi="Arial" w:cs="Arial"/>
              </w:rPr>
              <w:t>00</w:t>
            </w:r>
            <w:r>
              <w:rPr>
                <w:rFonts w:ascii="Arial" w:hAnsi="Arial" w:cs="Arial"/>
              </w:rPr>
              <w:t>0</w:t>
            </w:r>
          </w:p>
        </w:tc>
      </w:tr>
      <w:tr w:rsidR="00FF02B2" w:rsidRPr="008B2B68" w14:paraId="57DD378A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nil"/>
            </w:tcBorders>
            <w:shd w:val="clear" w:color="auto" w:fill="F2F2F2" w:themeFill="background1" w:themeFillShade="F2"/>
          </w:tcPr>
          <w:p w14:paraId="2D841F4A" w14:textId="77777777" w:rsidR="00FF02B2" w:rsidRPr="00561E7D" w:rsidRDefault="00FF02B2" w:rsidP="009E277A">
            <w:pPr>
              <w:rPr>
                <w:rFonts w:ascii="Arial" w:hAnsi="Arial" w:cs="Arial"/>
                <w:kern w:val="36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</w:rPr>
              <w:t>Mouse</w:t>
            </w:r>
            <w:r w:rsidRPr="007B3FED">
              <w:rPr>
                <w:rFonts w:ascii="Arial" w:hAnsi="Arial" w:cs="Arial"/>
                <w:b w:val="0"/>
                <w:bCs w:val="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</w:rPr>
              <w:t>a</w:t>
            </w:r>
            <w:r w:rsidRPr="007B3FED">
              <w:rPr>
                <w:rFonts w:ascii="Arial" w:hAnsi="Arial" w:cs="Arial"/>
                <w:b w:val="0"/>
                <w:bCs w:val="0"/>
              </w:rPr>
              <w:t>nti-</w:t>
            </w:r>
            <w:r w:rsidRPr="001344DC">
              <w:rPr>
                <w:rFonts w:ascii="Arial" w:hAnsi="Arial" w:cs="Arial"/>
                <w:b w:val="0"/>
                <w:bCs w:val="0"/>
              </w:rPr>
              <w:t>β-Actin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F2F2F2" w:themeFill="background1" w:themeFillShade="F2"/>
          </w:tcPr>
          <w:p w14:paraId="40B116A6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21"/>
              </w:rPr>
              <w:t>Sigma</w:t>
            </w:r>
          </w:p>
        </w:tc>
        <w:tc>
          <w:tcPr>
            <w:tcW w:w="2552" w:type="dxa"/>
            <w:tcBorders>
              <w:bottom w:val="nil"/>
            </w:tcBorders>
            <w:shd w:val="clear" w:color="auto" w:fill="F2F2F2" w:themeFill="background1" w:themeFillShade="F2"/>
          </w:tcPr>
          <w:p w14:paraId="64BEC40E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>
              <w:rPr>
                <w:rFonts w:ascii="Arial" w:hAnsi="Arial" w:cs="Arial"/>
              </w:rPr>
              <w:t xml:space="preserve"> A5441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2F2F2" w:themeFill="background1" w:themeFillShade="F2"/>
          </w:tcPr>
          <w:p w14:paraId="0574408E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1:20000</w:t>
            </w:r>
          </w:p>
        </w:tc>
      </w:tr>
      <w:tr w:rsidR="00FF02B2" w:rsidRPr="008B2B68" w14:paraId="16A51A38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  <w:shd w:val="clear" w:color="auto" w:fill="auto"/>
          </w:tcPr>
          <w:p w14:paraId="5CA88C90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Mouse</w:t>
            </w:r>
            <w:r w:rsidRPr="007B3FED">
              <w:rPr>
                <w:rFonts w:ascii="Arial" w:hAnsi="Arial" w:cs="Arial"/>
                <w:b w:val="0"/>
                <w:bCs w:val="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</w:rPr>
              <w:t>a</w:t>
            </w:r>
            <w:r w:rsidRPr="007B3FED">
              <w:rPr>
                <w:rFonts w:ascii="Arial" w:hAnsi="Arial" w:cs="Arial"/>
                <w:b w:val="0"/>
                <w:bCs w:val="0"/>
              </w:rPr>
              <w:t>nti-</w:t>
            </w:r>
            <w:r w:rsidRPr="00A8414C">
              <w:rPr>
                <w:rFonts w:ascii="Arial" w:hAnsi="Arial" w:cs="Arial"/>
                <w:b w:val="0"/>
                <w:bCs w:val="0"/>
              </w:rPr>
              <w:t xml:space="preserve"> IkB-alpha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</w:tcPr>
          <w:p w14:paraId="49254B93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8B2B68">
              <w:rPr>
                <w:rFonts w:ascii="Arial" w:hAnsi="Arial" w:cs="Arial"/>
                <w:szCs w:val="21"/>
              </w:rPr>
              <w:t>Thermo Fisher Scientific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36D12962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>
              <w:rPr>
                <w:rFonts w:ascii="Arial" w:hAnsi="Arial" w:cs="Arial"/>
              </w:rPr>
              <w:t xml:space="preserve"> MA5-15132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112D6C6C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</w:tc>
      </w:tr>
      <w:tr w:rsidR="00FF02B2" w:rsidRPr="008B2B68" w14:paraId="34835D1D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  <w:shd w:val="clear" w:color="auto" w:fill="auto"/>
          </w:tcPr>
          <w:p w14:paraId="56EB858C" w14:textId="77777777" w:rsidR="00FF02B2" w:rsidRDefault="00FF02B2" w:rsidP="009E277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 w:val="0"/>
                <w:bCs w:val="0"/>
              </w:rPr>
              <w:t>Rabbit</w:t>
            </w:r>
            <w:r w:rsidRPr="007B3FED">
              <w:rPr>
                <w:rFonts w:ascii="Arial" w:hAnsi="Arial" w:cs="Arial"/>
                <w:b w:val="0"/>
                <w:bCs w:val="0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</w:rPr>
              <w:t>a</w:t>
            </w:r>
            <w:r w:rsidRPr="007B3FED">
              <w:rPr>
                <w:rFonts w:ascii="Arial" w:hAnsi="Arial" w:cs="Arial"/>
                <w:b w:val="0"/>
                <w:bCs w:val="0"/>
              </w:rPr>
              <w:t>nti-</w:t>
            </w:r>
            <w:r>
              <w:rPr>
                <w:rFonts w:ascii="Arial" w:hAnsi="Arial" w:cs="Arial"/>
                <w:b w:val="0"/>
                <w:bCs w:val="0"/>
              </w:rPr>
              <w:t>PCSK9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</w:tcPr>
          <w:p w14:paraId="246F3656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8B2B68">
              <w:rPr>
                <w:rFonts w:ascii="Arial" w:hAnsi="Arial" w:cs="Arial"/>
                <w:szCs w:val="21"/>
              </w:rPr>
              <w:t>Thermo Fisher Scientific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598438FD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>
              <w:rPr>
                <w:rFonts w:ascii="Arial" w:hAnsi="Arial" w:cs="Arial"/>
              </w:rPr>
              <w:t xml:space="preserve"> PA5-78663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408B2125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</w:tc>
      </w:tr>
      <w:tr w:rsidR="00FF02B2" w:rsidRPr="00140909" w14:paraId="134954F4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gridSpan w:val="4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  <w:shd w:val="clear" w:color="auto" w:fill="auto"/>
          </w:tcPr>
          <w:p w14:paraId="2E97DEC1" w14:textId="77777777" w:rsidR="00FF02B2" w:rsidRPr="00140909" w:rsidRDefault="00FF02B2" w:rsidP="009E277A">
            <w:pPr>
              <w:rPr>
                <w:rFonts w:ascii="Arial" w:hAnsi="Arial" w:cs="Arial"/>
                <w:b w:val="0"/>
                <w:bCs w:val="0"/>
                <w:color w:val="C45911" w:themeColor="accent2" w:themeShade="BF"/>
              </w:rPr>
            </w:pPr>
            <w:r w:rsidRPr="00140909">
              <w:rPr>
                <w:rFonts w:ascii="Arial" w:hAnsi="Arial" w:cs="Arial" w:hint="eastAsia"/>
                <w:b w:val="0"/>
                <w:bCs w:val="0"/>
                <w:color w:val="C45911" w:themeColor="accent2" w:themeShade="BF"/>
              </w:rPr>
              <w:t>S</w:t>
            </w:r>
            <w:r w:rsidRPr="00140909">
              <w:rPr>
                <w:rFonts w:ascii="Arial" w:hAnsi="Arial" w:cs="Arial"/>
                <w:b w:val="0"/>
                <w:bCs w:val="0"/>
                <w:color w:val="C45911" w:themeColor="accent2" w:themeShade="BF"/>
              </w:rPr>
              <w:t>econdary antibodies</w:t>
            </w:r>
            <w:r>
              <w:rPr>
                <w:rFonts w:ascii="Arial" w:hAnsi="Arial" w:cs="Arial"/>
                <w:b w:val="0"/>
                <w:bCs w:val="0"/>
                <w:color w:val="C45911" w:themeColor="accent2" w:themeShade="BF"/>
              </w:rPr>
              <w:t xml:space="preserve"> for WB</w:t>
            </w:r>
          </w:p>
        </w:tc>
      </w:tr>
      <w:tr w:rsidR="00FF02B2" w:rsidRPr="008B2B68" w14:paraId="015EAD67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7F4CC903" w14:textId="77777777" w:rsidR="00FF02B2" w:rsidRPr="008D7DD7" w:rsidRDefault="00FF02B2" w:rsidP="009E277A">
            <w:pPr>
              <w:rPr>
                <w:rFonts w:ascii="Arial" w:hAnsi="Arial" w:cs="Arial"/>
                <w:b w:val="0"/>
                <w:bCs w:val="0"/>
                <w:szCs w:val="21"/>
              </w:rPr>
            </w:pPr>
            <w:r w:rsidRPr="008D7DD7">
              <w:rPr>
                <w:rFonts w:ascii="Arial" w:hAnsi="Arial" w:cs="Arial"/>
                <w:b w:val="0"/>
                <w:bCs w:val="0"/>
                <w:szCs w:val="21"/>
              </w:rPr>
              <w:t xml:space="preserve">IRDye® 800CW Donkey anti-Goat IgG </w:t>
            </w:r>
          </w:p>
        </w:tc>
        <w:tc>
          <w:tcPr>
            <w:tcW w:w="1842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3FC87705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LI-COR Biosciences</w:t>
            </w:r>
          </w:p>
        </w:tc>
        <w:tc>
          <w:tcPr>
            <w:tcW w:w="2552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088AC945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 w:rsidRPr="008B2B68">
              <w:t xml:space="preserve"> </w:t>
            </w:r>
            <w:r>
              <w:rPr>
                <w:rFonts w:ascii="Arial" w:hAnsi="Arial" w:cs="Arial"/>
              </w:rPr>
              <w:t>926-32214</w:t>
            </w:r>
          </w:p>
        </w:tc>
        <w:tc>
          <w:tcPr>
            <w:tcW w:w="1134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4F58165C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</w:t>
            </w:r>
            <w:r>
              <w:rPr>
                <w:rFonts w:ascii="Arial" w:hAnsi="Arial" w:cs="Arial"/>
              </w:rPr>
              <w:t>100</w:t>
            </w:r>
            <w:r w:rsidRPr="008B2B68">
              <w:rPr>
                <w:rFonts w:ascii="Arial" w:hAnsi="Arial" w:cs="Arial"/>
              </w:rPr>
              <w:t>00</w:t>
            </w:r>
          </w:p>
        </w:tc>
      </w:tr>
      <w:tr w:rsidR="00FF02B2" w:rsidRPr="008B2B68" w14:paraId="2EDD4935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282F0410" w14:textId="77777777" w:rsidR="00FF02B2" w:rsidRPr="008D7DD7" w:rsidRDefault="00FF02B2" w:rsidP="009E277A">
            <w:pPr>
              <w:rPr>
                <w:rFonts w:ascii="Arial" w:hAnsi="Arial" w:cs="Arial"/>
              </w:rPr>
            </w:pPr>
            <w:r w:rsidRPr="00BD4678">
              <w:rPr>
                <w:rFonts w:ascii="Arial" w:hAnsi="Arial" w:cs="Arial"/>
                <w:b w:val="0"/>
                <w:bCs w:val="0"/>
                <w:szCs w:val="21"/>
              </w:rPr>
              <w:t>IRDye® 800CW Goat anti-Mouse IgG</w:t>
            </w:r>
          </w:p>
        </w:tc>
        <w:tc>
          <w:tcPr>
            <w:tcW w:w="1842" w:type="dxa"/>
            <w:shd w:val="clear" w:color="auto" w:fill="auto"/>
          </w:tcPr>
          <w:p w14:paraId="2EBBA3C5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LI-COR Biosciences</w:t>
            </w:r>
          </w:p>
        </w:tc>
        <w:tc>
          <w:tcPr>
            <w:tcW w:w="2552" w:type="dxa"/>
            <w:shd w:val="clear" w:color="auto" w:fill="auto"/>
          </w:tcPr>
          <w:p w14:paraId="6F868641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 xml:space="preserve">Cat#: </w:t>
            </w:r>
            <w:r>
              <w:rPr>
                <w:rFonts w:ascii="Arial" w:hAnsi="Arial" w:cs="Arial"/>
              </w:rPr>
              <w:t>926-32210</w:t>
            </w:r>
          </w:p>
        </w:tc>
        <w:tc>
          <w:tcPr>
            <w:tcW w:w="1134" w:type="dxa"/>
            <w:shd w:val="clear" w:color="auto" w:fill="auto"/>
          </w:tcPr>
          <w:p w14:paraId="16D97153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</w:t>
            </w:r>
            <w:r>
              <w:rPr>
                <w:rFonts w:ascii="Arial" w:hAnsi="Arial" w:cs="Arial"/>
              </w:rPr>
              <w:t>100</w:t>
            </w:r>
            <w:r w:rsidRPr="008B2B68">
              <w:rPr>
                <w:rFonts w:ascii="Arial" w:hAnsi="Arial" w:cs="Arial"/>
              </w:rPr>
              <w:t>00</w:t>
            </w:r>
          </w:p>
        </w:tc>
      </w:tr>
      <w:tr w:rsidR="00FF02B2" w:rsidRPr="008B2B68" w14:paraId="4F925942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7A4E37BD" w14:textId="77777777" w:rsidR="00FF02B2" w:rsidRPr="008D7DD7" w:rsidRDefault="00FF02B2" w:rsidP="009E277A">
            <w:pPr>
              <w:rPr>
                <w:rFonts w:ascii="Arial" w:hAnsi="Arial" w:cs="Arial"/>
              </w:rPr>
            </w:pPr>
            <w:r w:rsidRPr="00BD4678">
              <w:rPr>
                <w:rFonts w:ascii="Arial" w:hAnsi="Arial" w:cs="Arial"/>
                <w:b w:val="0"/>
                <w:bCs w:val="0"/>
                <w:szCs w:val="21"/>
              </w:rPr>
              <w:t>IRDye® 800CW Goat anti-Rabbit IgG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25BD446C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LI-COR Biosciences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68F6B953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 w:rsidRPr="008B2B68">
              <w:t xml:space="preserve"> </w:t>
            </w:r>
            <w:r>
              <w:rPr>
                <w:rFonts w:ascii="Arial" w:hAnsi="Arial" w:cs="Arial"/>
              </w:rPr>
              <w:t>926-32211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5C309A0A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8FF">
              <w:rPr>
                <w:rFonts w:ascii="Arial" w:hAnsi="Arial" w:cs="Arial"/>
              </w:rPr>
              <w:t>1:</w:t>
            </w:r>
            <w:r>
              <w:rPr>
                <w:rFonts w:ascii="Arial" w:hAnsi="Arial" w:cs="Arial"/>
              </w:rPr>
              <w:t>100</w:t>
            </w:r>
            <w:r w:rsidRPr="00F458FF">
              <w:rPr>
                <w:rFonts w:ascii="Arial" w:hAnsi="Arial" w:cs="Arial"/>
              </w:rPr>
              <w:t>00</w:t>
            </w:r>
          </w:p>
        </w:tc>
      </w:tr>
      <w:tr w:rsidR="00FF02B2" w:rsidRPr="008B2B68" w14:paraId="05F6C6E3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3C771AD5" w14:textId="77777777" w:rsidR="00FF02B2" w:rsidRPr="008D7DD7" w:rsidRDefault="00FF02B2" w:rsidP="009E277A">
            <w:r w:rsidRPr="00BD4678">
              <w:rPr>
                <w:rFonts w:ascii="Arial" w:hAnsi="Arial" w:cs="Arial"/>
                <w:b w:val="0"/>
                <w:bCs w:val="0"/>
                <w:szCs w:val="21"/>
              </w:rPr>
              <w:lastRenderedPageBreak/>
              <w:t>IRDye® 680RD Goat anti-Mouse IgG</w:t>
            </w:r>
            <w:r w:rsidRPr="008D7DD7">
              <w:t xml:space="preserve"> </w:t>
            </w:r>
          </w:p>
        </w:tc>
        <w:tc>
          <w:tcPr>
            <w:tcW w:w="1842" w:type="dxa"/>
            <w:shd w:val="clear" w:color="auto" w:fill="auto"/>
          </w:tcPr>
          <w:p w14:paraId="404D3FC3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LI-COR Biosciences</w:t>
            </w:r>
          </w:p>
        </w:tc>
        <w:tc>
          <w:tcPr>
            <w:tcW w:w="2552" w:type="dxa"/>
            <w:shd w:val="clear" w:color="auto" w:fill="auto"/>
          </w:tcPr>
          <w:p w14:paraId="6E93E245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 w:rsidRPr="008B2B68">
              <w:t xml:space="preserve"> </w:t>
            </w:r>
            <w:r>
              <w:rPr>
                <w:rFonts w:ascii="Arial" w:hAnsi="Arial" w:cs="Arial"/>
              </w:rPr>
              <w:t>926-68070</w:t>
            </w:r>
          </w:p>
        </w:tc>
        <w:tc>
          <w:tcPr>
            <w:tcW w:w="1134" w:type="dxa"/>
            <w:shd w:val="clear" w:color="auto" w:fill="auto"/>
          </w:tcPr>
          <w:p w14:paraId="3A5C6761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8FF">
              <w:rPr>
                <w:rFonts w:ascii="Arial" w:hAnsi="Arial" w:cs="Arial"/>
              </w:rPr>
              <w:t>1:</w:t>
            </w:r>
            <w:r>
              <w:rPr>
                <w:rFonts w:ascii="Arial" w:hAnsi="Arial" w:cs="Arial"/>
              </w:rPr>
              <w:t>100</w:t>
            </w:r>
            <w:r w:rsidRPr="00F458FF">
              <w:rPr>
                <w:rFonts w:ascii="Arial" w:hAnsi="Arial" w:cs="Arial"/>
              </w:rPr>
              <w:t>00</w:t>
            </w:r>
          </w:p>
        </w:tc>
      </w:tr>
      <w:tr w:rsidR="00FF02B2" w:rsidRPr="008B2B68" w14:paraId="216E5681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6738B35A" w14:textId="77777777" w:rsidR="00FF02B2" w:rsidRPr="008D7DD7" w:rsidRDefault="00FF02B2" w:rsidP="009E277A">
            <w:pPr>
              <w:rPr>
                <w:rFonts w:ascii="Arial" w:hAnsi="Arial" w:cs="Arial"/>
                <w:b w:val="0"/>
                <w:bCs w:val="0"/>
                <w:szCs w:val="21"/>
              </w:rPr>
            </w:pPr>
            <w:r w:rsidRPr="008D7DD7">
              <w:rPr>
                <w:rFonts w:ascii="Arial" w:hAnsi="Arial" w:cs="Arial"/>
                <w:b w:val="0"/>
                <w:bCs w:val="0"/>
                <w:szCs w:val="21"/>
              </w:rPr>
              <w:t xml:space="preserve">IRDye® 800CW Donkey anti-Goat IgG 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05456914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LI-COR Biosciences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52DCCE86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 w:rsidRPr="008B2B68">
              <w:t xml:space="preserve"> </w:t>
            </w:r>
            <w:r>
              <w:rPr>
                <w:rFonts w:ascii="Arial" w:hAnsi="Arial" w:cs="Arial"/>
              </w:rPr>
              <w:t>926-32214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BEBD599" w14:textId="77777777" w:rsidR="00FF02B2" w:rsidRPr="00F458FF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1:</w:t>
            </w:r>
            <w:r>
              <w:rPr>
                <w:rFonts w:ascii="Arial" w:hAnsi="Arial" w:cs="Arial"/>
              </w:rPr>
              <w:t>100</w:t>
            </w:r>
            <w:r w:rsidRPr="008B2B68">
              <w:rPr>
                <w:rFonts w:ascii="Arial" w:hAnsi="Arial" w:cs="Arial"/>
              </w:rPr>
              <w:t>00</w:t>
            </w:r>
          </w:p>
        </w:tc>
      </w:tr>
    </w:tbl>
    <w:p w14:paraId="20F95986" w14:textId="77777777" w:rsidR="00FF02B2" w:rsidRDefault="00FF02B2" w:rsidP="00FF02B2"/>
    <w:tbl>
      <w:tblPr>
        <w:tblStyle w:val="ListTable6Colorful"/>
        <w:tblW w:w="8222" w:type="dxa"/>
        <w:tblLayout w:type="fixed"/>
        <w:tblLook w:val="04A0" w:firstRow="1" w:lastRow="0" w:firstColumn="1" w:lastColumn="0" w:noHBand="0" w:noVBand="1"/>
      </w:tblPr>
      <w:tblGrid>
        <w:gridCol w:w="4341"/>
        <w:gridCol w:w="1632"/>
        <w:gridCol w:w="2249"/>
      </w:tblGrid>
      <w:tr w:rsidR="00FF02B2" w:rsidRPr="00140909" w14:paraId="165B1B31" w14:textId="77777777" w:rsidTr="009E27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18EC282C" w14:textId="77777777" w:rsidR="00FF02B2" w:rsidRPr="00140909" w:rsidRDefault="00FF02B2" w:rsidP="009E277A">
            <w:pPr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/>
                <w:color w:val="C45911" w:themeColor="accent2" w:themeShade="BF"/>
              </w:rPr>
              <w:t>Reagent</w:t>
            </w:r>
            <w:r>
              <w:rPr>
                <w:rFonts w:ascii="Arial" w:hAnsi="Arial" w:cs="Arial"/>
                <w:color w:val="C45911" w:themeColor="accent2" w:themeShade="BF"/>
              </w:rPr>
              <w:t xml:space="preserve"> or resource (plasmids)</w:t>
            </w:r>
          </w:p>
        </w:tc>
        <w:tc>
          <w:tcPr>
            <w:tcW w:w="1632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36CDE631" w14:textId="77777777" w:rsidR="00FF02B2" w:rsidRPr="00140909" w:rsidRDefault="00FF02B2" w:rsidP="009E27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 w:hint="eastAsia"/>
                <w:color w:val="C45911" w:themeColor="accent2" w:themeShade="BF"/>
              </w:rPr>
              <w:t>S</w:t>
            </w:r>
            <w:r w:rsidRPr="00140909">
              <w:rPr>
                <w:rFonts w:ascii="Arial" w:hAnsi="Arial" w:cs="Arial"/>
                <w:color w:val="C45911" w:themeColor="accent2" w:themeShade="BF"/>
              </w:rPr>
              <w:t>ource</w:t>
            </w:r>
          </w:p>
        </w:tc>
        <w:tc>
          <w:tcPr>
            <w:tcW w:w="2249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1404C736" w14:textId="77777777" w:rsidR="00FF02B2" w:rsidRPr="00140909" w:rsidRDefault="00FF02B2" w:rsidP="009E27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 w:hint="eastAsia"/>
                <w:color w:val="C45911" w:themeColor="accent2" w:themeShade="BF"/>
              </w:rPr>
              <w:t>I</w:t>
            </w:r>
            <w:r w:rsidRPr="00140909">
              <w:rPr>
                <w:rFonts w:ascii="Arial" w:hAnsi="Arial" w:cs="Arial"/>
                <w:color w:val="C45911" w:themeColor="accent2" w:themeShade="BF"/>
              </w:rPr>
              <w:t>dentifier</w:t>
            </w:r>
          </w:p>
        </w:tc>
      </w:tr>
      <w:tr w:rsidR="00FF02B2" w:rsidRPr="008B2B68" w14:paraId="584E3562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single" w:sz="8" w:space="0" w:color="C45911" w:themeColor="accent2" w:themeShade="BF"/>
            </w:tcBorders>
            <w:shd w:val="clear" w:color="auto" w:fill="auto"/>
          </w:tcPr>
          <w:p w14:paraId="402EDF99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pCMV-VSV-G</w:t>
            </w:r>
          </w:p>
        </w:tc>
        <w:tc>
          <w:tcPr>
            <w:tcW w:w="1632" w:type="dxa"/>
            <w:tcBorders>
              <w:top w:val="single" w:sz="8" w:space="0" w:color="C45911" w:themeColor="accent2" w:themeShade="BF"/>
            </w:tcBorders>
            <w:shd w:val="clear" w:color="auto" w:fill="auto"/>
          </w:tcPr>
          <w:p w14:paraId="6144BE48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Addgene</w:t>
            </w:r>
          </w:p>
        </w:tc>
        <w:tc>
          <w:tcPr>
            <w:tcW w:w="2249" w:type="dxa"/>
            <w:tcBorders>
              <w:top w:val="single" w:sz="8" w:space="0" w:color="C45911" w:themeColor="accent2" w:themeShade="BF"/>
            </w:tcBorders>
            <w:shd w:val="clear" w:color="auto" w:fill="auto"/>
          </w:tcPr>
          <w:p w14:paraId="2544B7DC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8454</w:t>
            </w:r>
          </w:p>
        </w:tc>
      </w:tr>
      <w:tr w:rsidR="00FF02B2" w:rsidRPr="008B2B68" w14:paraId="66FCF3C5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4B62CEDC" w14:textId="77777777" w:rsidR="00FF02B2" w:rsidRPr="00FF44B3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3537F3">
              <w:rPr>
                <w:rFonts w:ascii="Arial" w:hAnsi="Arial" w:cs="Arial"/>
                <w:b w:val="0"/>
                <w:bCs w:val="0"/>
              </w:rPr>
              <w:t>pLV-CMV-LoxP-DsRed-LoxP-eGFP</w:t>
            </w:r>
          </w:p>
        </w:tc>
        <w:tc>
          <w:tcPr>
            <w:tcW w:w="1632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28A6BB18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Addgene</w:t>
            </w:r>
          </w:p>
        </w:tc>
        <w:tc>
          <w:tcPr>
            <w:tcW w:w="2249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1F645426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65726</w:t>
            </w:r>
          </w:p>
        </w:tc>
      </w:tr>
      <w:tr w:rsidR="00FF02B2" w:rsidRPr="008B2B68" w14:paraId="23A08224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shd w:val="clear" w:color="auto" w:fill="auto"/>
          </w:tcPr>
          <w:p w14:paraId="1120AEBA" w14:textId="77777777" w:rsidR="00FF02B2" w:rsidRPr="00720765" w:rsidRDefault="00FF02B2" w:rsidP="009E277A">
            <w:pPr>
              <w:rPr>
                <w:rFonts w:ascii="Arial" w:hAnsi="Arial" w:cs="Arial"/>
                <w:sz w:val="20"/>
                <w:szCs w:val="20"/>
              </w:rPr>
            </w:pPr>
            <w:r w:rsidRPr="00720765">
              <w:rPr>
                <w:rFonts w:ascii="Arial" w:hAnsi="Arial" w:cs="Arial"/>
                <w:b w:val="0"/>
                <w:bCs w:val="0"/>
              </w:rPr>
              <w:t>pCMV-VSV-G-(P127D)-Myc</w:t>
            </w:r>
          </w:p>
        </w:tc>
        <w:tc>
          <w:tcPr>
            <w:tcW w:w="1632" w:type="dxa"/>
            <w:shd w:val="clear" w:color="auto" w:fill="auto"/>
          </w:tcPr>
          <w:p w14:paraId="2DDBC719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Addgene</w:t>
            </w:r>
          </w:p>
        </w:tc>
        <w:tc>
          <w:tcPr>
            <w:tcW w:w="2249" w:type="dxa"/>
            <w:shd w:val="clear" w:color="auto" w:fill="auto"/>
          </w:tcPr>
          <w:p w14:paraId="6371E664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80055</w:t>
            </w:r>
          </w:p>
        </w:tc>
      </w:tr>
      <w:tr w:rsidR="00FF02B2" w:rsidRPr="008B2B68" w14:paraId="3CC3E667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shd w:val="clear" w:color="auto" w:fill="F2F2F2" w:themeFill="background1" w:themeFillShade="F2"/>
          </w:tcPr>
          <w:p w14:paraId="5FAD6390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</w:t>
            </w:r>
          </w:p>
        </w:tc>
        <w:tc>
          <w:tcPr>
            <w:tcW w:w="1632" w:type="dxa"/>
            <w:shd w:val="clear" w:color="auto" w:fill="F2F2F2" w:themeFill="background1" w:themeFillShade="F2"/>
          </w:tcPr>
          <w:p w14:paraId="19D165E7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shd w:val="clear" w:color="auto" w:fill="F2F2F2" w:themeFill="background1" w:themeFillShade="F2"/>
          </w:tcPr>
          <w:p w14:paraId="113F198D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43881A99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shd w:val="clear" w:color="auto" w:fill="auto"/>
          </w:tcPr>
          <w:p w14:paraId="426ACF64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pLEX-Cre</w:t>
            </w:r>
          </w:p>
        </w:tc>
        <w:tc>
          <w:tcPr>
            <w:tcW w:w="1632" w:type="dxa"/>
            <w:shd w:val="clear" w:color="auto" w:fill="auto"/>
          </w:tcPr>
          <w:p w14:paraId="16A2FE3B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shd w:val="clear" w:color="auto" w:fill="auto"/>
          </w:tcPr>
          <w:p w14:paraId="05FFDB2E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2EB346E5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shd w:val="clear" w:color="auto" w:fill="F2F2F2" w:themeFill="background1" w:themeFillShade="F2"/>
          </w:tcPr>
          <w:p w14:paraId="577143D6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pLEX-Intein-Cre</w:t>
            </w:r>
          </w:p>
        </w:tc>
        <w:tc>
          <w:tcPr>
            <w:tcW w:w="1632" w:type="dxa"/>
            <w:shd w:val="clear" w:color="auto" w:fill="F2F2F2" w:themeFill="background1" w:themeFillShade="F2"/>
          </w:tcPr>
          <w:p w14:paraId="2F4443EE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shd w:val="clear" w:color="auto" w:fill="F2F2F2" w:themeFill="background1" w:themeFillShade="F2"/>
          </w:tcPr>
          <w:p w14:paraId="68EEDD79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3A751B94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shd w:val="clear" w:color="auto" w:fill="auto"/>
          </w:tcPr>
          <w:p w14:paraId="2EB39429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pLEX-CD63-Cre</w:t>
            </w:r>
          </w:p>
        </w:tc>
        <w:tc>
          <w:tcPr>
            <w:tcW w:w="1632" w:type="dxa"/>
            <w:shd w:val="clear" w:color="auto" w:fill="auto"/>
          </w:tcPr>
          <w:p w14:paraId="3A47C1FC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shd w:val="clear" w:color="auto" w:fill="auto"/>
          </w:tcPr>
          <w:p w14:paraId="6DE9B942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5B369B43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bottom w:val="nil"/>
            </w:tcBorders>
            <w:shd w:val="clear" w:color="auto" w:fill="F2F2F2" w:themeFill="background1" w:themeFillShade="F2"/>
          </w:tcPr>
          <w:p w14:paraId="39AFC752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pLEX-CD63-Intein-Cre</w:t>
            </w:r>
          </w:p>
        </w:tc>
        <w:tc>
          <w:tcPr>
            <w:tcW w:w="1632" w:type="dxa"/>
            <w:tcBorders>
              <w:bottom w:val="nil"/>
            </w:tcBorders>
            <w:shd w:val="clear" w:color="auto" w:fill="F2F2F2" w:themeFill="background1" w:themeFillShade="F2"/>
          </w:tcPr>
          <w:p w14:paraId="277E645D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bottom w:val="nil"/>
            </w:tcBorders>
            <w:shd w:val="clear" w:color="auto" w:fill="F2F2F2" w:themeFill="background1" w:themeFillShade="F2"/>
          </w:tcPr>
          <w:p w14:paraId="36DD19E1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2898D0E2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auto"/>
          </w:tcPr>
          <w:p w14:paraId="58EF40F7" w14:textId="77777777" w:rsidR="00FF02B2" w:rsidRPr="007B3FED" w:rsidRDefault="00FF02B2" w:rsidP="009E277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 w:val="0"/>
                <w:bCs w:val="0"/>
              </w:rPr>
              <w:t>pLEX-VSV-G-Intein-Cre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</w:tcPr>
          <w:p w14:paraId="6D9C2596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auto"/>
          </w:tcPr>
          <w:p w14:paraId="1A5ACDE0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653FB366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9924506" w14:textId="77777777" w:rsidR="00FF02B2" w:rsidRPr="00A74217" w:rsidRDefault="00FF02B2" w:rsidP="009E277A">
            <w:pPr>
              <w:rPr>
                <w:rStyle w:val="material-name"/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</w:rPr>
              <w:t>pLEX-VSV-G-Cre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B6E9F44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DE0D45C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6C8C6B60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auto"/>
          </w:tcPr>
          <w:p w14:paraId="57D23222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pLEX-VSV-G-Foldon-Intein-Cre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</w:tcPr>
          <w:p w14:paraId="35DA39A3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auto"/>
          </w:tcPr>
          <w:p w14:paraId="0FE202A7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379DFFA0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200303E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pLEX-VSV-G-Foldon-Intein-MS2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C47A9CB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449A079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68DBC180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auto"/>
          </w:tcPr>
          <w:p w14:paraId="43646368" w14:textId="77777777" w:rsidR="00FF02B2" w:rsidRPr="00A74217" w:rsidRDefault="00FF02B2" w:rsidP="009E277A">
            <w:pPr>
              <w:rPr>
                <w:rStyle w:val="material-name"/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</w:rPr>
              <w:t>pLEX-VSV-G-Foldon-Cre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</w:tcPr>
          <w:p w14:paraId="7D467527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auto"/>
          </w:tcPr>
          <w:p w14:paraId="13095A59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6568DBBC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19B3C0B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pLEX-CD63-mnGFP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B5B4517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7766E0F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5E3DD93D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auto"/>
          </w:tcPr>
          <w:p w14:paraId="02C2B489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pLEX-CD63-Intein-mnGFP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</w:tcPr>
          <w:p w14:paraId="02949B34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auto"/>
          </w:tcPr>
          <w:p w14:paraId="1A12CC8C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362FA06B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5C3EF32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pLEX-VSV-G (K47Q)-Foldon-Intein-Cre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8BBFFFE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F58A144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576E82E3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auto"/>
          </w:tcPr>
          <w:p w14:paraId="5C2A064E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pLEX-VSV-G (P127D)-Fodon-Intein-Cre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</w:tcPr>
          <w:p w14:paraId="5340CB95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auto"/>
          </w:tcPr>
          <w:p w14:paraId="77CEE685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7428FCA4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5A020FF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pLEX-VSV-G (K47Q)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B1EAB02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293336F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0DF302C7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auto"/>
          </w:tcPr>
          <w:p w14:paraId="63711F2E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pLEX-VSV-G-Foldon-Intein-Cas9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</w:tcPr>
          <w:p w14:paraId="05C60E71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auto"/>
          </w:tcPr>
          <w:p w14:paraId="1A24B9A7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799DD994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EBE4E3B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pLEX-CD63-Intein-Cas9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5CC0148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E59E473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3B8A91BA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auto"/>
          </w:tcPr>
          <w:p w14:paraId="37B0FFBF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pLEX-VSV-G-Intein-SR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</w:tcPr>
          <w:p w14:paraId="1C501B54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auto"/>
          </w:tcPr>
          <w:p w14:paraId="4835304B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23BDE80F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E05564D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pLEX-VSV-G-Foldon-Intein-SR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DCC979F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CE18BD2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699E10C1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auto"/>
          </w:tcPr>
          <w:p w14:paraId="477C4929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pLEX-super repressor (SR</w:t>
            </w:r>
            <w:r>
              <w:rPr>
                <w:rFonts w:ascii="Arial" w:hAnsi="Arial" w:cs="Arial" w:hint="eastAsia"/>
                <w:b w:val="0"/>
                <w:bCs w:val="0"/>
              </w:rPr>
              <w:t>)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</w:tcPr>
          <w:p w14:paraId="060F8F34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auto"/>
          </w:tcPr>
          <w:p w14:paraId="1DF5612F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2E727D3D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FF59D4B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 xml:space="preserve">pLEX-CD9-Intein-Cre 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CA036A4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95CF6BC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1C5BF8F7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auto"/>
          </w:tcPr>
          <w:p w14:paraId="793B590F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 xml:space="preserve">pLEX-C81-Intein-Cre 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</w:tcPr>
          <w:p w14:paraId="74D494B9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auto"/>
          </w:tcPr>
          <w:p w14:paraId="1A5A7C37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1DD5D414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F6ACAF0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 xml:space="preserve">pLEX-PTGFRN-Intein-Cre 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EF81D4D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F88CAB8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74A70722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auto"/>
          </w:tcPr>
          <w:p w14:paraId="2F35D7F0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</w:t>
            </w:r>
            <w:r w:rsidRPr="0090521C">
              <w:rPr>
                <w:rFonts w:ascii="Arial" w:hAnsi="Arial" w:cs="Arial"/>
                <w:b w:val="0"/>
                <w:bCs w:val="0"/>
              </w:rPr>
              <w:t>BB-U6-GFPsgRNA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</w:tcPr>
          <w:p w14:paraId="3FA9CF67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auto"/>
          </w:tcPr>
          <w:p w14:paraId="70868B9D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6F6FC404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6C9A25B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pLEX-CV-G-Intein-Cre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0665267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0740EFD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310D5B71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auto"/>
          </w:tcPr>
          <w:p w14:paraId="2DBFD1EE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pLEX-EPFV-Intein-Cre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</w:tcPr>
          <w:p w14:paraId="32E55055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auto"/>
          </w:tcPr>
          <w:p w14:paraId="2247A18D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3DA064CE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879C0E2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 xml:space="preserve">pLEX-CV-G 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1E99F35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A8D6675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77C1DFB7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auto"/>
          </w:tcPr>
          <w:p w14:paraId="4D48058E" w14:textId="77777777" w:rsidR="00FF02B2" w:rsidRPr="00465EDF" w:rsidRDefault="00FF02B2" w:rsidP="009E277A">
            <w:pPr>
              <w:rPr>
                <w:rFonts w:ascii="Arial" w:hAnsi="Arial" w:cs="Arial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ERVK-19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auto"/>
          </w:tcPr>
          <w:p w14:paraId="5F0A06CE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auto"/>
          </w:tcPr>
          <w:p w14:paraId="1EB3EE18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1D716F0E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3B056E1" w14:textId="77777777" w:rsidR="00FF02B2" w:rsidRPr="00465EDF" w:rsidRDefault="00FF02B2" w:rsidP="009E277A">
            <w:pPr>
              <w:rPr>
                <w:rFonts w:ascii="Arial" w:hAnsi="Arial" w:cs="Arial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ERVMER34-1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F01E90D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7568678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585D70F3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3BE2E2D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ERVI-1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1FE2FC4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F7B4D9E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7936EC38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3C31038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SPACA3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D51E413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9A77B6E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4FC697F6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B112890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EQTN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C4DFED7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73678D8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605B82B5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0C099A1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TMEM95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7D2601F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CBE6CA9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48B6B658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1B24893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HERV-H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F96FBAF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E42189A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289F7358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47E251D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ERVV-2</w:t>
            </w:r>
            <w:r>
              <w:rPr>
                <w:rFonts w:ascii="Arial" w:hAnsi="Arial" w:cs="Arial"/>
                <w:b w:val="0"/>
                <w:bCs w:val="0"/>
              </w:rPr>
              <w:t xml:space="preserve"> 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6628688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CCFBD56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46DE0128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818CE6A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ERVK13-1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AB36B03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01D15E7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58F391D9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DDF24E3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FIMP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496EBA4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CDA9785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03BF441F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32F0515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Syncytin-2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DE2A28A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A824C8B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0602C549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BA501A6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HERVK_113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43D1378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620DE74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0BD8934B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3573D63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ERVK-21</w:t>
            </w:r>
            <w:r>
              <w:rPr>
                <w:rFonts w:ascii="Arial" w:hAnsi="Arial" w:cs="Arial"/>
                <w:b w:val="0"/>
                <w:bCs w:val="0"/>
              </w:rPr>
              <w:t xml:space="preserve"> 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4DADDD3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B7CBFD8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26CDDEB7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E976536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Env type 1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1128E99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FF57673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04F20CBF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2E5CA27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SPAM1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4891270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995051E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61CDD932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4DF9B61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ERVK-18</w:t>
            </w:r>
            <w:r>
              <w:rPr>
                <w:rFonts w:ascii="Arial" w:hAnsi="Arial" w:cs="Arial"/>
                <w:b w:val="0"/>
                <w:bCs w:val="0"/>
              </w:rPr>
              <w:t xml:space="preserve"> 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158C795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5ED75D2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6ED41886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1124030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ERVK-8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4352FEE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77C83AC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23C483B2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9BDD1FA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ERVK-25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22D430D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D7244C0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5A46B912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4FD0693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ADAM12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9F2171C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76D619E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4F91B585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636DD19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ERVK-9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1CD080F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1BB0A95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5842E6E9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3ED7C6B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ERVK-24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8CAEB30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BAD73DE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3D56F0C3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9A15BA1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lastRenderedPageBreak/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Envelope glycoprotein (1)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E44E0F0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37652E6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1C189E33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B5F2CF3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IZUMO1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D4C4464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1E86934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1B9273FB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779C7BE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HERV-H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5F0AD3A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D323E72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0004E27F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C78327B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ERVK-7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A3591C5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425FA6C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5E96DFD0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671CCC5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ERVS71-1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6C988F8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C986CE8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3E5ECB0D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D151F1A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Envelope protein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E5721E8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FBC859E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044F528F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5A08498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Pol/env protein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A0B9104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8C6F91A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01CD4E51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21EF204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MYMK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8377AE4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37244FB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54DB3018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C423A17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ERVK-6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3BB54D4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4B23D01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172523F9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7D0F5A9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ERVPABLB-1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6D58A5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BEE7C58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5F80666F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6E1BF6F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Envelope polyprotein (2)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D79ACBD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FE496F7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6950CB65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BE68EF5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FLJ32214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70736A7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AC882DB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1B67B402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B97D89A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SPACA6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B5D6FE6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A9AB03B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09F0C54D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4716BD8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ERVFC1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E43235F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0B0CE8D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3B6857D4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4CDD8C9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ERVV-1</w:t>
            </w:r>
            <w:r>
              <w:rPr>
                <w:rFonts w:ascii="Arial" w:hAnsi="Arial" w:cs="Arial"/>
                <w:b w:val="0"/>
                <w:bCs w:val="0"/>
              </w:rPr>
              <w:t xml:space="preserve"> 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802919B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598A114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0C7AD13B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CFE3882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Envelope glycoprotein (3)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FCA9A8F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A9836CB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380B58C1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EB982D9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Env type 2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DDDA470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AFA1BDB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6F98894A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58C6CC" w14:textId="77777777" w:rsidR="00FF02B2" w:rsidRPr="00465EDF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MYMX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6CF3C0E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73FA48D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77562D3C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9D7D471" w14:textId="77777777" w:rsidR="00FF02B2" w:rsidRPr="00FF44B3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F953DC">
              <w:rPr>
                <w:rFonts w:ascii="Arial" w:hAnsi="Arial" w:cs="Arial"/>
                <w:b w:val="0"/>
                <w:bCs w:val="0"/>
              </w:rPr>
              <w:t>pTwist CMV</w:t>
            </w:r>
            <w:r>
              <w:rPr>
                <w:rFonts w:ascii="Arial" w:hAnsi="Arial" w:cs="Arial"/>
                <w:b w:val="0"/>
                <w:bCs w:val="0"/>
              </w:rPr>
              <w:t>-</w:t>
            </w:r>
            <w:r w:rsidRPr="00465EDF">
              <w:rPr>
                <w:rFonts w:ascii="Arial" w:hAnsi="Arial" w:cs="Arial"/>
                <w:b w:val="0"/>
                <w:bCs w:val="0"/>
              </w:rPr>
              <w:t>IZUMO1R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7FDD6ED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02B472B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05F2B2FE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0125739" w14:textId="77777777" w:rsidR="00FF02B2" w:rsidRPr="00F953DC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17770C">
              <w:rPr>
                <w:rFonts w:ascii="Arial" w:hAnsi="Arial" w:cs="Arial"/>
                <w:b w:val="0"/>
                <w:bCs w:val="0"/>
              </w:rPr>
              <w:t>pcoPE01</w:t>
            </w:r>
            <w:r>
              <w:rPr>
                <w:rFonts w:ascii="Arial" w:hAnsi="Arial" w:cs="Arial"/>
                <w:b w:val="0"/>
                <w:bCs w:val="0"/>
              </w:rPr>
              <w:t>(EPFV)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AA90C70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24ED949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1BA2D77D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AC97C36" w14:textId="77777777" w:rsidR="00FF02B2" w:rsidRPr="00F953DC" w:rsidRDefault="00FF02B2" w:rsidP="009E277A">
            <w:pPr>
              <w:rPr>
                <w:rFonts w:ascii="Arial" w:hAnsi="Arial" w:cs="Arial"/>
              </w:rPr>
            </w:pPr>
            <w:r w:rsidRPr="000B0C00">
              <w:rPr>
                <w:rFonts w:ascii="Arial" w:hAnsi="Arial" w:cs="Arial"/>
                <w:b w:val="0"/>
                <w:bCs w:val="0"/>
              </w:rPr>
              <w:t>pCD/NL-BH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EAEF777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9584D87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5C25CC77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13186AA" w14:textId="77777777" w:rsidR="00FF02B2" w:rsidRPr="000B0C00" w:rsidRDefault="00FF02B2" w:rsidP="009E277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 w:val="0"/>
                <w:bCs w:val="0"/>
              </w:rPr>
              <w:t>pLEX-M1 PCSK9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40800B2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20F9DCE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0DF97D5A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121C8F9" w14:textId="77777777" w:rsidR="00FF02B2" w:rsidRPr="00F953DC" w:rsidRDefault="00FF02B2" w:rsidP="009E277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 w:val="0"/>
                <w:bCs w:val="0"/>
              </w:rPr>
              <w:t>pLEX-CD63-Intein-M1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827C6D4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903B312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14:paraId="374AA7EF" w14:textId="77777777" w:rsidR="00FF02B2" w:rsidRDefault="00FF02B2" w:rsidP="00FF02B2">
      <w:pPr>
        <w:rPr>
          <w:rFonts w:ascii="Arial" w:hAnsi="Arial" w:cs="Arial"/>
          <w:color w:val="000000" w:themeColor="text1"/>
          <w:kern w:val="2"/>
          <w:sz w:val="21"/>
          <w:szCs w:val="21"/>
          <w:lang w:val="en-US"/>
        </w:rPr>
      </w:pPr>
      <w:r>
        <w:rPr>
          <w:rFonts w:ascii="Arial" w:hAnsi="Arial" w:cs="Arial"/>
          <w:color w:val="000000" w:themeColor="text1"/>
          <w:kern w:val="2"/>
          <w:sz w:val="21"/>
          <w:szCs w:val="21"/>
          <w:lang w:val="en-US"/>
        </w:rPr>
        <w:t xml:space="preserve">  pLEX-VSV-G-Foldon-Intein-M1                         </w:t>
      </w:r>
      <w:r w:rsidRPr="00F27911">
        <w:rPr>
          <w:rFonts w:ascii="Arial" w:hAnsi="Arial" w:cs="Arial"/>
          <w:color w:val="000000" w:themeColor="text1"/>
          <w:kern w:val="2"/>
          <w:sz w:val="21"/>
          <w:szCs w:val="21"/>
          <w:lang w:val="en-US"/>
        </w:rPr>
        <w:t>This study</w:t>
      </w:r>
    </w:p>
    <w:tbl>
      <w:tblPr>
        <w:tblStyle w:val="ListTable6Colorful"/>
        <w:tblW w:w="8222" w:type="dxa"/>
        <w:tblLayout w:type="fixed"/>
        <w:tblLook w:val="04A0" w:firstRow="1" w:lastRow="0" w:firstColumn="1" w:lastColumn="0" w:noHBand="0" w:noVBand="1"/>
      </w:tblPr>
      <w:tblGrid>
        <w:gridCol w:w="4341"/>
        <w:gridCol w:w="1632"/>
        <w:gridCol w:w="2249"/>
      </w:tblGrid>
      <w:tr w:rsidR="00FF02B2" w:rsidRPr="008B2B68" w14:paraId="3D21CB50" w14:textId="77777777" w:rsidTr="009E27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619452E" w14:textId="77777777" w:rsidR="00FF02B2" w:rsidRPr="00F953DC" w:rsidRDefault="00FF02B2" w:rsidP="009E277A">
            <w:pPr>
              <w:rPr>
                <w:rFonts w:ascii="Arial" w:hAnsi="Arial" w:cs="Arial"/>
              </w:rPr>
            </w:pPr>
            <w:r w:rsidRPr="000B0C00">
              <w:rPr>
                <w:rFonts w:ascii="Arial" w:hAnsi="Arial" w:cs="Arial"/>
                <w:b w:val="0"/>
                <w:bCs w:val="0"/>
              </w:rPr>
              <w:t>p</w:t>
            </w:r>
            <w:r>
              <w:rPr>
                <w:rFonts w:ascii="Arial" w:hAnsi="Arial" w:cs="Arial"/>
                <w:b w:val="0"/>
                <w:bCs w:val="0"/>
              </w:rPr>
              <w:t>LEX-CD63-Intein (H439Q)-Cre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27FC8E1" w14:textId="77777777" w:rsidR="00FF02B2" w:rsidRPr="000C4040" w:rsidRDefault="00FF02B2" w:rsidP="009E27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Cs w:val="21"/>
              </w:rPr>
            </w:pPr>
            <w:r w:rsidRPr="000C4040">
              <w:rPr>
                <w:rFonts w:ascii="Arial" w:hAnsi="Arial" w:cs="Arial"/>
                <w:b w:val="0"/>
                <w:bCs w:val="0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B4A5168" w14:textId="77777777" w:rsidR="00FF02B2" w:rsidRDefault="00FF02B2" w:rsidP="009E27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78FB0F44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4818F4F" w14:textId="77777777" w:rsidR="00FF02B2" w:rsidRPr="000B0C00" w:rsidRDefault="00FF02B2" w:rsidP="009E277A">
            <w:pPr>
              <w:rPr>
                <w:rFonts w:ascii="Arial" w:hAnsi="Arial" w:cs="Arial"/>
              </w:rPr>
            </w:pPr>
            <w:r w:rsidRPr="000B0C00">
              <w:rPr>
                <w:rFonts w:ascii="Arial" w:hAnsi="Arial" w:cs="Arial"/>
                <w:b w:val="0"/>
                <w:bCs w:val="0"/>
              </w:rPr>
              <w:t>p</w:t>
            </w:r>
            <w:r>
              <w:rPr>
                <w:rFonts w:ascii="Arial" w:hAnsi="Arial" w:cs="Arial"/>
                <w:b w:val="0"/>
                <w:bCs w:val="0"/>
              </w:rPr>
              <w:t>LEX-CD63-Intein (N440A)-Cre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9639BF9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D6363DE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5936BB03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28598D1" w14:textId="77777777" w:rsidR="00FF02B2" w:rsidRPr="00F953DC" w:rsidRDefault="00FF02B2" w:rsidP="009E277A">
            <w:pPr>
              <w:rPr>
                <w:rFonts w:ascii="Arial" w:hAnsi="Arial" w:cs="Arial"/>
              </w:rPr>
            </w:pPr>
            <w:r w:rsidRPr="000B0C00">
              <w:rPr>
                <w:rFonts w:ascii="Arial" w:hAnsi="Arial" w:cs="Arial"/>
                <w:b w:val="0"/>
                <w:bCs w:val="0"/>
              </w:rPr>
              <w:t>p</w:t>
            </w:r>
            <w:r>
              <w:rPr>
                <w:rFonts w:ascii="Arial" w:hAnsi="Arial" w:cs="Arial"/>
                <w:b w:val="0"/>
                <w:bCs w:val="0"/>
              </w:rPr>
              <w:t>LEX-VSV-G-Foldon-Intein (H439Q)-Cre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A44602A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C2A2E15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14:paraId="23B144B3" w14:textId="77777777" w:rsidR="00FF02B2" w:rsidRDefault="00FF02B2" w:rsidP="00FF02B2">
      <w:pPr>
        <w:rPr>
          <w:rFonts w:ascii="Arial" w:hAnsi="Arial" w:cs="Arial"/>
          <w:color w:val="000000" w:themeColor="text1"/>
          <w:kern w:val="2"/>
          <w:sz w:val="21"/>
          <w:szCs w:val="21"/>
          <w:lang w:val="en-US"/>
        </w:rPr>
      </w:pPr>
      <w:r>
        <w:rPr>
          <w:rFonts w:ascii="Arial" w:hAnsi="Arial" w:cs="Arial"/>
          <w:color w:val="000000" w:themeColor="text1"/>
          <w:kern w:val="2"/>
          <w:sz w:val="21"/>
          <w:szCs w:val="21"/>
          <w:lang w:val="en-US"/>
        </w:rPr>
        <w:t xml:space="preserve">  </w:t>
      </w:r>
      <w:r w:rsidRPr="000C4040">
        <w:rPr>
          <w:rFonts w:ascii="Arial" w:hAnsi="Arial" w:cs="Arial"/>
          <w:color w:val="000000" w:themeColor="text1"/>
          <w:kern w:val="2"/>
          <w:sz w:val="21"/>
          <w:szCs w:val="22"/>
          <w:lang w:val="en-US"/>
        </w:rPr>
        <w:t>pLEX-VSV-G-Foldon-Intein (</w:t>
      </w:r>
      <w:r>
        <w:rPr>
          <w:rFonts w:ascii="Arial" w:hAnsi="Arial" w:cs="Arial"/>
          <w:color w:val="000000" w:themeColor="text1"/>
          <w:kern w:val="2"/>
          <w:sz w:val="21"/>
          <w:szCs w:val="22"/>
          <w:lang w:val="en-US"/>
        </w:rPr>
        <w:t>N440A</w:t>
      </w:r>
      <w:r w:rsidRPr="000C4040">
        <w:rPr>
          <w:rFonts w:ascii="Arial" w:hAnsi="Arial" w:cs="Arial"/>
          <w:color w:val="000000" w:themeColor="text1"/>
          <w:kern w:val="2"/>
          <w:sz w:val="21"/>
          <w:szCs w:val="22"/>
          <w:lang w:val="en-US"/>
        </w:rPr>
        <w:t>)-Cre</w:t>
      </w:r>
      <w:r w:rsidRPr="00F27911">
        <w:rPr>
          <w:rFonts w:ascii="Arial" w:hAnsi="Arial" w:cs="Arial"/>
          <w:color w:val="000000" w:themeColor="text1"/>
          <w:kern w:val="2"/>
          <w:sz w:val="21"/>
          <w:szCs w:val="21"/>
          <w:lang w:val="en-US"/>
        </w:rPr>
        <w:t xml:space="preserve"> </w:t>
      </w:r>
      <w:r>
        <w:rPr>
          <w:rFonts w:ascii="Arial" w:hAnsi="Arial" w:cs="Arial"/>
          <w:color w:val="000000" w:themeColor="text1"/>
          <w:kern w:val="2"/>
          <w:sz w:val="21"/>
          <w:szCs w:val="21"/>
          <w:lang w:val="en-US"/>
        </w:rPr>
        <w:t xml:space="preserve">         </w:t>
      </w:r>
      <w:r w:rsidRPr="00F27911">
        <w:rPr>
          <w:rFonts w:ascii="Arial" w:hAnsi="Arial" w:cs="Arial"/>
          <w:color w:val="000000" w:themeColor="text1"/>
          <w:kern w:val="2"/>
          <w:sz w:val="21"/>
          <w:szCs w:val="21"/>
          <w:lang w:val="en-US"/>
        </w:rPr>
        <w:t>This study</w:t>
      </w:r>
    </w:p>
    <w:tbl>
      <w:tblPr>
        <w:tblStyle w:val="ListTable6Colorful"/>
        <w:tblW w:w="8222" w:type="dxa"/>
        <w:tblLayout w:type="fixed"/>
        <w:tblLook w:val="04A0" w:firstRow="1" w:lastRow="0" w:firstColumn="1" w:lastColumn="0" w:noHBand="0" w:noVBand="1"/>
      </w:tblPr>
      <w:tblGrid>
        <w:gridCol w:w="4341"/>
        <w:gridCol w:w="1632"/>
        <w:gridCol w:w="2249"/>
      </w:tblGrid>
      <w:tr w:rsidR="00FF02B2" w14:paraId="5F656C40" w14:textId="77777777" w:rsidTr="009E27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1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2A53C00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pLEX-CD63-Intein-SR</w:t>
            </w:r>
          </w:p>
        </w:tc>
        <w:tc>
          <w:tcPr>
            <w:tcW w:w="163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7FBB5F2" w14:textId="77777777" w:rsidR="00FF02B2" w:rsidRPr="008D4C17" w:rsidRDefault="00FF02B2" w:rsidP="009E27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Cs w:val="21"/>
              </w:rPr>
            </w:pPr>
            <w:r w:rsidRPr="008D4C17">
              <w:rPr>
                <w:rFonts w:ascii="Arial" w:hAnsi="Arial" w:cs="Arial"/>
                <w:b w:val="0"/>
                <w:bCs w:val="0"/>
                <w:szCs w:val="21"/>
              </w:rPr>
              <w:t>This study</w:t>
            </w:r>
          </w:p>
        </w:tc>
        <w:tc>
          <w:tcPr>
            <w:tcW w:w="2249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E7FFEFA" w14:textId="77777777" w:rsidR="00FF02B2" w:rsidRDefault="00FF02B2" w:rsidP="009E27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14:paraId="50F6AC44" w14:textId="77777777" w:rsidR="00FF02B2" w:rsidRPr="00F953DC" w:rsidRDefault="00FF02B2" w:rsidP="00FF02B2">
      <w:pPr>
        <w:rPr>
          <w:rFonts w:ascii="Arial" w:hAnsi="Arial" w:cs="Arial"/>
          <w:color w:val="000000" w:themeColor="text1"/>
          <w:kern w:val="2"/>
          <w:sz w:val="21"/>
          <w:szCs w:val="21"/>
          <w:lang w:val="en-US"/>
        </w:rPr>
      </w:pPr>
    </w:p>
    <w:tbl>
      <w:tblPr>
        <w:tblStyle w:val="ListTable6Colorful"/>
        <w:tblW w:w="8222" w:type="dxa"/>
        <w:tblLayout w:type="fixed"/>
        <w:tblLook w:val="04A0" w:firstRow="1" w:lastRow="0" w:firstColumn="1" w:lastColumn="0" w:noHBand="0" w:noVBand="1"/>
      </w:tblPr>
      <w:tblGrid>
        <w:gridCol w:w="3890"/>
        <w:gridCol w:w="2166"/>
        <w:gridCol w:w="2166"/>
      </w:tblGrid>
      <w:tr w:rsidR="00FF02B2" w:rsidRPr="00140909" w14:paraId="06D29E6C" w14:textId="77777777" w:rsidTr="009E27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223B7E74" w14:textId="77777777" w:rsidR="00FF02B2" w:rsidRPr="00140909" w:rsidRDefault="00FF02B2" w:rsidP="009E277A">
            <w:pPr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/>
                <w:color w:val="C45911" w:themeColor="accent2" w:themeShade="BF"/>
              </w:rPr>
              <w:t>Reagent</w:t>
            </w:r>
            <w:r>
              <w:rPr>
                <w:rFonts w:ascii="Arial" w:hAnsi="Arial" w:cs="Arial"/>
                <w:color w:val="C45911" w:themeColor="accent2" w:themeShade="BF"/>
              </w:rPr>
              <w:t xml:space="preserve"> or resource (sequences)</w:t>
            </w:r>
          </w:p>
        </w:tc>
        <w:tc>
          <w:tcPr>
            <w:tcW w:w="2166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5F6EE222" w14:textId="77777777" w:rsidR="00FF02B2" w:rsidRPr="00140909" w:rsidRDefault="00FF02B2" w:rsidP="009E27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 w:hint="eastAsia"/>
                <w:color w:val="C45911" w:themeColor="accent2" w:themeShade="BF"/>
              </w:rPr>
              <w:t>S</w:t>
            </w:r>
            <w:r w:rsidRPr="00140909">
              <w:rPr>
                <w:rFonts w:ascii="Arial" w:hAnsi="Arial" w:cs="Arial"/>
                <w:color w:val="C45911" w:themeColor="accent2" w:themeShade="BF"/>
              </w:rPr>
              <w:t>ource</w:t>
            </w:r>
          </w:p>
        </w:tc>
        <w:tc>
          <w:tcPr>
            <w:tcW w:w="2166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3BE622D2" w14:textId="77777777" w:rsidR="00FF02B2" w:rsidRPr="00140909" w:rsidRDefault="00FF02B2" w:rsidP="009E27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45911" w:themeColor="accent2" w:themeShade="BF"/>
              </w:rPr>
            </w:pPr>
            <w:r>
              <w:rPr>
                <w:rFonts w:ascii="Arial" w:hAnsi="Arial" w:cs="Arial"/>
                <w:color w:val="C45911" w:themeColor="accent2" w:themeShade="BF"/>
              </w:rPr>
              <w:t>Sequence</w:t>
            </w:r>
          </w:p>
        </w:tc>
      </w:tr>
      <w:tr w:rsidR="00FF02B2" w:rsidRPr="008B2B68" w14:paraId="653A2830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shd w:val="clear" w:color="auto" w:fill="auto"/>
          </w:tcPr>
          <w:p w14:paraId="59143753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sgRNA</w:t>
            </w:r>
          </w:p>
        </w:tc>
        <w:tc>
          <w:tcPr>
            <w:tcW w:w="2166" w:type="dxa"/>
            <w:shd w:val="clear" w:color="auto" w:fill="auto"/>
          </w:tcPr>
          <w:p w14:paraId="779B5DCA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166" w:type="dxa"/>
            <w:shd w:val="clear" w:color="auto" w:fill="auto"/>
          </w:tcPr>
          <w:p w14:paraId="1E6A0B24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E7074">
              <w:rPr>
                <w:rFonts w:ascii="Arial" w:hAnsi="Arial" w:cs="Arial"/>
              </w:rPr>
              <w:t>GGACAGTACTCCGCTCGAGT</w:t>
            </w:r>
          </w:p>
        </w:tc>
      </w:tr>
    </w:tbl>
    <w:p w14:paraId="0324978D" w14:textId="77777777" w:rsidR="00FF02B2" w:rsidRDefault="00FF02B2" w:rsidP="00FF02B2"/>
    <w:tbl>
      <w:tblPr>
        <w:tblStyle w:val="ListTable6Colorful"/>
        <w:tblW w:w="8222" w:type="dxa"/>
        <w:tblLayout w:type="fixed"/>
        <w:tblLook w:val="04A0" w:firstRow="1" w:lastRow="0" w:firstColumn="1" w:lastColumn="0" w:noHBand="0" w:noVBand="1"/>
      </w:tblPr>
      <w:tblGrid>
        <w:gridCol w:w="3892"/>
        <w:gridCol w:w="2165"/>
        <w:gridCol w:w="2165"/>
      </w:tblGrid>
      <w:tr w:rsidR="00FF02B2" w:rsidRPr="00140909" w14:paraId="1A1488FF" w14:textId="77777777" w:rsidTr="009E27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2DD6B518" w14:textId="77777777" w:rsidR="00FF02B2" w:rsidRPr="00140909" w:rsidRDefault="00FF02B2" w:rsidP="009E277A">
            <w:pPr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/>
                <w:color w:val="C45911" w:themeColor="accent2" w:themeShade="BF"/>
              </w:rPr>
              <w:t>Reagent</w:t>
            </w:r>
            <w:r>
              <w:rPr>
                <w:rFonts w:ascii="Arial" w:hAnsi="Arial" w:cs="Arial"/>
                <w:color w:val="C45911" w:themeColor="accent2" w:themeShade="BF"/>
              </w:rPr>
              <w:t xml:space="preserve"> or resource</w:t>
            </w:r>
          </w:p>
        </w:tc>
        <w:tc>
          <w:tcPr>
            <w:tcW w:w="1714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20EE2E64" w14:textId="77777777" w:rsidR="00FF02B2" w:rsidRPr="00140909" w:rsidRDefault="00FF02B2" w:rsidP="009E27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 w:hint="eastAsia"/>
                <w:color w:val="C45911" w:themeColor="accent2" w:themeShade="BF"/>
              </w:rPr>
              <w:t>S</w:t>
            </w:r>
            <w:r w:rsidRPr="00140909">
              <w:rPr>
                <w:rFonts w:ascii="Arial" w:hAnsi="Arial" w:cs="Arial"/>
                <w:color w:val="C45911" w:themeColor="accent2" w:themeShade="BF"/>
              </w:rPr>
              <w:t>ource</w:t>
            </w:r>
          </w:p>
        </w:tc>
        <w:tc>
          <w:tcPr>
            <w:tcW w:w="1714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6C76868C" w14:textId="77777777" w:rsidR="00FF02B2" w:rsidRPr="00140909" w:rsidRDefault="00FF02B2" w:rsidP="009E27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 w:hint="eastAsia"/>
                <w:color w:val="C45911" w:themeColor="accent2" w:themeShade="BF"/>
              </w:rPr>
              <w:t>I</w:t>
            </w:r>
            <w:r w:rsidRPr="00140909">
              <w:rPr>
                <w:rFonts w:ascii="Arial" w:hAnsi="Arial" w:cs="Arial"/>
                <w:color w:val="C45911" w:themeColor="accent2" w:themeShade="BF"/>
              </w:rPr>
              <w:t>dentifier</w:t>
            </w:r>
          </w:p>
        </w:tc>
      </w:tr>
      <w:tr w:rsidR="00FF02B2" w:rsidRPr="008B2B68" w14:paraId="539C0308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20D853EA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Plasmid Plus Midi Kit</w:t>
            </w:r>
          </w:p>
        </w:tc>
        <w:tc>
          <w:tcPr>
            <w:tcW w:w="1714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2617F11B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QIAGEN</w:t>
            </w:r>
          </w:p>
        </w:tc>
        <w:tc>
          <w:tcPr>
            <w:tcW w:w="1714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7F895C04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 xml:space="preserve">Cat#: </w:t>
            </w:r>
            <w:r>
              <w:rPr>
                <w:rFonts w:ascii="Arial" w:hAnsi="Arial" w:cs="Arial"/>
              </w:rPr>
              <w:t>12943</w:t>
            </w:r>
          </w:p>
        </w:tc>
      </w:tr>
      <w:tr w:rsidR="00FF02B2" w:rsidRPr="008B2B68" w14:paraId="09FE12F1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shd w:val="clear" w:color="auto" w:fill="auto"/>
          </w:tcPr>
          <w:p w14:paraId="232D343B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Plasmid Plus Maxi Kit</w:t>
            </w:r>
          </w:p>
        </w:tc>
        <w:tc>
          <w:tcPr>
            <w:tcW w:w="1714" w:type="dxa"/>
            <w:shd w:val="clear" w:color="auto" w:fill="auto"/>
          </w:tcPr>
          <w:p w14:paraId="18398B9C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QIAGEN</w:t>
            </w:r>
          </w:p>
        </w:tc>
        <w:tc>
          <w:tcPr>
            <w:tcW w:w="1714" w:type="dxa"/>
            <w:shd w:val="clear" w:color="auto" w:fill="auto"/>
          </w:tcPr>
          <w:p w14:paraId="72ADA0C8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 w:rsidRPr="008B2B68">
              <w:rPr>
                <w:rFonts w:ascii="Arial" w:hAnsi="Arial" w:cs="Arial"/>
                <w:szCs w:val="21"/>
              </w:rPr>
              <w:t xml:space="preserve"> </w:t>
            </w:r>
            <w:r>
              <w:rPr>
                <w:rFonts w:ascii="Arial" w:hAnsi="Arial" w:cs="Arial"/>
                <w:szCs w:val="21"/>
              </w:rPr>
              <w:t>12963</w:t>
            </w:r>
          </w:p>
        </w:tc>
      </w:tr>
      <w:tr w:rsidR="00FF02B2" w:rsidRPr="008B2B68" w14:paraId="22AA67E6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shd w:val="clear" w:color="auto" w:fill="F2F2F2" w:themeFill="background1" w:themeFillShade="F2"/>
          </w:tcPr>
          <w:p w14:paraId="73296BCF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Phusion High-Fidelity DNA Polymerase</w:t>
            </w:r>
          </w:p>
        </w:tc>
        <w:tc>
          <w:tcPr>
            <w:tcW w:w="1714" w:type="dxa"/>
            <w:shd w:val="clear" w:color="auto" w:fill="F2F2F2" w:themeFill="background1" w:themeFillShade="F2"/>
          </w:tcPr>
          <w:p w14:paraId="1719D040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8B2B68">
              <w:rPr>
                <w:rFonts w:ascii="Arial" w:hAnsi="Arial" w:cs="Arial"/>
                <w:szCs w:val="21"/>
              </w:rPr>
              <w:t>Thermo Fisher Scientific</w:t>
            </w:r>
          </w:p>
        </w:tc>
        <w:tc>
          <w:tcPr>
            <w:tcW w:w="1714" w:type="dxa"/>
            <w:shd w:val="clear" w:color="auto" w:fill="F2F2F2" w:themeFill="background1" w:themeFillShade="F2"/>
          </w:tcPr>
          <w:p w14:paraId="5456D807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 xml:space="preserve">Cat#: </w:t>
            </w:r>
            <w:r>
              <w:rPr>
                <w:rFonts w:ascii="Arial" w:hAnsi="Arial" w:cs="Arial"/>
                <w:szCs w:val="21"/>
              </w:rPr>
              <w:t>15331732</w:t>
            </w:r>
          </w:p>
        </w:tc>
      </w:tr>
      <w:tr w:rsidR="00FF02B2" w:rsidRPr="008B2B68" w14:paraId="2B5B3382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shd w:val="clear" w:color="auto" w:fill="auto"/>
          </w:tcPr>
          <w:p w14:paraId="7E60B6D8" w14:textId="77777777" w:rsidR="00FF02B2" w:rsidRPr="009955C9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9955C9">
              <w:rPr>
                <w:rFonts w:ascii="Arial" w:hAnsi="Arial" w:cs="Arial"/>
                <w:b w:val="0"/>
                <w:bCs w:val="0"/>
              </w:rPr>
              <w:t>NucleoSpin Gel and PCR Clean-up XS</w:t>
            </w:r>
          </w:p>
        </w:tc>
        <w:tc>
          <w:tcPr>
            <w:tcW w:w="1714" w:type="dxa"/>
            <w:shd w:val="clear" w:color="auto" w:fill="auto"/>
          </w:tcPr>
          <w:p w14:paraId="5F5389EF" w14:textId="77777777" w:rsidR="00FF02B2" w:rsidRPr="009955C9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9955C9">
              <w:rPr>
                <w:rFonts w:ascii="Arial" w:hAnsi="Arial" w:cs="Arial"/>
                <w:szCs w:val="21"/>
              </w:rPr>
              <w:t>Techtum Lab</w:t>
            </w:r>
          </w:p>
          <w:p w14:paraId="22DF6D45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</w:p>
        </w:tc>
        <w:tc>
          <w:tcPr>
            <w:tcW w:w="1714" w:type="dxa"/>
            <w:shd w:val="clear" w:color="auto" w:fill="auto"/>
          </w:tcPr>
          <w:p w14:paraId="706FA291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2B68">
              <w:rPr>
                <w:rFonts w:ascii="Arial" w:hAnsi="Arial" w:cs="Arial"/>
              </w:rPr>
              <w:t xml:space="preserve">Cat#: </w:t>
            </w:r>
            <w:r w:rsidRPr="009955C9">
              <w:rPr>
                <w:rFonts w:ascii="Arial" w:hAnsi="Arial" w:cs="Arial"/>
                <w:szCs w:val="21"/>
              </w:rPr>
              <w:t>32-740611.250</w:t>
            </w:r>
            <w:r>
              <w:t xml:space="preserve"> </w:t>
            </w:r>
          </w:p>
          <w:p w14:paraId="05BC7EDA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5D65062E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shd w:val="clear" w:color="auto" w:fill="F2F2F2" w:themeFill="background1" w:themeFillShade="F2"/>
          </w:tcPr>
          <w:p w14:paraId="64D3D28C" w14:textId="77777777" w:rsidR="00FF02B2" w:rsidRPr="00772789" w:rsidRDefault="00FF02B2" w:rsidP="009E277A">
            <w:pPr>
              <w:rPr>
                <w:rFonts w:ascii="Arial" w:hAnsi="Arial" w:cs="Arial"/>
                <w:lang w:val="sv-SE"/>
              </w:rPr>
            </w:pPr>
            <w:r w:rsidRPr="00772789">
              <w:rPr>
                <w:rFonts w:ascii="Arial" w:hAnsi="Arial" w:cs="Arial"/>
                <w:b w:val="0"/>
                <w:bCs w:val="0"/>
                <w:lang w:val="sv-SE"/>
              </w:rPr>
              <w:t>HotStarTaq Plus Master Mix Kit</w:t>
            </w:r>
          </w:p>
        </w:tc>
        <w:tc>
          <w:tcPr>
            <w:tcW w:w="1714" w:type="dxa"/>
            <w:shd w:val="clear" w:color="auto" w:fill="F2F2F2" w:themeFill="background1" w:themeFillShade="F2"/>
          </w:tcPr>
          <w:p w14:paraId="2D413A46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QIAGEN</w:t>
            </w:r>
          </w:p>
        </w:tc>
        <w:tc>
          <w:tcPr>
            <w:tcW w:w="1714" w:type="dxa"/>
            <w:shd w:val="clear" w:color="auto" w:fill="F2F2F2" w:themeFill="background1" w:themeFillShade="F2"/>
          </w:tcPr>
          <w:p w14:paraId="3A655B1C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 xml:space="preserve">Cat#: </w:t>
            </w:r>
            <w:r>
              <w:rPr>
                <w:rFonts w:ascii="Arial" w:hAnsi="Arial" w:cs="Arial"/>
                <w:szCs w:val="21"/>
              </w:rPr>
              <w:t>203645</w:t>
            </w:r>
          </w:p>
        </w:tc>
      </w:tr>
      <w:tr w:rsidR="00FF02B2" w:rsidRPr="008B2B68" w14:paraId="04F3B092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shd w:val="clear" w:color="auto" w:fill="auto"/>
          </w:tcPr>
          <w:p w14:paraId="07AAF7B8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031D4C">
              <w:rPr>
                <w:rFonts w:ascii="Arial" w:hAnsi="Arial" w:cs="Arial"/>
                <w:b w:val="0"/>
                <w:bCs w:val="0"/>
              </w:rPr>
              <w:t>Maxwell RSC Cell DNA Purification Kit</w:t>
            </w:r>
          </w:p>
        </w:tc>
        <w:tc>
          <w:tcPr>
            <w:tcW w:w="1714" w:type="dxa"/>
            <w:shd w:val="clear" w:color="auto" w:fill="auto"/>
          </w:tcPr>
          <w:p w14:paraId="44EDFBA0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Promega</w:t>
            </w:r>
          </w:p>
        </w:tc>
        <w:tc>
          <w:tcPr>
            <w:tcW w:w="1714" w:type="dxa"/>
            <w:shd w:val="clear" w:color="auto" w:fill="auto"/>
          </w:tcPr>
          <w:p w14:paraId="78DB0249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 w:rsidRPr="008B2B68">
              <w:t xml:space="preserve"> </w:t>
            </w:r>
            <w:r w:rsidRPr="00031D4C">
              <w:rPr>
                <w:rFonts w:ascii="Arial" w:hAnsi="Arial" w:cs="Arial"/>
              </w:rPr>
              <w:t>AS1370</w:t>
            </w:r>
          </w:p>
        </w:tc>
      </w:tr>
      <w:tr w:rsidR="00FF02B2" w:rsidRPr="008B2B68" w14:paraId="48E10DB8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shd w:val="clear" w:color="auto" w:fill="F2F2F2" w:themeFill="background1" w:themeFillShade="F2"/>
          </w:tcPr>
          <w:p w14:paraId="13C982DF" w14:textId="77777777" w:rsidR="00FF02B2" w:rsidRPr="005A5C1B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5A5C1B">
              <w:rPr>
                <w:rFonts w:ascii="Arial" w:hAnsi="Arial" w:cs="Arial"/>
                <w:b w:val="0"/>
                <w:bCs w:val="0"/>
              </w:rPr>
              <w:t>T4 DNA Ligase</w:t>
            </w:r>
          </w:p>
        </w:tc>
        <w:tc>
          <w:tcPr>
            <w:tcW w:w="1714" w:type="dxa"/>
            <w:shd w:val="clear" w:color="auto" w:fill="F2F2F2" w:themeFill="background1" w:themeFillShade="F2"/>
          </w:tcPr>
          <w:p w14:paraId="34AE5079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  <w:szCs w:val="21"/>
              </w:rPr>
              <w:t>Thermo Fisher Scientific</w:t>
            </w:r>
          </w:p>
        </w:tc>
        <w:tc>
          <w:tcPr>
            <w:tcW w:w="1714" w:type="dxa"/>
            <w:shd w:val="clear" w:color="auto" w:fill="F2F2F2" w:themeFill="background1" w:themeFillShade="F2"/>
          </w:tcPr>
          <w:p w14:paraId="1E51F2EC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>
              <w:rPr>
                <w:rFonts w:ascii="Arial" w:hAnsi="Arial" w:cs="Arial"/>
              </w:rPr>
              <w:t xml:space="preserve"> EL0011</w:t>
            </w:r>
          </w:p>
        </w:tc>
      </w:tr>
      <w:tr w:rsidR="00FF02B2" w:rsidRPr="008B2B68" w14:paraId="5D7EBBE3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shd w:val="clear" w:color="auto" w:fill="auto"/>
          </w:tcPr>
          <w:p w14:paraId="7CD81858" w14:textId="77777777" w:rsidR="00FF02B2" w:rsidRPr="005A5C1B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5A5C1B">
              <w:rPr>
                <w:rFonts w:ascii="Arial" w:hAnsi="Arial" w:cs="Arial"/>
                <w:b w:val="0"/>
                <w:bCs w:val="0"/>
              </w:rPr>
              <w:t xml:space="preserve">One Shot TOP10 Chemically Competent E. coli </w:t>
            </w:r>
          </w:p>
        </w:tc>
        <w:tc>
          <w:tcPr>
            <w:tcW w:w="1714" w:type="dxa"/>
            <w:shd w:val="clear" w:color="auto" w:fill="auto"/>
          </w:tcPr>
          <w:p w14:paraId="092AD345" w14:textId="77777777" w:rsidR="00FF02B2" w:rsidRPr="007B3FED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8B2B68">
              <w:rPr>
                <w:rFonts w:ascii="Arial" w:hAnsi="Arial" w:cs="Arial"/>
                <w:szCs w:val="21"/>
              </w:rPr>
              <w:t>Thermo Fisher Scientific</w:t>
            </w:r>
            <w:r w:rsidRPr="007B3FED">
              <w:rPr>
                <w:rFonts w:ascii="Arial" w:hAnsi="Arial" w:cs="Arial"/>
                <w:szCs w:val="21"/>
              </w:rPr>
              <w:t xml:space="preserve"> </w:t>
            </w:r>
          </w:p>
        </w:tc>
        <w:tc>
          <w:tcPr>
            <w:tcW w:w="1714" w:type="dxa"/>
            <w:shd w:val="clear" w:color="auto" w:fill="auto"/>
          </w:tcPr>
          <w:p w14:paraId="4AF7B5BD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2B68">
              <w:rPr>
                <w:rFonts w:ascii="Arial" w:hAnsi="Arial" w:cs="Arial"/>
              </w:rPr>
              <w:t xml:space="preserve">Cat#: </w:t>
            </w:r>
            <w:r>
              <w:rPr>
                <w:rFonts w:ascii="Arial" w:hAnsi="Arial" w:cs="Arial"/>
                <w:szCs w:val="21"/>
              </w:rPr>
              <w:t>C404006</w:t>
            </w:r>
          </w:p>
          <w:p w14:paraId="1C03EBEE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2C05579F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shd w:val="clear" w:color="auto" w:fill="F2F2F2" w:themeFill="background1" w:themeFillShade="F2"/>
          </w:tcPr>
          <w:p w14:paraId="61FAD6AB" w14:textId="77777777" w:rsidR="00FF02B2" w:rsidRPr="005A5C1B" w:rsidRDefault="00FF02B2" w:rsidP="009E277A">
            <w:pPr>
              <w:rPr>
                <w:b w:val="0"/>
                <w:bCs w:val="0"/>
              </w:rPr>
            </w:pPr>
            <w:r w:rsidRPr="005A5C1B">
              <w:rPr>
                <w:rFonts w:ascii="Arial" w:hAnsi="Arial" w:cs="Arial"/>
                <w:b w:val="0"/>
                <w:bCs w:val="0"/>
              </w:rPr>
              <w:t>Ibidi USA U SLIDE</w:t>
            </w:r>
          </w:p>
        </w:tc>
        <w:tc>
          <w:tcPr>
            <w:tcW w:w="1714" w:type="dxa"/>
            <w:shd w:val="clear" w:color="auto" w:fill="F2F2F2" w:themeFill="background1" w:themeFillShade="F2"/>
          </w:tcPr>
          <w:p w14:paraId="6F0A4AD7" w14:textId="77777777" w:rsidR="00FF02B2" w:rsidRPr="007B3FED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IBIDI</w:t>
            </w:r>
          </w:p>
        </w:tc>
        <w:tc>
          <w:tcPr>
            <w:tcW w:w="1714" w:type="dxa"/>
            <w:shd w:val="clear" w:color="auto" w:fill="F2F2F2" w:themeFill="background1" w:themeFillShade="F2"/>
          </w:tcPr>
          <w:p w14:paraId="78E60972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 xml:space="preserve">Cat#: </w:t>
            </w:r>
            <w:r>
              <w:rPr>
                <w:rFonts w:ascii="Arial" w:hAnsi="Arial" w:cs="Arial"/>
                <w:szCs w:val="21"/>
              </w:rPr>
              <w:t>81806</w:t>
            </w:r>
          </w:p>
        </w:tc>
      </w:tr>
      <w:tr w:rsidR="00FF02B2" w:rsidRPr="008B2B68" w14:paraId="25138523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shd w:val="clear" w:color="auto" w:fill="auto"/>
          </w:tcPr>
          <w:p w14:paraId="63FF3651" w14:textId="77777777" w:rsidR="00FF02B2" w:rsidRPr="00C600ED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5A5C1B">
              <w:rPr>
                <w:rFonts w:ascii="Arial" w:hAnsi="Arial" w:cs="Arial"/>
                <w:b w:val="0"/>
                <w:bCs w:val="0"/>
              </w:rPr>
              <w:t>Millicell Cell Culture Insert</w:t>
            </w:r>
          </w:p>
        </w:tc>
        <w:tc>
          <w:tcPr>
            <w:tcW w:w="1714" w:type="dxa"/>
            <w:shd w:val="clear" w:color="auto" w:fill="auto"/>
          </w:tcPr>
          <w:p w14:paraId="50D3AD2C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Merck Millipore</w:t>
            </w:r>
          </w:p>
        </w:tc>
        <w:tc>
          <w:tcPr>
            <w:tcW w:w="1714" w:type="dxa"/>
            <w:shd w:val="clear" w:color="auto" w:fill="auto"/>
          </w:tcPr>
          <w:p w14:paraId="63A75277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>Cat#:</w:t>
            </w:r>
            <w:r w:rsidRPr="008B2B68">
              <w:t xml:space="preserve"> </w:t>
            </w:r>
            <w:r>
              <w:rPr>
                <w:rFonts w:ascii="Arial" w:hAnsi="Arial" w:cs="Arial"/>
              </w:rPr>
              <w:t>PICM01250</w:t>
            </w:r>
          </w:p>
        </w:tc>
      </w:tr>
      <w:tr w:rsidR="00FF02B2" w:rsidRPr="008B2B68" w14:paraId="415D968B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shd w:val="clear" w:color="auto" w:fill="F2F2F2" w:themeFill="background1" w:themeFillShade="F2"/>
          </w:tcPr>
          <w:p w14:paraId="78E74463" w14:textId="77777777" w:rsidR="00FF02B2" w:rsidRPr="005A5C1B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D94999">
              <w:rPr>
                <w:rFonts w:ascii="Arial" w:hAnsi="Arial" w:cs="Arial"/>
                <w:b w:val="0"/>
                <w:bCs w:val="0"/>
              </w:rPr>
              <w:t>polyethylenimine (PEI)</w:t>
            </w:r>
            <w:r>
              <w:rPr>
                <w:rFonts w:ascii="Arial" w:hAnsi="Arial" w:cs="Arial"/>
                <w:b w:val="0"/>
                <w:bCs w:val="0"/>
              </w:rPr>
              <w:t xml:space="preserve"> MAX</w:t>
            </w:r>
          </w:p>
        </w:tc>
        <w:tc>
          <w:tcPr>
            <w:tcW w:w="1714" w:type="dxa"/>
            <w:shd w:val="clear" w:color="auto" w:fill="F2F2F2" w:themeFill="background1" w:themeFillShade="F2"/>
          </w:tcPr>
          <w:p w14:paraId="5B377E67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Polysciences</w:t>
            </w:r>
          </w:p>
        </w:tc>
        <w:tc>
          <w:tcPr>
            <w:tcW w:w="1714" w:type="dxa"/>
            <w:shd w:val="clear" w:color="auto" w:fill="F2F2F2" w:themeFill="background1" w:themeFillShade="F2"/>
          </w:tcPr>
          <w:p w14:paraId="7AF919BE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 xml:space="preserve">Cat#: </w:t>
            </w:r>
            <w:r>
              <w:rPr>
                <w:rFonts w:ascii="Arial" w:hAnsi="Arial" w:cs="Arial"/>
                <w:szCs w:val="21"/>
              </w:rPr>
              <w:t>24765-1</w:t>
            </w:r>
          </w:p>
        </w:tc>
      </w:tr>
      <w:tr w:rsidR="00FF02B2" w:rsidRPr="008B2B68" w14:paraId="5C84C469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shd w:val="clear" w:color="auto" w:fill="auto"/>
          </w:tcPr>
          <w:p w14:paraId="3E652A8A" w14:textId="77777777" w:rsidR="00FF02B2" w:rsidRPr="00D94999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957358">
              <w:rPr>
                <w:rFonts w:ascii="Arial" w:hAnsi="Arial" w:cs="Arial"/>
                <w:b w:val="0"/>
                <w:bCs w:val="0"/>
              </w:rPr>
              <w:t>InterceptTM blocking buffer</w:t>
            </w:r>
          </w:p>
        </w:tc>
        <w:tc>
          <w:tcPr>
            <w:tcW w:w="1714" w:type="dxa"/>
            <w:shd w:val="clear" w:color="auto" w:fill="auto"/>
          </w:tcPr>
          <w:p w14:paraId="4A1DB404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LI-COR Biosciences</w:t>
            </w:r>
          </w:p>
        </w:tc>
        <w:tc>
          <w:tcPr>
            <w:tcW w:w="1714" w:type="dxa"/>
            <w:shd w:val="clear" w:color="auto" w:fill="auto"/>
          </w:tcPr>
          <w:p w14:paraId="708FED05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 xml:space="preserve">Cat#: </w:t>
            </w:r>
            <w:r>
              <w:rPr>
                <w:rFonts w:ascii="Arial" w:hAnsi="Arial" w:cs="Arial"/>
                <w:szCs w:val="21"/>
              </w:rPr>
              <w:t>927-60003</w:t>
            </w:r>
          </w:p>
        </w:tc>
      </w:tr>
      <w:tr w:rsidR="00FF02B2" w:rsidRPr="008B2B68" w14:paraId="1878E40D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  <w:shd w:val="clear" w:color="auto" w:fill="F2F2F2" w:themeFill="background1" w:themeFillShade="F2"/>
          </w:tcPr>
          <w:p w14:paraId="6C6FEA0D" w14:textId="77777777" w:rsidR="00FF02B2" w:rsidRPr="00957358" w:rsidRDefault="00FF02B2" w:rsidP="009E277A">
            <w:pPr>
              <w:rPr>
                <w:rFonts w:ascii="Arial" w:hAnsi="Arial" w:cs="Arial"/>
              </w:rPr>
            </w:pPr>
            <w:r w:rsidRPr="00160949">
              <w:rPr>
                <w:rFonts w:ascii="Arial" w:hAnsi="Arial" w:cs="Arial"/>
                <w:b w:val="0"/>
                <w:bCs w:val="0"/>
              </w:rPr>
              <w:t>TNF-α</w:t>
            </w:r>
          </w:p>
        </w:tc>
        <w:tc>
          <w:tcPr>
            <w:tcW w:w="1714" w:type="dxa"/>
            <w:shd w:val="clear" w:color="auto" w:fill="F2F2F2" w:themeFill="background1" w:themeFillShade="F2"/>
          </w:tcPr>
          <w:p w14:paraId="1C72E2DF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  <w:szCs w:val="21"/>
              </w:rPr>
              <w:t>Thermo Fisher Scientific</w:t>
            </w:r>
          </w:p>
        </w:tc>
        <w:tc>
          <w:tcPr>
            <w:tcW w:w="1714" w:type="dxa"/>
            <w:shd w:val="clear" w:color="auto" w:fill="F2F2F2" w:themeFill="background1" w:themeFillShade="F2"/>
          </w:tcPr>
          <w:p w14:paraId="7E763915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 xml:space="preserve">Cat#: </w:t>
            </w:r>
            <w:r>
              <w:rPr>
                <w:rFonts w:ascii="Arial" w:hAnsi="Arial" w:cs="Arial"/>
                <w:szCs w:val="21"/>
              </w:rPr>
              <w:t>PHC3013</w:t>
            </w:r>
          </w:p>
        </w:tc>
      </w:tr>
    </w:tbl>
    <w:p w14:paraId="70D17F4A" w14:textId="77777777" w:rsidR="00FF02B2" w:rsidRDefault="00FF02B2" w:rsidP="00FF02B2"/>
    <w:tbl>
      <w:tblPr>
        <w:tblStyle w:val="ListTable6Colorful"/>
        <w:tblW w:w="8222" w:type="dxa"/>
        <w:tblLayout w:type="fixed"/>
        <w:tblLook w:val="04A0" w:firstRow="1" w:lastRow="0" w:firstColumn="1" w:lastColumn="0" w:noHBand="0" w:noVBand="1"/>
      </w:tblPr>
      <w:tblGrid>
        <w:gridCol w:w="3838"/>
        <w:gridCol w:w="1461"/>
        <w:gridCol w:w="2002"/>
        <w:gridCol w:w="921"/>
      </w:tblGrid>
      <w:tr w:rsidR="00FF02B2" w:rsidRPr="00140909" w14:paraId="6873F043" w14:textId="77777777" w:rsidTr="009E27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8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300D3F68" w14:textId="77777777" w:rsidR="00FF02B2" w:rsidRPr="00140909" w:rsidRDefault="00FF02B2" w:rsidP="009E277A">
            <w:pPr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/>
                <w:color w:val="C45911" w:themeColor="accent2" w:themeShade="BF"/>
              </w:rPr>
              <w:t>Reagent</w:t>
            </w:r>
            <w:r>
              <w:rPr>
                <w:rFonts w:ascii="Arial" w:hAnsi="Arial" w:cs="Arial"/>
                <w:color w:val="C45911" w:themeColor="accent2" w:themeShade="BF"/>
              </w:rPr>
              <w:t xml:space="preserve"> or resource</w:t>
            </w:r>
          </w:p>
        </w:tc>
        <w:tc>
          <w:tcPr>
            <w:tcW w:w="1461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074646A3" w14:textId="77777777" w:rsidR="00FF02B2" w:rsidRPr="00140909" w:rsidRDefault="00FF02B2" w:rsidP="009E27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 w:hint="eastAsia"/>
                <w:color w:val="C45911" w:themeColor="accent2" w:themeShade="BF"/>
              </w:rPr>
              <w:t>S</w:t>
            </w:r>
            <w:r w:rsidRPr="00140909">
              <w:rPr>
                <w:rFonts w:ascii="Arial" w:hAnsi="Arial" w:cs="Arial"/>
                <w:color w:val="C45911" w:themeColor="accent2" w:themeShade="BF"/>
              </w:rPr>
              <w:t>ource</w:t>
            </w:r>
          </w:p>
        </w:tc>
        <w:tc>
          <w:tcPr>
            <w:tcW w:w="2002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2E108421" w14:textId="77777777" w:rsidR="00FF02B2" w:rsidRPr="00140909" w:rsidRDefault="00FF02B2" w:rsidP="009E27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 w:hint="eastAsia"/>
                <w:color w:val="C45911" w:themeColor="accent2" w:themeShade="BF"/>
              </w:rPr>
              <w:t>I</w:t>
            </w:r>
            <w:r w:rsidRPr="00140909">
              <w:rPr>
                <w:rFonts w:ascii="Arial" w:hAnsi="Arial" w:cs="Arial"/>
                <w:color w:val="C45911" w:themeColor="accent2" w:themeShade="BF"/>
              </w:rPr>
              <w:t>dentifier</w:t>
            </w:r>
          </w:p>
        </w:tc>
        <w:tc>
          <w:tcPr>
            <w:tcW w:w="921" w:type="dxa"/>
            <w:tcBorders>
              <w:top w:val="single" w:sz="12" w:space="0" w:color="C45911" w:themeColor="accent2" w:themeShade="BF"/>
            </w:tcBorders>
          </w:tcPr>
          <w:p w14:paraId="4AA9A035" w14:textId="77777777" w:rsidR="00FF02B2" w:rsidRPr="00140909" w:rsidRDefault="00FF02B2" w:rsidP="009E277A">
            <w:pPr>
              <w:ind w:left="105" w:hangingChars="50" w:hanging="10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45911" w:themeColor="accent2" w:themeShade="BF"/>
              </w:rPr>
            </w:pPr>
          </w:p>
        </w:tc>
      </w:tr>
      <w:tr w:rsidR="00FF02B2" w:rsidRPr="00140909" w14:paraId="054B652D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gridSpan w:val="4"/>
            <w:tcBorders>
              <w:top w:val="single" w:sz="8" w:space="0" w:color="C45911" w:themeColor="accent2" w:themeShade="BF"/>
              <w:bottom w:val="single" w:sz="8" w:space="0" w:color="C45911" w:themeColor="accent2" w:themeShade="BF"/>
            </w:tcBorders>
            <w:shd w:val="clear" w:color="auto" w:fill="auto"/>
          </w:tcPr>
          <w:p w14:paraId="42D52078" w14:textId="77777777" w:rsidR="00FF02B2" w:rsidRPr="00140909" w:rsidRDefault="00FF02B2" w:rsidP="009E277A">
            <w:pPr>
              <w:rPr>
                <w:rFonts w:ascii="Arial" w:hAnsi="Arial" w:cs="Arial"/>
                <w:b w:val="0"/>
                <w:bCs w:val="0"/>
                <w:color w:val="C45911" w:themeColor="accent2" w:themeShade="BF"/>
              </w:rPr>
            </w:pPr>
            <w:r>
              <w:rPr>
                <w:rFonts w:ascii="Arial" w:hAnsi="Arial" w:cs="Arial"/>
                <w:b w:val="0"/>
                <w:bCs w:val="0"/>
                <w:color w:val="C45911" w:themeColor="accent2" w:themeShade="BF"/>
              </w:rPr>
              <w:lastRenderedPageBreak/>
              <w:t>Experimental cell lines</w:t>
            </w:r>
          </w:p>
        </w:tc>
      </w:tr>
      <w:tr w:rsidR="00FF02B2" w:rsidRPr="008B2B68" w14:paraId="50389112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8" w:type="dxa"/>
            <w:tcBorders>
              <w:top w:val="single" w:sz="8" w:space="0" w:color="C45911" w:themeColor="accent2" w:themeShade="BF"/>
            </w:tcBorders>
            <w:shd w:val="clear" w:color="auto" w:fill="auto"/>
          </w:tcPr>
          <w:p w14:paraId="38753110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HEK-293T</w:t>
            </w:r>
          </w:p>
        </w:tc>
        <w:tc>
          <w:tcPr>
            <w:tcW w:w="1461" w:type="dxa"/>
            <w:tcBorders>
              <w:top w:val="single" w:sz="8" w:space="0" w:color="C45911" w:themeColor="accent2" w:themeShade="BF"/>
            </w:tcBorders>
            <w:shd w:val="clear" w:color="auto" w:fill="auto"/>
          </w:tcPr>
          <w:p w14:paraId="02E7F1C2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ATCC</w:t>
            </w:r>
          </w:p>
        </w:tc>
        <w:tc>
          <w:tcPr>
            <w:tcW w:w="2002" w:type="dxa"/>
            <w:tcBorders>
              <w:top w:val="single" w:sz="8" w:space="0" w:color="C45911" w:themeColor="accent2" w:themeShade="BF"/>
            </w:tcBorders>
            <w:shd w:val="clear" w:color="auto" w:fill="auto"/>
          </w:tcPr>
          <w:p w14:paraId="173242C5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 xml:space="preserve">Cat#: </w:t>
            </w:r>
            <w:r>
              <w:rPr>
                <w:rFonts w:ascii="Arial" w:hAnsi="Arial" w:cs="Arial"/>
              </w:rPr>
              <w:t>CRL-3216</w:t>
            </w:r>
          </w:p>
        </w:tc>
        <w:tc>
          <w:tcPr>
            <w:tcW w:w="921" w:type="dxa"/>
            <w:tcBorders>
              <w:top w:val="single" w:sz="8" w:space="0" w:color="C45911" w:themeColor="accent2" w:themeShade="BF"/>
            </w:tcBorders>
            <w:shd w:val="clear" w:color="auto" w:fill="auto"/>
          </w:tcPr>
          <w:p w14:paraId="7E38483F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54129C4F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8" w:type="dxa"/>
            <w:shd w:val="clear" w:color="auto" w:fill="F2F2F2" w:themeFill="background1" w:themeFillShade="F2"/>
          </w:tcPr>
          <w:p w14:paraId="252246DE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Hela-TL</w:t>
            </w:r>
          </w:p>
        </w:tc>
        <w:tc>
          <w:tcPr>
            <w:tcW w:w="1461" w:type="dxa"/>
            <w:shd w:val="clear" w:color="auto" w:fill="F2F2F2" w:themeFill="background1" w:themeFillShade="F2"/>
          </w:tcPr>
          <w:p w14:paraId="2F0578A2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002" w:type="dxa"/>
            <w:shd w:val="clear" w:color="auto" w:fill="F2F2F2" w:themeFill="background1" w:themeFillShade="F2"/>
          </w:tcPr>
          <w:p w14:paraId="7FF1AB5A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21" w:type="dxa"/>
            <w:shd w:val="clear" w:color="auto" w:fill="F2F2F2" w:themeFill="background1" w:themeFillShade="F2"/>
          </w:tcPr>
          <w:p w14:paraId="754786FD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77FD8DFB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8" w:type="dxa"/>
            <w:shd w:val="clear" w:color="auto" w:fill="auto"/>
          </w:tcPr>
          <w:p w14:paraId="69035B0A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Huh7</w:t>
            </w:r>
          </w:p>
        </w:tc>
        <w:tc>
          <w:tcPr>
            <w:tcW w:w="1461" w:type="dxa"/>
            <w:shd w:val="clear" w:color="auto" w:fill="auto"/>
          </w:tcPr>
          <w:p w14:paraId="40C86E64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Elabscience</w:t>
            </w:r>
          </w:p>
        </w:tc>
        <w:tc>
          <w:tcPr>
            <w:tcW w:w="2002" w:type="dxa"/>
            <w:shd w:val="clear" w:color="auto" w:fill="auto"/>
          </w:tcPr>
          <w:p w14:paraId="643FD169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 xml:space="preserve">Cat#: </w:t>
            </w:r>
            <w:r>
              <w:rPr>
                <w:rFonts w:ascii="Arial" w:hAnsi="Arial" w:cs="Arial"/>
              </w:rPr>
              <w:t>EP-CL-0120</w:t>
            </w:r>
          </w:p>
        </w:tc>
        <w:tc>
          <w:tcPr>
            <w:tcW w:w="921" w:type="dxa"/>
            <w:shd w:val="clear" w:color="auto" w:fill="auto"/>
          </w:tcPr>
          <w:p w14:paraId="7F51963D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4BE3A232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8" w:type="dxa"/>
            <w:shd w:val="clear" w:color="auto" w:fill="F2F2F2" w:themeFill="background1" w:themeFillShade="F2"/>
          </w:tcPr>
          <w:p w14:paraId="553CBEB5" w14:textId="77777777" w:rsidR="00FF02B2" w:rsidRPr="009955C9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B16F10-TL</w:t>
            </w:r>
          </w:p>
        </w:tc>
        <w:tc>
          <w:tcPr>
            <w:tcW w:w="1461" w:type="dxa"/>
            <w:shd w:val="clear" w:color="auto" w:fill="F2F2F2" w:themeFill="background1" w:themeFillShade="F2"/>
          </w:tcPr>
          <w:p w14:paraId="166D0E95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  <w:r w:rsidRPr="008B2B68">
              <w:rPr>
                <w:rFonts w:ascii="Arial" w:hAnsi="Arial" w:cs="Arial"/>
                <w:szCs w:val="21"/>
              </w:rPr>
              <w:t xml:space="preserve"> </w:t>
            </w:r>
          </w:p>
        </w:tc>
        <w:tc>
          <w:tcPr>
            <w:tcW w:w="2002" w:type="dxa"/>
            <w:shd w:val="clear" w:color="auto" w:fill="F2F2F2" w:themeFill="background1" w:themeFillShade="F2"/>
          </w:tcPr>
          <w:p w14:paraId="70D52206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21" w:type="dxa"/>
            <w:shd w:val="clear" w:color="auto" w:fill="F2F2F2" w:themeFill="background1" w:themeFillShade="F2"/>
          </w:tcPr>
          <w:p w14:paraId="3B872D5A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035AD742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8" w:type="dxa"/>
            <w:shd w:val="clear" w:color="auto" w:fill="FFFFFF" w:themeFill="background1"/>
          </w:tcPr>
          <w:p w14:paraId="76D24375" w14:textId="77777777" w:rsidR="00FF02B2" w:rsidRPr="00C600ED" w:rsidRDefault="00FF02B2" w:rsidP="009E277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 w:val="0"/>
                <w:bCs w:val="0"/>
              </w:rPr>
              <w:t>MSC-TL</w:t>
            </w:r>
          </w:p>
        </w:tc>
        <w:tc>
          <w:tcPr>
            <w:tcW w:w="1461" w:type="dxa"/>
            <w:shd w:val="clear" w:color="auto" w:fill="FFFFFF" w:themeFill="background1"/>
          </w:tcPr>
          <w:p w14:paraId="7B72E3E6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002" w:type="dxa"/>
            <w:shd w:val="clear" w:color="auto" w:fill="FFFFFF" w:themeFill="background1"/>
          </w:tcPr>
          <w:p w14:paraId="019DED43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21" w:type="dxa"/>
            <w:shd w:val="clear" w:color="auto" w:fill="FFFFFF" w:themeFill="background1"/>
          </w:tcPr>
          <w:p w14:paraId="22A3DCD0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0BBBCD36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8" w:type="dxa"/>
            <w:shd w:val="clear" w:color="auto" w:fill="F2F2F2" w:themeFill="background1" w:themeFillShade="F2"/>
          </w:tcPr>
          <w:p w14:paraId="4F00A6BA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Raw264.7-TL</w:t>
            </w:r>
          </w:p>
        </w:tc>
        <w:tc>
          <w:tcPr>
            <w:tcW w:w="1461" w:type="dxa"/>
            <w:shd w:val="clear" w:color="auto" w:fill="F2F2F2" w:themeFill="background1" w:themeFillShade="F2"/>
          </w:tcPr>
          <w:p w14:paraId="6709020D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002" w:type="dxa"/>
            <w:shd w:val="clear" w:color="auto" w:fill="F2F2F2" w:themeFill="background1" w:themeFillShade="F2"/>
          </w:tcPr>
          <w:p w14:paraId="5FA09206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21" w:type="dxa"/>
            <w:shd w:val="clear" w:color="auto" w:fill="F2F2F2" w:themeFill="background1" w:themeFillShade="F2"/>
          </w:tcPr>
          <w:p w14:paraId="2E0EE033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70000073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8" w:type="dxa"/>
            <w:shd w:val="clear" w:color="auto" w:fill="FFFFFF" w:themeFill="background1"/>
          </w:tcPr>
          <w:p w14:paraId="3EBC4B70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THP-1-TL</w:t>
            </w:r>
          </w:p>
        </w:tc>
        <w:tc>
          <w:tcPr>
            <w:tcW w:w="1461" w:type="dxa"/>
            <w:shd w:val="clear" w:color="auto" w:fill="FFFFFF" w:themeFill="background1"/>
          </w:tcPr>
          <w:p w14:paraId="58A6D1B7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002" w:type="dxa"/>
            <w:shd w:val="clear" w:color="auto" w:fill="FFFFFF" w:themeFill="background1"/>
          </w:tcPr>
          <w:p w14:paraId="12C84501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21" w:type="dxa"/>
            <w:shd w:val="clear" w:color="auto" w:fill="FFFFFF" w:themeFill="background1"/>
          </w:tcPr>
          <w:p w14:paraId="280C03F1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29A61AFD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8" w:type="dxa"/>
            <w:shd w:val="clear" w:color="auto" w:fill="F2F2F2" w:themeFill="background1" w:themeFillShade="F2"/>
          </w:tcPr>
          <w:p w14:paraId="4B1E3C0E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K562-TL</w:t>
            </w:r>
          </w:p>
        </w:tc>
        <w:tc>
          <w:tcPr>
            <w:tcW w:w="1461" w:type="dxa"/>
            <w:shd w:val="clear" w:color="auto" w:fill="F2F2F2" w:themeFill="background1" w:themeFillShade="F2"/>
          </w:tcPr>
          <w:p w14:paraId="61F2BDB9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002" w:type="dxa"/>
            <w:shd w:val="clear" w:color="auto" w:fill="F2F2F2" w:themeFill="background1" w:themeFillShade="F2"/>
          </w:tcPr>
          <w:p w14:paraId="38655DD7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21" w:type="dxa"/>
            <w:shd w:val="clear" w:color="auto" w:fill="F2F2F2" w:themeFill="background1" w:themeFillShade="F2"/>
          </w:tcPr>
          <w:p w14:paraId="23CDCFB5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666372B5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8" w:type="dxa"/>
            <w:shd w:val="clear" w:color="auto" w:fill="FFFFFF" w:themeFill="background1"/>
          </w:tcPr>
          <w:p w14:paraId="64661348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HEK-SL</w:t>
            </w:r>
          </w:p>
        </w:tc>
        <w:tc>
          <w:tcPr>
            <w:tcW w:w="1461" w:type="dxa"/>
            <w:shd w:val="clear" w:color="auto" w:fill="FFFFFF" w:themeFill="background1"/>
          </w:tcPr>
          <w:p w14:paraId="3AFE93EA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Pieter Vader’s lab</w:t>
            </w:r>
          </w:p>
        </w:tc>
        <w:tc>
          <w:tcPr>
            <w:tcW w:w="2002" w:type="dxa"/>
            <w:shd w:val="clear" w:color="auto" w:fill="FFFFFF" w:themeFill="background1"/>
          </w:tcPr>
          <w:p w14:paraId="537D3AEB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21" w:type="dxa"/>
            <w:shd w:val="clear" w:color="auto" w:fill="FFFFFF" w:themeFill="background1"/>
          </w:tcPr>
          <w:p w14:paraId="064A2B15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543D28BC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8" w:type="dxa"/>
            <w:shd w:val="clear" w:color="auto" w:fill="F2F2F2" w:themeFill="background1" w:themeFillShade="F2"/>
          </w:tcPr>
          <w:p w14:paraId="10347ECC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MSC-TL</w:t>
            </w:r>
          </w:p>
        </w:tc>
        <w:tc>
          <w:tcPr>
            <w:tcW w:w="1461" w:type="dxa"/>
            <w:shd w:val="clear" w:color="auto" w:fill="F2F2F2" w:themeFill="background1" w:themeFillShade="F2"/>
          </w:tcPr>
          <w:p w14:paraId="48F100F2" w14:textId="77777777" w:rsidR="00FF02B2" w:rsidRPr="009955C9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002" w:type="dxa"/>
            <w:shd w:val="clear" w:color="auto" w:fill="F2F2F2" w:themeFill="background1" w:themeFillShade="F2"/>
          </w:tcPr>
          <w:p w14:paraId="60BE1D87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21" w:type="dxa"/>
            <w:shd w:val="clear" w:color="auto" w:fill="F2F2F2" w:themeFill="background1" w:themeFillShade="F2"/>
          </w:tcPr>
          <w:p w14:paraId="787FA72C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6A49D534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8" w:type="dxa"/>
            <w:shd w:val="clear" w:color="auto" w:fill="FFFFFF" w:themeFill="background1"/>
          </w:tcPr>
          <w:p w14:paraId="4950A7E9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T47D-TL</w:t>
            </w:r>
          </w:p>
        </w:tc>
        <w:tc>
          <w:tcPr>
            <w:tcW w:w="1461" w:type="dxa"/>
            <w:shd w:val="clear" w:color="auto" w:fill="FFFFFF" w:themeFill="background1"/>
          </w:tcPr>
          <w:p w14:paraId="364679E6" w14:textId="77777777" w:rsidR="00FF02B2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This study</w:t>
            </w:r>
          </w:p>
        </w:tc>
        <w:tc>
          <w:tcPr>
            <w:tcW w:w="2002" w:type="dxa"/>
            <w:shd w:val="clear" w:color="auto" w:fill="FFFFFF" w:themeFill="background1"/>
          </w:tcPr>
          <w:p w14:paraId="48BF47BE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21" w:type="dxa"/>
            <w:shd w:val="clear" w:color="auto" w:fill="FFFFFF" w:themeFill="background1"/>
          </w:tcPr>
          <w:p w14:paraId="6D302008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05951EAE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8" w:type="dxa"/>
            <w:shd w:val="clear" w:color="auto" w:fill="F2F2F2" w:themeFill="background1" w:themeFillShade="F2"/>
          </w:tcPr>
          <w:p w14:paraId="2D85274D" w14:textId="77777777" w:rsidR="00FF02B2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HEK-Blue-</w:t>
            </w:r>
            <w:r w:rsidRPr="00CF30C7">
              <w:rPr>
                <w:rFonts w:ascii="Arial" w:hAnsi="Arial" w:cs="Arial"/>
                <w:b w:val="0"/>
                <w:bCs w:val="0"/>
              </w:rPr>
              <w:t>NF-ĸB</w:t>
            </w:r>
          </w:p>
        </w:tc>
        <w:tc>
          <w:tcPr>
            <w:tcW w:w="1461" w:type="dxa"/>
            <w:shd w:val="clear" w:color="auto" w:fill="F2F2F2" w:themeFill="background1" w:themeFillShade="F2"/>
          </w:tcPr>
          <w:p w14:paraId="68416EAA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InvivoGen</w:t>
            </w:r>
          </w:p>
        </w:tc>
        <w:tc>
          <w:tcPr>
            <w:tcW w:w="2002" w:type="dxa"/>
            <w:shd w:val="clear" w:color="auto" w:fill="F2F2F2" w:themeFill="background1" w:themeFillShade="F2"/>
          </w:tcPr>
          <w:p w14:paraId="313F6AB7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21" w:type="dxa"/>
            <w:shd w:val="clear" w:color="auto" w:fill="F2F2F2" w:themeFill="background1" w:themeFillShade="F2"/>
          </w:tcPr>
          <w:p w14:paraId="68EDCB17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14:paraId="44C6AD36" w14:textId="77777777" w:rsidR="00FF02B2" w:rsidRDefault="00FF02B2" w:rsidP="00FF02B2"/>
    <w:tbl>
      <w:tblPr>
        <w:tblStyle w:val="ListTable6Colorful"/>
        <w:tblW w:w="8222" w:type="dxa"/>
        <w:tblLayout w:type="fixed"/>
        <w:tblLook w:val="04A0" w:firstRow="1" w:lastRow="0" w:firstColumn="1" w:lastColumn="0" w:noHBand="0" w:noVBand="1"/>
      </w:tblPr>
      <w:tblGrid>
        <w:gridCol w:w="3838"/>
        <w:gridCol w:w="1461"/>
        <w:gridCol w:w="2002"/>
        <w:gridCol w:w="921"/>
      </w:tblGrid>
      <w:tr w:rsidR="00FF02B2" w:rsidRPr="00140909" w14:paraId="7A86E849" w14:textId="77777777" w:rsidTr="009E27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1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14EFCCB5" w14:textId="77777777" w:rsidR="00FF02B2" w:rsidRPr="00140909" w:rsidRDefault="00FF02B2" w:rsidP="009E277A">
            <w:pPr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/>
                <w:color w:val="C45911" w:themeColor="accent2" w:themeShade="BF"/>
              </w:rPr>
              <w:t>Reagent</w:t>
            </w:r>
            <w:r>
              <w:rPr>
                <w:rFonts w:ascii="Arial" w:hAnsi="Arial" w:cs="Arial"/>
                <w:color w:val="C45911" w:themeColor="accent2" w:themeShade="BF"/>
              </w:rPr>
              <w:t xml:space="preserve"> or resource</w:t>
            </w:r>
          </w:p>
        </w:tc>
        <w:tc>
          <w:tcPr>
            <w:tcW w:w="1842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4E8CF84C" w14:textId="77777777" w:rsidR="00FF02B2" w:rsidRPr="00140909" w:rsidRDefault="00FF02B2" w:rsidP="009E27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 w:hint="eastAsia"/>
                <w:color w:val="C45911" w:themeColor="accent2" w:themeShade="BF"/>
              </w:rPr>
              <w:t>S</w:t>
            </w:r>
            <w:r w:rsidRPr="00140909">
              <w:rPr>
                <w:rFonts w:ascii="Arial" w:hAnsi="Arial" w:cs="Arial"/>
                <w:color w:val="C45911" w:themeColor="accent2" w:themeShade="BF"/>
              </w:rPr>
              <w:t>ource</w:t>
            </w:r>
          </w:p>
        </w:tc>
        <w:tc>
          <w:tcPr>
            <w:tcW w:w="2552" w:type="dxa"/>
            <w:tcBorders>
              <w:top w:val="single" w:sz="12" w:space="0" w:color="C45911" w:themeColor="accent2" w:themeShade="BF"/>
              <w:bottom w:val="single" w:sz="8" w:space="0" w:color="C45911" w:themeColor="accent2" w:themeShade="BF"/>
            </w:tcBorders>
          </w:tcPr>
          <w:p w14:paraId="111E4C76" w14:textId="77777777" w:rsidR="00FF02B2" w:rsidRPr="00140909" w:rsidRDefault="00FF02B2" w:rsidP="009E27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45911" w:themeColor="accent2" w:themeShade="BF"/>
              </w:rPr>
            </w:pPr>
            <w:r w:rsidRPr="00140909">
              <w:rPr>
                <w:rFonts w:ascii="Arial" w:hAnsi="Arial" w:cs="Arial" w:hint="eastAsia"/>
                <w:color w:val="C45911" w:themeColor="accent2" w:themeShade="BF"/>
              </w:rPr>
              <w:t>I</w:t>
            </w:r>
            <w:r w:rsidRPr="00140909">
              <w:rPr>
                <w:rFonts w:ascii="Arial" w:hAnsi="Arial" w:cs="Arial"/>
                <w:color w:val="C45911" w:themeColor="accent2" w:themeShade="BF"/>
              </w:rPr>
              <w:t>dentifier</w:t>
            </w:r>
          </w:p>
        </w:tc>
        <w:tc>
          <w:tcPr>
            <w:tcW w:w="1134" w:type="dxa"/>
            <w:tcBorders>
              <w:top w:val="single" w:sz="12" w:space="0" w:color="C45911" w:themeColor="accent2" w:themeShade="BF"/>
            </w:tcBorders>
          </w:tcPr>
          <w:p w14:paraId="5267FDF8" w14:textId="77777777" w:rsidR="00FF02B2" w:rsidRPr="00140909" w:rsidRDefault="00FF02B2" w:rsidP="009E277A">
            <w:pPr>
              <w:ind w:left="105" w:hangingChars="50" w:hanging="10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45911" w:themeColor="accent2" w:themeShade="BF"/>
              </w:rPr>
            </w:pPr>
          </w:p>
        </w:tc>
      </w:tr>
      <w:tr w:rsidR="00FF02B2" w:rsidRPr="00140909" w14:paraId="62F4624E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1" w:type="dxa"/>
            <w:gridSpan w:val="4"/>
            <w:tcBorders>
              <w:top w:val="single" w:sz="8" w:space="0" w:color="C45911" w:themeColor="accent2" w:themeShade="BF"/>
              <w:bottom w:val="single" w:sz="8" w:space="0" w:color="C45911" w:themeColor="accent2" w:themeShade="BF"/>
            </w:tcBorders>
            <w:shd w:val="clear" w:color="auto" w:fill="auto"/>
          </w:tcPr>
          <w:p w14:paraId="248A2684" w14:textId="77777777" w:rsidR="00FF02B2" w:rsidRPr="00140909" w:rsidRDefault="00FF02B2" w:rsidP="009E277A">
            <w:pPr>
              <w:rPr>
                <w:rFonts w:ascii="Arial" w:hAnsi="Arial" w:cs="Arial"/>
                <w:b w:val="0"/>
                <w:bCs w:val="0"/>
                <w:color w:val="C45911" w:themeColor="accent2" w:themeShade="BF"/>
              </w:rPr>
            </w:pPr>
            <w:r>
              <w:rPr>
                <w:rFonts w:ascii="Arial" w:hAnsi="Arial" w:cs="Arial"/>
                <w:b w:val="0"/>
                <w:bCs w:val="0"/>
                <w:color w:val="C45911" w:themeColor="accent2" w:themeShade="BF"/>
              </w:rPr>
              <w:t>Experimental animals</w:t>
            </w:r>
          </w:p>
        </w:tc>
      </w:tr>
      <w:tr w:rsidR="00FF02B2" w:rsidRPr="008B2B68" w14:paraId="1AD37CC8" w14:textId="77777777" w:rsidTr="009E27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1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546C27B2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5E2910">
              <w:rPr>
                <w:rFonts w:ascii="Arial" w:hAnsi="Arial" w:cs="Arial"/>
                <w:b w:val="0"/>
                <w:bCs w:val="0"/>
              </w:rPr>
              <w:t>C57BL/6J mice</w:t>
            </w:r>
          </w:p>
        </w:tc>
        <w:tc>
          <w:tcPr>
            <w:tcW w:w="1842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543BBDF1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E2910">
              <w:rPr>
                <w:rFonts w:ascii="Arial" w:hAnsi="Arial" w:cs="Arial"/>
              </w:rPr>
              <w:t>Charles River Laboratories</w:t>
            </w:r>
          </w:p>
        </w:tc>
        <w:tc>
          <w:tcPr>
            <w:tcW w:w="2552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12F29E12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2B68">
              <w:rPr>
                <w:rFonts w:ascii="Arial" w:hAnsi="Arial" w:cs="Arial"/>
              </w:rPr>
              <w:t xml:space="preserve">Cat#: </w:t>
            </w:r>
            <w:r>
              <w:rPr>
                <w:rFonts w:ascii="Arial" w:hAnsi="Arial" w:cs="Arial"/>
              </w:rPr>
              <w:t>027</w:t>
            </w:r>
          </w:p>
        </w:tc>
        <w:tc>
          <w:tcPr>
            <w:tcW w:w="1134" w:type="dxa"/>
            <w:tcBorders>
              <w:top w:val="single" w:sz="8" w:space="0" w:color="C45911" w:themeColor="accent2" w:themeShade="BF"/>
            </w:tcBorders>
            <w:shd w:val="clear" w:color="auto" w:fill="F2F2F2" w:themeFill="background1" w:themeFillShade="F2"/>
          </w:tcPr>
          <w:p w14:paraId="00A6D203" w14:textId="77777777" w:rsidR="00FF02B2" w:rsidRPr="008B2B68" w:rsidRDefault="00FF02B2" w:rsidP="009E27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02B2" w:rsidRPr="008B2B68" w14:paraId="33452A9F" w14:textId="77777777" w:rsidTr="009E2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1" w:type="dxa"/>
            <w:shd w:val="clear" w:color="auto" w:fill="auto"/>
          </w:tcPr>
          <w:p w14:paraId="3E66C745" w14:textId="77777777" w:rsidR="00FF02B2" w:rsidRPr="008B2B68" w:rsidRDefault="00FF02B2" w:rsidP="009E277A">
            <w:pPr>
              <w:rPr>
                <w:rFonts w:ascii="Arial" w:hAnsi="Arial" w:cs="Arial"/>
                <w:b w:val="0"/>
                <w:bCs w:val="0"/>
              </w:rPr>
            </w:pPr>
            <w:r w:rsidRPr="005E2910">
              <w:rPr>
                <w:rFonts w:ascii="Arial" w:hAnsi="Arial" w:cs="Arial"/>
                <w:b w:val="0"/>
                <w:bCs w:val="0"/>
              </w:rPr>
              <w:t xml:space="preserve">Cre-LoxP </w:t>
            </w:r>
            <w:r>
              <w:rPr>
                <w:rFonts w:ascii="Arial" w:hAnsi="Arial" w:cs="Arial"/>
                <w:b w:val="0"/>
                <w:bCs w:val="0"/>
              </w:rPr>
              <w:t>R26-LSL-</w:t>
            </w:r>
            <w:r w:rsidRPr="005E2910">
              <w:rPr>
                <w:rFonts w:ascii="Arial" w:hAnsi="Arial" w:cs="Arial"/>
                <w:b w:val="0"/>
                <w:bCs w:val="0"/>
              </w:rPr>
              <w:t xml:space="preserve">tdTomato reporter </w:t>
            </w:r>
            <w:r>
              <w:rPr>
                <w:rFonts w:ascii="Arial" w:hAnsi="Arial" w:cs="Arial"/>
                <w:b w:val="0"/>
                <w:bCs w:val="0"/>
              </w:rPr>
              <w:t>mice</w:t>
            </w:r>
          </w:p>
        </w:tc>
        <w:tc>
          <w:tcPr>
            <w:tcW w:w="1842" w:type="dxa"/>
            <w:shd w:val="clear" w:color="auto" w:fill="auto"/>
          </w:tcPr>
          <w:p w14:paraId="07F77368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E2910">
              <w:rPr>
                <w:rFonts w:ascii="Arial" w:hAnsi="Arial" w:cs="Arial"/>
              </w:rPr>
              <w:t>Jackson Laboratory</w:t>
            </w:r>
          </w:p>
        </w:tc>
        <w:tc>
          <w:tcPr>
            <w:tcW w:w="2552" w:type="dxa"/>
            <w:shd w:val="clear" w:color="auto" w:fill="auto"/>
          </w:tcPr>
          <w:p w14:paraId="3B130398" w14:textId="77777777" w:rsidR="00FF02B2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2B68">
              <w:rPr>
                <w:rFonts w:ascii="Arial" w:hAnsi="Arial" w:cs="Arial"/>
              </w:rPr>
              <w:t>Cat#:</w:t>
            </w:r>
            <w:r w:rsidRPr="008B2B68">
              <w:rPr>
                <w:rFonts w:ascii="Arial" w:hAnsi="Arial" w:cs="Arial"/>
                <w:szCs w:val="21"/>
              </w:rPr>
              <w:t xml:space="preserve"> </w:t>
            </w:r>
            <w:r w:rsidRPr="005E2910">
              <w:rPr>
                <w:rFonts w:ascii="Arial" w:hAnsi="Arial" w:cs="Arial"/>
              </w:rPr>
              <w:t>007914</w:t>
            </w:r>
          </w:p>
          <w:p w14:paraId="637DBB81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auto"/>
          </w:tcPr>
          <w:p w14:paraId="698F232B" w14:textId="77777777" w:rsidR="00FF02B2" w:rsidRPr="008B2B68" w:rsidRDefault="00FF02B2" w:rsidP="009E27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14:paraId="7F80F538" w14:textId="77777777" w:rsidR="00FF02B2" w:rsidRDefault="00FF02B2" w:rsidP="00FF02B2"/>
    <w:p w14:paraId="114C4EEC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377C64AA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3A2E98B0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28A463FE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459CC8C3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2ACEB13D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5672472D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79217744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13E95774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79CCB868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3DCB619F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3E6CE3B5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72687383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2C2463D9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0B174E08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1819465A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1CAC9C13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24EC5348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1943A47C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5309ECC8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3ECD964A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700B625B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7FC93637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6531D13E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43351BB4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67749C9C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7FA8ECCD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0E917667" w14:textId="77777777" w:rsidR="00FF02B2" w:rsidRDefault="00FF02B2" w:rsidP="00FF02B2">
      <w:pPr>
        <w:autoSpaceDE w:val="0"/>
        <w:autoSpaceDN w:val="0"/>
        <w:adjustRightInd w:val="0"/>
        <w:jc w:val="both"/>
      </w:pPr>
    </w:p>
    <w:p w14:paraId="24DA0BBC" w14:textId="77777777" w:rsidR="00BF22EE" w:rsidRDefault="00BF22EE">
      <w:bookmarkStart w:id="0" w:name="_GoBack"/>
      <w:bookmarkEnd w:id="0"/>
    </w:p>
    <w:sectPr w:rsidR="00BF22EE" w:rsidSect="006B6EF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Malgun Gothic Semilight"/>
    <w:panose1 w:val="02020803070505020304"/>
    <w:charset w:val="80"/>
    <w:family w:val="auto"/>
    <w:pitch w:val="default"/>
    <w:sig w:usb0="00000001" w:usb1="08070000" w:usb2="00000010" w:usb3="00000000" w:csb0="00020000" w:csb1="00000000"/>
  </w:font>
  <w:font w:name="TimesNewRomanPSMT">
    <w:altName w:val="Times New Roman"/>
    <w:panose1 w:val="02020603050405020304"/>
    <w:charset w:val="80"/>
    <w:family w:val="auto"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C50A45"/>
    <w:multiLevelType w:val="hybridMultilevel"/>
    <w:tmpl w:val="F89CFA44"/>
    <w:lvl w:ilvl="0" w:tplc="A380F55E">
      <w:start w:val="1"/>
      <w:numFmt w:val="decimal"/>
      <w:lvlText w:val="%1."/>
      <w:lvlJc w:val="left"/>
      <w:pPr>
        <w:ind w:left="360" w:hanging="360"/>
      </w:pPr>
      <w:rPr>
        <w:rFonts w:hint="default"/>
        <w:lang w:val="en-GB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2B2"/>
    <w:rsid w:val="00904EEA"/>
    <w:rsid w:val="00BF22EE"/>
    <w:rsid w:val="00FF0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974B7"/>
  <w15:chartTrackingRefBased/>
  <w15:docId w15:val="{013F8108-E06D-D04F-B971-040F70FC7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F02B2"/>
    <w:rPr>
      <w:rFonts w:ascii="Times New Roman" w:eastAsia="Times New Roman" w:hAnsi="Times New Roman" w:cs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02B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F02B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02B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FF02B2"/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02B2"/>
    <w:rPr>
      <w:rFonts w:eastAsiaTheme="minorEastAsi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2B2"/>
    <w:rPr>
      <w:rFonts w:ascii="Times New Roman" w:hAnsi="Times New Roman" w:cs="Times New Roman"/>
      <w:sz w:val="18"/>
      <w:szCs w:val="18"/>
      <w:lang w:val="en-GB"/>
    </w:rPr>
  </w:style>
  <w:style w:type="paragraph" w:styleId="NormalWeb">
    <w:name w:val="Normal (Web)"/>
    <w:basedOn w:val="Normal"/>
    <w:uiPriority w:val="99"/>
    <w:semiHidden/>
    <w:unhideWhenUsed/>
    <w:rsid w:val="00FF02B2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FF02B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02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02B2"/>
    <w:rPr>
      <w:color w:val="605E5C"/>
      <w:shd w:val="clear" w:color="auto" w:fill="E1DFDD"/>
    </w:rPr>
  </w:style>
  <w:style w:type="character" w:customStyle="1" w:styleId="color15">
    <w:name w:val="color_15"/>
    <w:basedOn w:val="DefaultParagraphFont"/>
    <w:rsid w:val="00FF02B2"/>
  </w:style>
  <w:style w:type="character" w:customStyle="1" w:styleId="ozzzk">
    <w:name w:val="ozzzk"/>
    <w:basedOn w:val="DefaultParagraphFont"/>
    <w:rsid w:val="00FF02B2"/>
  </w:style>
  <w:style w:type="character" w:customStyle="1" w:styleId="mark4hof9343j">
    <w:name w:val="mark4hof9343j"/>
    <w:basedOn w:val="DefaultParagraphFont"/>
    <w:rsid w:val="00FF02B2"/>
  </w:style>
  <w:style w:type="paragraph" w:styleId="Revision">
    <w:name w:val="Revision"/>
    <w:hidden/>
    <w:uiPriority w:val="99"/>
    <w:semiHidden/>
    <w:rsid w:val="00FF02B2"/>
    <w:rPr>
      <w:rFonts w:ascii="Times New Roman" w:eastAsia="Times New Roman" w:hAnsi="Times New Roman" w:cs="Times New Roman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FF02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F02B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02B2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02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02B2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xcontentpasted0">
    <w:name w:val="x_contentpasted0"/>
    <w:basedOn w:val="DefaultParagraphFont"/>
    <w:rsid w:val="00FF02B2"/>
  </w:style>
  <w:style w:type="paragraph" w:styleId="NoSpacing">
    <w:name w:val="No Spacing"/>
    <w:uiPriority w:val="1"/>
    <w:qFormat/>
    <w:rsid w:val="00FF02B2"/>
    <w:rPr>
      <w:rFonts w:ascii="Times New Roman" w:eastAsia="Times New Roman" w:hAnsi="Times New Roman" w:cs="Times New Roman"/>
      <w:lang w:val="en-GB"/>
    </w:rPr>
  </w:style>
  <w:style w:type="character" w:customStyle="1" w:styleId="identifier">
    <w:name w:val="identifier"/>
    <w:basedOn w:val="DefaultParagraphFont"/>
    <w:rsid w:val="00FF02B2"/>
  </w:style>
  <w:style w:type="character" w:customStyle="1" w:styleId="id-label">
    <w:name w:val="id-label"/>
    <w:basedOn w:val="DefaultParagraphFont"/>
    <w:rsid w:val="00FF02B2"/>
  </w:style>
  <w:style w:type="character" w:customStyle="1" w:styleId="cit">
    <w:name w:val="cit"/>
    <w:basedOn w:val="DefaultParagraphFont"/>
    <w:rsid w:val="00FF02B2"/>
  </w:style>
  <w:style w:type="table" w:styleId="ListTable6Colorful">
    <w:name w:val="List Table 6 Colorful"/>
    <w:basedOn w:val="TableNormal"/>
    <w:uiPriority w:val="51"/>
    <w:rsid w:val="00FF02B2"/>
    <w:rPr>
      <w:color w:val="000000" w:themeColor="text1"/>
      <w:kern w:val="2"/>
      <w:sz w:val="21"/>
      <w:szCs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material-name">
    <w:name w:val="material-name"/>
    <w:basedOn w:val="DefaultParagraphFont"/>
    <w:rsid w:val="00FF02B2"/>
  </w:style>
  <w:style w:type="character" w:styleId="PlaceholderText">
    <w:name w:val="Placeholder Text"/>
    <w:basedOn w:val="DefaultParagraphFont"/>
    <w:uiPriority w:val="99"/>
    <w:semiHidden/>
    <w:rsid w:val="00FF02B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3261</Words>
  <Characters>18589</Characters>
  <Application>Microsoft Office Word</Application>
  <DocSecurity>0</DocSecurity>
  <Lines>154</Lines>
  <Paragraphs>43</Paragraphs>
  <ScaleCrop>false</ScaleCrop>
  <Company/>
  <LinksUpToDate>false</LinksUpToDate>
  <CharactersWithSpaces>21807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2023-10-12T17:17:00Z</dcterms:created>
  <dcterms:modified xsi:type="dcterms:W3CDTF">2023-10-12T17:18:00Z</dcterms:modified>
</cp:coreProperties>
</file>