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48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875"/>
        <w:gridCol w:w="1590"/>
        <w:gridCol w:w="1515"/>
        <w:gridCol w:w="1500"/>
        <w:gridCol w:w="1485"/>
        <w:gridCol w:w="690"/>
        <w:gridCol w:w="752"/>
        <w:gridCol w:w="1037"/>
        <w:gridCol w:w="10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637" w:hRule="exact"/>
        </w:trPr>
        <w:tc>
          <w:tcPr>
            <w:tcW w:w="8655" w:type="dxa"/>
            <w:gridSpan w:val="6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abs>
                <w:tab w:val="left" w:pos="7413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hint="default" w:ascii="Times New Roman" w:hAnsi="Times New Roman" w:eastAsia="AdvPS497E2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AdvPS497E2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AdvPS497E2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Baseline characteristics  of  IV stage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pNEN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patients receiving different treatment modalities.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946" w:hRule="exact"/>
        </w:trPr>
        <w:tc>
          <w:tcPr>
            <w:tcW w:w="1875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highlight w:val="none"/>
                <w:shd w:val="clear" w:color="auto" w:fill="auto"/>
              </w:rPr>
            </w:pPr>
          </w:p>
        </w:tc>
        <w:tc>
          <w:tcPr>
            <w:tcW w:w="1590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  <w:t>No surgery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  <w:t>No (%)</w:t>
            </w:r>
          </w:p>
        </w:tc>
        <w:tc>
          <w:tcPr>
            <w:tcW w:w="1515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Only surgery to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>primary site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1500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Only surgery to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regional/distant sites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  <w:t>No (%)</w:t>
            </w:r>
          </w:p>
        </w:tc>
        <w:tc>
          <w:tcPr>
            <w:tcW w:w="1485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Surgery primary plus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regional/distant sites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690" w:type="dxa"/>
            <w:tcBorders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highlight w:val="none"/>
                <w:shd w:val="clear" w:color="auto" w:fill="auto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Case number</w:t>
            </w:r>
          </w:p>
        </w:tc>
        <w:tc>
          <w:tcPr>
            <w:tcW w:w="15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51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5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8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Age (years)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spacing w:val="0"/>
                <w:sz w:val="16"/>
                <w:szCs w:val="16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an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62.5 ± 13.5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57.8 ± 14.2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60.9 ± 9.4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56.9 ± 12.6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Age (years)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≤50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52 (16.1%)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25 (22.1%)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41 (24.6%)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51-60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73 (22.7%)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33 (29.2%)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 (28.6%)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51 (30.5%)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61-70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90 (28.0%)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31 (27.4%)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 (38.1%)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49 (29.3%)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&gt;70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107 (33.2%)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24 (21.2%)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26 (15.6%)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Sex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0.263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Male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201 (62.4%)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65 (57.5%)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 (61.9%)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89 (53.3%)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Femal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121 (37.6%)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48 (42.5%)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 (38.1%)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78 (46.7%)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Race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0.829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White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256 (79.5%)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94 (83.2%)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19 (90.5%)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137 (82.0%)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Black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41 (12.7%)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 (8.8%)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17 (10.2%)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Other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25 (7.8%)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 (8.0%)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 (7.8%)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Marital status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0.319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Married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190 (59.0%)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72 (63.7%)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 (76.2%)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96 (57.5%)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Other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132 (41.0%)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41 (36.3%)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(23.8%)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71 (42.5%)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Insurance status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0.529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Insured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233 (72.4%)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79 (69.9%)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17 (81.0%)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133 (79.6%)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Other status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85 (26.4%)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33 (29.2%)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33 (19.8%)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Unknown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Year of diagnosis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0.298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33 (10.2%)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17 (15.0%)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(9.5%)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20 (12.0%)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32 (9.9%)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 (13.3%)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24 (14.4%)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39 (12.1%)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20 (17.7%)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25 (15.0%)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49 (15.2%)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12 (10.6%)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28 (16.8%)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50 (15.5%)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21 (18.6%)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30 (18.0%)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2015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58 (18.0%)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12 (10.6%)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 (28.6%)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18 (10.8%)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2016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61 (18.9%)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 (14.2%)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22 (13.2%)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Tumor location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Pancreatic head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114 (35.4%)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32 (28.3%)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 (42.9%)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39 (23.4%)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Pancreatic body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23 (7.1%)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 (13.3%)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(23.8%)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 (7.8%)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Pancreatic tail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107 (33.2%)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42 (37.2%)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86 (51.5%)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Other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78 (24.2%)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24 (21.2%)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29 (17.4%)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Grade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Grade I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130 (40.4%)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63 (55.8%)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 (28.6%)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88 (52.7%)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Grade II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72 (22.4%)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30 (26.5%)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 (42.9%)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49 (29.3%)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Grade III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84 (26.1%)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 (14.2%)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22 (13.2%)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Grade IV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36 (11.2%)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(3.5%)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(9.5%)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 (4.8%)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 stage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T1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17 (5.3%)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 (8.8%)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 (4.2%)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T2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151 (46.9%)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26 (23.0%)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 (42.9%)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27 (16.2%)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T3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92 (28.6%)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66 (58.4%)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 (33.3%)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123 (73.7%)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T4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62 (19.3%)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 (9.7%)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(23.8%)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 (6.0%)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 stage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169 (52.5%)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47 (41.6%)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12 (57.1%)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55 (32.9%)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131 (40.7%)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64 (56.6%)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 (42.9%)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111 (66.5%)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NX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22 (6.8%)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(1.8%)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8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Number of metastatic sites of lung, brain, bone and liver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22 (6.8%)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 (14.2%)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 (6.6%)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247 (76.7%)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94 (83.2%)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14 (66.7%)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154 (92.2%)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49 (15.2%)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(1.8%)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(14.3%)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(1.2%)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(0.9%)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4 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Msite bone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289 (89.8%)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109 (96.5%)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 (76.2%)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166 (99.4%)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33 (10.2%)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(3.5%)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(23.8%)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Msite brain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0.079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320 (99.4%)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112 (99.1%)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20 (95.2%)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167 (100.0%)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(0.6%)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Msite liver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39 (12.1%)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19 (16.8%)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14 (8.4%)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283 (87.9%)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94 (83.2%)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17 (81.0%)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153 (91.6%)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Msite lung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282 (87.6%)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110 (97.3%)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21 (100.0%)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163 (97.6%)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40 (12.4%)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 (2.7%)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(2.4%)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6480" w:type="dxa"/>
            <w:gridSpan w:val="4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Surgery to regional/distant sites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322 (100.0%)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113 (100.0%)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21 (100.0%)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167 (100.0%)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Histology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649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Pancreatic endocrine tumor, malignant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(1.6%)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(3.5%)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11 (6.6%)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Insulinoma, malignant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(0.6%)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Glucagonoma, malignant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Gastrinoma, malignant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(0.6%)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 (1.2%)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637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Mixed pancreatic endocrine and exocrine tumor, malignant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(1.6%)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5 (3.0%)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Carcinoid tumor, NOS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83 (25.8%)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36 (31.9%)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4 (19.0%)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34 (20.4%)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595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Mixed adenoneuroendocrine carcinoma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652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39" w:leftChars="66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Adenocarcinoid carcinoma, NOS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202 (62.7%)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63 (55.8%)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15 (71.4%)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100 (59.9%)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3"/>
          <w:wAfter w:w="2826" w:type="dxa"/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Atypical carcinoid tumor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23 (7.1%)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7 (6.2%)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16"/>
                <w:szCs w:val="16"/>
              </w:rPr>
              <w:t>14 (8.4%)</w:t>
            </w:r>
          </w:p>
        </w:tc>
        <w:tc>
          <w:tcPr>
            <w:tcW w:w="6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  <w:lang w:eastAsia="zh-CN"/>
        </w:rPr>
        <w:t xml:space="preserve">No, number of cases; </w:t>
      </w:r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 xml:space="preserve">; Msite, metastatic site or organ; </w:t>
      </w: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val="en-US" w:eastAsia="zh-CN"/>
        </w:rPr>
      </w:pPr>
      <w:r>
        <w:rPr>
          <w:rFonts w:ascii="Arial" w:hAnsi="Arial" w:eastAsia="STIX-Regular" w:cs="Arial"/>
          <w:sz w:val="14"/>
          <w:szCs w:val="14"/>
        </w:rPr>
        <w:t>Categoric variables were compared by using the Pearson</w:t>
      </w:r>
      <w:r>
        <w:rPr>
          <w:rFonts w:ascii="Arial" w:hAnsi="Arial" w:cs="Arial"/>
          <w:sz w:val="14"/>
          <w:szCs w:val="14"/>
        </w:rPr>
        <w:sym w:font="Symbol" w:char="F063"/>
      </w:r>
      <w:r>
        <w:rPr>
          <w:rFonts w:ascii="Arial" w:hAnsi="Arial" w:cs="Arial"/>
          <w:sz w:val="14"/>
          <w:szCs w:val="14"/>
          <w:vertAlign w:val="superscript"/>
        </w:rPr>
        <w:t>2</w:t>
      </w:r>
      <w:r>
        <w:rPr>
          <w:rFonts w:ascii="Arial" w:hAnsi="Arial" w:eastAsia="STIX-Regular" w:cs="Arial"/>
          <w:sz w:val="14"/>
          <w:szCs w:val="14"/>
        </w:rPr>
        <w:t>test, and continuous variables were compared by using the Kruskal-Wallis test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5481"/>
    <w:rsid w:val="0C01709F"/>
    <w:rsid w:val="11E71CF8"/>
    <w:rsid w:val="180C356F"/>
    <w:rsid w:val="1C3234B4"/>
    <w:rsid w:val="1D4E632B"/>
    <w:rsid w:val="27E96F16"/>
    <w:rsid w:val="2C396A69"/>
    <w:rsid w:val="2FD2234D"/>
    <w:rsid w:val="39B15C77"/>
    <w:rsid w:val="40064DB5"/>
    <w:rsid w:val="4F351E39"/>
    <w:rsid w:val="53445385"/>
    <w:rsid w:val="5D3B1252"/>
    <w:rsid w:val="5D47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2021-01-11T08:51:00Z</dcterms:created>
  <dc:creator>jiangyu</dc:creator>
  <cp:lastModifiedBy>jiangyu</cp:lastModifiedBy>
  <dcterms:modified xsi:type="dcterms:W3CDTF">2021-01-19T06:31:48Z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