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894" w:tblpY="48"/>
        <w:tblOverlap w:val="never"/>
        <w:tblW w:w="1018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7" w:type="dxa"/>
          <w:left w:w="17" w:type="dxa"/>
          <w:bottom w:w="17" w:type="dxa"/>
          <w:right w:w="17" w:type="dxa"/>
        </w:tblCellMar>
      </w:tblPr>
      <w:tblGrid>
        <w:gridCol w:w="1875"/>
        <w:gridCol w:w="975"/>
        <w:gridCol w:w="990"/>
        <w:gridCol w:w="1170"/>
        <w:gridCol w:w="930"/>
        <w:gridCol w:w="1035"/>
        <w:gridCol w:w="1065"/>
        <w:gridCol w:w="1290"/>
        <w:gridCol w:w="855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475" w:hRule="exact"/>
        </w:trPr>
        <w:tc>
          <w:tcPr>
            <w:tcW w:w="10185" w:type="dxa"/>
            <w:gridSpan w:val="9"/>
            <w:tcBorders>
              <w:top w:val="nil"/>
              <w:bottom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highlight w:val="none"/>
                <w:shd w:val="clear" w:color="auto" w:fill="auto"/>
                <w:lang w:val="en-US" w:eastAsia="zh-CN" w:bidi="ar"/>
              </w:rPr>
            </w:pPr>
            <w:r>
              <w:rPr>
                <w:rFonts w:hint="default" w:ascii="Times New Roman" w:hAnsi="Times New Roman" w:eastAsia="AdvPS497E2" w:cs="Times New Roman"/>
                <w:b w:val="0"/>
                <w:bCs w:val="0"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Supplementary Table 1.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>Baseline characteristics of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IV stage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lang w:val="en-US" w:eastAsia="zh-CN"/>
              </w:rPr>
              <w:t>pNEN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patients receiving different treatment modalities.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946" w:hRule="exact"/>
        </w:trPr>
        <w:tc>
          <w:tcPr>
            <w:tcW w:w="1875" w:type="dxa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highlight w:val="none"/>
                <w:shd w:val="clear" w:color="auto" w:fill="auto"/>
              </w:rPr>
            </w:pPr>
          </w:p>
        </w:tc>
        <w:tc>
          <w:tcPr>
            <w:tcW w:w="975" w:type="dxa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  <w:t>Radiotherapy only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  <w:t>No (%)</w:t>
            </w:r>
          </w:p>
        </w:tc>
        <w:tc>
          <w:tcPr>
            <w:tcW w:w="990" w:type="dxa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Chemotherapy only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No (%)</w:t>
            </w:r>
          </w:p>
        </w:tc>
        <w:tc>
          <w:tcPr>
            <w:tcW w:w="1170" w:type="dxa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  <w:t>Chemoradiotherapy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  <w:t>No (%)</w:t>
            </w:r>
          </w:p>
        </w:tc>
        <w:tc>
          <w:tcPr>
            <w:tcW w:w="930" w:type="dxa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urgery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 xml:space="preserve"> only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No (%)</w:t>
            </w:r>
          </w:p>
        </w:tc>
        <w:tc>
          <w:tcPr>
            <w:tcW w:w="1035" w:type="dxa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urgery+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Radotherapy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No (%)</w:t>
            </w:r>
          </w:p>
        </w:tc>
        <w:tc>
          <w:tcPr>
            <w:tcW w:w="1065" w:type="dxa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urgery+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  <w:t>Chemotherapy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-SA"/>
              </w:rPr>
              <w:t>No (%)</w:t>
            </w:r>
          </w:p>
        </w:tc>
        <w:tc>
          <w:tcPr>
            <w:tcW w:w="1290" w:type="dxa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urgery+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Chemoradiotherapy</w:t>
            </w:r>
          </w:p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4"/>
                <w:szCs w:val="14"/>
                <w:highlight w:val="none"/>
                <w:u w:val="none"/>
                <w:shd w:val="clear" w:color="auto" w:fill="auto"/>
                <w:lang w:val="en-US" w:eastAsia="zh-CN" w:bidi="ar"/>
              </w:rPr>
              <w:t>No (%)</w:t>
            </w:r>
          </w:p>
        </w:tc>
        <w:tc>
          <w:tcPr>
            <w:tcW w:w="855" w:type="dxa"/>
            <w:tcBorders>
              <w:bottom w:val="single" w:color="000000" w:sz="4" w:space="0"/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highlight w:val="none"/>
                <w:shd w:val="clear" w:color="auto" w:fill="auto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highlight w:val="none"/>
                <w:shd w:val="clear" w:color="auto" w:fill="auto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Case number</w:t>
            </w:r>
          </w:p>
        </w:tc>
        <w:tc>
          <w:tcPr>
            <w:tcW w:w="97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</w:t>
            </w:r>
          </w:p>
        </w:tc>
        <w:tc>
          <w:tcPr>
            <w:tcW w:w="99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177</w:t>
            </w:r>
          </w:p>
        </w:tc>
        <w:tc>
          <w:tcPr>
            <w:tcW w:w="117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23</w:t>
            </w:r>
          </w:p>
        </w:tc>
        <w:tc>
          <w:tcPr>
            <w:tcW w:w="93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189</w:t>
            </w:r>
          </w:p>
        </w:tc>
        <w:tc>
          <w:tcPr>
            <w:tcW w:w="103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</w:t>
            </w:r>
          </w:p>
        </w:tc>
        <w:tc>
          <w:tcPr>
            <w:tcW w:w="106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71</w:t>
            </w:r>
          </w:p>
        </w:tc>
        <w:tc>
          <w:tcPr>
            <w:tcW w:w="1290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12</w:t>
            </w:r>
          </w:p>
        </w:tc>
        <w:tc>
          <w:tcPr>
            <w:tcW w:w="85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Age (years)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微软雅黑" w:cs="Times New Roman"/>
                <w:i w:val="0"/>
                <w:color w:val="000000"/>
                <w:spacing w:val="0"/>
                <w:sz w:val="14"/>
                <w:szCs w:val="14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e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an</w:t>
            </w: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±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SD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61.3 ± 14.3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61.8 ± 13.2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59.3 ± 12.2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58.4 ± 13.8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56.4 ± 9.7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55.2 ± 12.1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52.9 ± 10.8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0.00</w:t>
            </w:r>
            <w:r>
              <w:rPr>
                <w:rFonts w:hint="eastAsia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Age (years)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0.181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≤50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(18.2%)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27 (15.3%)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 (21.7%)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41 (21.7%)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(25.0%)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18 (25.4%)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 (41.7%)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51-60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(27.3%)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40 (22.6%)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(30.4%)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51 (27.0%)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(37.5%)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26 (36.6%)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(33.3%)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61-70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(27.3%)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58 (32.8%)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(26.1%)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55 (29.1%)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(25.0%)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20 (28.2%)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(25.0%)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&gt;70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(27.3%)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52 (29.4%)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 (21.7%)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42 (22.2%)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(12.5%)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(9.9%)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Sex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0.081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Male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(63.6%)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119 (67.2%)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15 (65.2%)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111 (58.7%)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(50.0%)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32 (45.1%)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(58.3%)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Femal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(36.4%)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58 (32.8%)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(34.8%)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78 (41.3%)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(50.0%)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39 (54.9%)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 (41.7%)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Race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0.557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White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(72.7%)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142 (80.2%)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19 (82.6%)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154 (81.5%)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(100.0%)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58 (81.7%)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 (91.7%)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Black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22 (12.4%)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(8.7%)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20 (10.6%)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(8.5%)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(8.3%)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Other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(27.3%)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13 (7.3%)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(8.7%)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15 (7.9%)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(9.9%)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Marital status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0.921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Married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(72.7%)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107 (60.5%)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14 (60.9%)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113 (59.8%)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(75.0%)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43 (60.6%)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(50.0%)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Other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(27.3%)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70 (39.5%)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9 (39.1%)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76 (40.2%)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(25.0%)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28 (39.4%)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(50.0%)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Insurance status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0.412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Insured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9 (81.8%)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130 (73.4%)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14 (60.9%)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144 (76.2%)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 (62.5%)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54 (76.1%)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9 (75.0%)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Other status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(9.1%)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45 (25.4%)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(34.8%)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43 (22.8%)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(37.5%)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17 (23.9%)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(25.0%)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Unknown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(9.1%)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(1.1%)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(4.3%)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(1.1%)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Year of diagnosis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0.306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2010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(9.1%)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16 (9.0%)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(17.4%)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24 (12.7%)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13 (18.3%)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2011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(9.1%)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14 (7.9%)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(8.7%)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22 (11.6%)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(12.5%)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14 (19.7%)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(16.7%)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2012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25 (14.1%)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(17.4%)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33 (17.5%)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(12.5%)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 (15.5%)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2013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(18.2%)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28 (15.8%)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27 (14.3%)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(25.0%)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(11.3%)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(25.0%)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2014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(27.3%)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30 (16.9%)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(26.1%)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39 (20.6%)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(25.0%)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(11.3%)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(16.7%)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2015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(27.3%)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33 (18.6%)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(13.0%)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18 (9.5%)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(25.0%)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(9.9%)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(25.0%)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2016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(9.1%)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31 (17.5%)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(17.4%)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26 (13.8%)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 (14.1%)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(16.7%)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Tumor location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0.651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Pancreatic head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(18.2%)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63 (35.6%)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(26.1%)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47 (24.9%)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(25.0%)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19 (26.8%)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(25.0%)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Pancreatic body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(9.1%)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13 (7.3%)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(8.7%)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20 (10.6%)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(11.3%)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Pancreatic tail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 (45.5%)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58 (32.8%)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 (47.8%)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88 (46.6%)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(50.0%)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30 (42.3%)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(50.0%)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Other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(27.3%)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43 (24.3%)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(17.4%)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34 (18.0%)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(25.0%)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14 (19.7%)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(25.0%)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Grade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Grade I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(63.6%)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57 (32.2%)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(17.4%)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109 (57.7%)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(50.0%)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34 (47.9%)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(33.3%)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Grade II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(27.3%)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36 (20.3%)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(26.1%)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56 (29.6%)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(37.5%)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17 (23.9%)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(25.0%)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Grade III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(9.1%)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61 (34.5%)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(26.1%)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18 (9.5%)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(12.5%)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16 (22.5%)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(25.0%)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Grade IV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23 (13.0%)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(30.4%)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(3.2%)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(5.6%)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(16.7%)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T stage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T1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(9.1%)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(4.5%)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16 (8.5%)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T2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 (45.5%)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77 (43.5%)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13 (56.5%)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41 (21.7%)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 (14.1%)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(16.7%)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T3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(9.1%)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55 (31.1%)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(30.4%)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126 (66.7%)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(87.5%)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50 (70.4%)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(50.0%)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T4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(36.4%)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37 (20.9%)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(13.0%)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(3.2%)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(12.5%)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 (14.1%)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(33.3%)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N stage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N0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(54.5%)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100 (56.5%)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12 (52.2%)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69 (36.5%)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 (62.5%)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25 (35.2%)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(25.0%)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N1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(27.3%)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68 (38.4%)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 (43.5%)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118 (62.4%)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(37.5%)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45 (63.4%)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9 (75.0%)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NX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(18.2%)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9 (5.1%)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(4.3%)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(1.1%)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5010" w:type="dxa"/>
            <w:gridSpan w:val="4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14"/>
                <w:szCs w:val="14"/>
                <w:lang w:val="en-US" w:eastAsia="zh-CN" w:bidi="ar"/>
              </w:rPr>
              <w:t>Number of metastatic sites of lung, brain, bone and liver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9 (5.1%)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(8.7%)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16 (8.5%)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(12.5%)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(11.3%)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(16.7%)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(72.7%)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137 (77.4%)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13 (56.5%)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172 (91.0%)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(75.0%)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61 (85.9%)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9 (75.0%)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(27.3%)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29 (16.4%)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(26.1%)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(0.5%)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(12.5%)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(8.3%)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(1.1%)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(4.3%)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 xml:space="preserve">4 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(4.3%)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Msite bone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No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(63.6%)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164 (92.7%)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14 (60.9%)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188 (99.5%)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(75.0%)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70 (98.6%)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 (91.7%)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Yes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(36.4%)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13 (7.3%)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9 (39.1%)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(0.5%)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(25.0%)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(8.3%)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Msite brain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No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 (100.0%)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177 (100.0%)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20 (87.0%)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189 (100.0%)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(100.0%)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70 (98.6%)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12 (100.0%)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Yes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(13.0%)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Msite liver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0.434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No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(9.1%)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15 (8.5%)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 (21.7%)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21 (11.1%)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(25.0%)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(11.3%)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(16.7%)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Yes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 (90.9%)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162 (91.5%)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18 (78.3%)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168 (88.9%)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(75.0%)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63 (88.7%)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 (83.3%)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Msite lung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No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 (100.0%)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151 (85.3%)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21 (91.3%)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184 (97.4%)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8 (100.0%)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69 (97.2%)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12 (100.0%)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Yes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26 (14.7%)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(8.7%)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 (2.6%)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(2.8%)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5010" w:type="dxa"/>
            <w:gridSpan w:val="4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AdvPS497E2" w:cs="Times New Roman"/>
                <w:color w:val="000000"/>
                <w:kern w:val="0"/>
                <w:sz w:val="14"/>
                <w:szCs w:val="14"/>
                <w:lang w:val="en-US" w:eastAsia="zh-CN" w:bidi="ar"/>
              </w:rPr>
              <w:t>Surgery to regional/distant sites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No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 (90.9%)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171 (96.6%)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17 (73.9%)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74 (39.2%)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(50.0%)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29 (40.8%)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(50.0%)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Yes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(9.1%)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(3.4%)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(26.1%)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115 (60.8%)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(50.0%)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42 (59.2%)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(50.0%)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D7D7D7" w:themeFill="background1" w:themeFillShade="D8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Histology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0.768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49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Pancreatic endocrine tumor, malignant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(0.6%)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(4.3%)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 (5.3%)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(5.6%)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(8.3%)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Insulinoma, malignant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(0.6%)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Glucagonoma, malignant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Gastrinoma, malignant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(0.6%)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(1.1%)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37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Mixed pancreatic endocrine and exocrine tumor, malignant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(1.7%)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 (2.6%)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(1.4%)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Carcinoid tumor, NOS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(18.2%)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38 (21.5%)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(4.3%)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53 (28.0%)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(25.0%)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 (15.5%)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 (33.3%)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595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99" w:leftChars="95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Mixed adenoneuroendocrine carcinoma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 (0.6%)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652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39" w:leftChars="66" w:firstLine="0" w:firstLineChars="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Adenocarcinoid carcinoma, NOS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(63.6%)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119 (67.2%)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19 (82.6%)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101 (53.4%)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6 (75.0%)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49 (69.0%)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7 (58.3%)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7" w:type="dxa"/>
            <w:left w:w="17" w:type="dxa"/>
            <w:bottom w:w="17" w:type="dxa"/>
            <w:right w:w="17" w:type="dxa"/>
          </w:tblCellMar>
        </w:tblPrEx>
        <w:trPr>
          <w:trHeight w:val="283" w:hRule="exact"/>
        </w:trPr>
        <w:tc>
          <w:tcPr>
            <w:tcW w:w="18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40" w:firstLineChars="100"/>
              <w:jc w:val="left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2"/>
                <w:sz w:val="14"/>
                <w:szCs w:val="14"/>
                <w:lang w:val="en-US" w:eastAsia="zh-CN" w:bidi="ar-SA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  <w:lang w:val="en-US" w:eastAsia="zh-CN"/>
              </w:rPr>
              <w:t>Atypical carcinoid tumor</w:t>
            </w:r>
          </w:p>
        </w:tc>
        <w:tc>
          <w:tcPr>
            <w:tcW w:w="9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(18.2%)</w:t>
            </w:r>
          </w:p>
        </w:tc>
        <w:tc>
          <w:tcPr>
            <w:tcW w:w="9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13 (7.3%)</w:t>
            </w:r>
          </w:p>
        </w:tc>
        <w:tc>
          <w:tcPr>
            <w:tcW w:w="117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2 (8.7%)</w:t>
            </w:r>
          </w:p>
        </w:tc>
        <w:tc>
          <w:tcPr>
            <w:tcW w:w="9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18 (9.5%)</w:t>
            </w:r>
          </w:p>
        </w:tc>
        <w:tc>
          <w:tcPr>
            <w:tcW w:w="103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10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3 (4.2%)</w:t>
            </w:r>
          </w:p>
        </w:tc>
        <w:tc>
          <w:tcPr>
            <w:tcW w:w="12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kern w:val="0"/>
                <w:sz w:val="14"/>
                <w:szCs w:val="14"/>
                <w:lang w:val="en-US" w:eastAsia="zh-CN" w:bidi="ar"/>
              </w:rPr>
              <w:t>0 (0.0%)</w:t>
            </w:r>
          </w:p>
        </w:tc>
        <w:tc>
          <w:tcPr>
            <w:tcW w:w="85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Times New Roman" w:hAnsi="Times New Roman" w:eastAsia="微软雅黑" w:cs="Times New Roman"/>
                <w:i w:val="0"/>
                <w:caps w:val="0"/>
                <w:color w:val="000000"/>
                <w:spacing w:val="0"/>
                <w:sz w:val="14"/>
                <w:szCs w:val="14"/>
              </w:rPr>
            </w:pPr>
          </w:p>
        </w:tc>
      </w:tr>
    </w:tbl>
    <w:p>
      <w:pPr>
        <w:tabs>
          <w:tab w:val="left" w:pos="7413"/>
        </w:tabs>
        <w:rPr>
          <w:rFonts w:ascii="Arial" w:hAnsi="Arial" w:cs="Arial"/>
          <w:b/>
          <w:bCs/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 xml:space="preserve"> </w:t>
      </w:r>
    </w:p>
    <w:p>
      <w:pPr>
        <w:autoSpaceDE w:val="0"/>
        <w:autoSpaceDN w:val="0"/>
        <w:adjustRightInd w:val="0"/>
        <w:rPr>
          <w:rFonts w:ascii="Arial" w:hAnsi="Arial" w:eastAsia="STIX-Regular" w:cs="Arial"/>
          <w:sz w:val="14"/>
          <w:szCs w:val="14"/>
        </w:rPr>
      </w:pPr>
      <w:r>
        <w:rPr>
          <w:rFonts w:ascii="Arial" w:hAnsi="Arial" w:eastAsia="STIX-Regular" w:cs="Arial"/>
          <w:sz w:val="14"/>
          <w:szCs w:val="14"/>
          <w:lang w:eastAsia="zh-CN"/>
        </w:rPr>
        <w:t xml:space="preserve">No, number of cases; </w:t>
      </w:r>
      <w:r>
        <w:rPr>
          <w:rFonts w:ascii="Arial" w:hAnsi="Arial" w:eastAsia="STIX-Regular" w:cs="Arial"/>
          <w:sz w:val="14"/>
          <w:szCs w:val="14"/>
        </w:rPr>
        <w:t>Tx, not determined T; Nx, not determined</w:t>
      </w:r>
      <w:r>
        <w:rPr>
          <w:rFonts w:ascii="Arial" w:hAnsi="Arial" w:eastAsia="STIX-Regular" w:cs="Arial"/>
          <w:sz w:val="14"/>
          <w:szCs w:val="14"/>
          <w:lang w:eastAsia="zh-CN"/>
        </w:rPr>
        <w:t xml:space="preserve"> N</w:t>
      </w:r>
      <w:r>
        <w:rPr>
          <w:rFonts w:ascii="Arial" w:hAnsi="Arial" w:eastAsia="STIX-Regular" w:cs="Arial"/>
          <w:sz w:val="14"/>
          <w:szCs w:val="14"/>
        </w:rPr>
        <w:t xml:space="preserve">; Msite, metastatic site or organ; </w:t>
      </w:r>
      <w:r>
        <w:rPr>
          <w:rFonts w:ascii="Arial" w:hAnsi="Arial" w:eastAsia="等线" w:cs="Arial"/>
          <w:sz w:val="14"/>
          <w:szCs w:val="14"/>
        </w:rPr>
        <w:t>Number of metastatic sites, including lung, brain, bone and liver</w:t>
      </w:r>
    </w:p>
    <w:p>
      <w:pPr>
        <w:autoSpaceDE w:val="0"/>
        <w:autoSpaceDN w:val="0"/>
        <w:adjustRightInd w:val="0"/>
        <w:rPr>
          <w:rFonts w:hint="eastAsia" w:ascii="Arial" w:hAnsi="Arial" w:eastAsia="STIX-Regular" w:cs="Arial"/>
          <w:sz w:val="14"/>
          <w:szCs w:val="14"/>
          <w:lang w:val="en-US" w:eastAsia="zh-CN"/>
        </w:rPr>
      </w:pPr>
      <w:r>
        <w:rPr>
          <w:rFonts w:ascii="Arial" w:hAnsi="Arial" w:eastAsia="STIX-Regular" w:cs="Arial"/>
          <w:sz w:val="14"/>
          <w:szCs w:val="14"/>
        </w:rPr>
        <w:t>Categoric variables were compared by using the Pearson</w:t>
      </w:r>
      <w:r>
        <w:rPr>
          <w:rFonts w:ascii="Arial" w:hAnsi="Arial" w:cs="Arial"/>
          <w:sz w:val="14"/>
          <w:szCs w:val="14"/>
        </w:rPr>
        <w:sym w:font="Symbol" w:char="F063"/>
      </w:r>
      <w:r>
        <w:rPr>
          <w:rFonts w:ascii="Arial" w:hAnsi="Arial" w:cs="Arial"/>
          <w:sz w:val="14"/>
          <w:szCs w:val="14"/>
          <w:vertAlign w:val="superscript"/>
        </w:rPr>
        <w:t>2</w:t>
      </w:r>
      <w:r>
        <w:rPr>
          <w:rFonts w:ascii="Arial" w:hAnsi="Arial" w:eastAsia="STIX-Regular" w:cs="Arial"/>
          <w:sz w:val="14"/>
          <w:szCs w:val="14"/>
        </w:rPr>
        <w:t>test, and continuous variables were compared by using the Kruskal-Wallis test</w:t>
      </w:r>
      <w:r>
        <w:rPr>
          <w:rFonts w:hint="eastAsia" w:ascii="Arial" w:hAnsi="Arial" w:eastAsia="STIX-Regular" w:cs="Arial"/>
          <w:sz w:val="14"/>
          <w:szCs w:val="14"/>
          <w:lang w:val="en-US" w:eastAsia="zh-CN"/>
        </w:rPr>
        <w:t>.</w:t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AdvPS497E2" w:cs="Times New Roman"/>
          <w:color w:val="000000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/>
    <w:sectPr>
      <w:pgSz w:w="11906" w:h="16838"/>
      <w:pgMar w:top="1440" w:right="1020" w:bottom="1440" w:left="102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vPS497E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-Regular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3B1252"/>
    <w:rsid w:val="11E71CF8"/>
    <w:rsid w:val="180C356F"/>
    <w:rsid w:val="1C3234B4"/>
    <w:rsid w:val="1D4E632B"/>
    <w:rsid w:val="27E96F16"/>
    <w:rsid w:val="2C396A69"/>
    <w:rsid w:val="2FD2234D"/>
    <w:rsid w:val="39B15C77"/>
    <w:rsid w:val="4E630E0A"/>
    <w:rsid w:val="4F351E39"/>
    <w:rsid w:val="53445385"/>
    <w:rsid w:val="5D3B1252"/>
    <w:rsid w:val="5D476615"/>
    <w:rsid w:val="71E9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2021-01-11T08:51:00Z</dcterms:created>
  <dc:creator>jiangyu</dc:creator>
  <cp:lastModifiedBy>jiangyu</cp:lastModifiedBy>
  <dcterms:modified xsi:type="dcterms:W3CDTF">2021-05-16T13:59:56Z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7F5F1571366E4DDD9ABB6AB2E6465324</vt:lpwstr>
  </property>
</Properties>
</file>