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710" w:tblpY="2189"/>
        <w:tblOverlap w:val="never"/>
        <w:tblW w:w="15516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948"/>
        <w:gridCol w:w="816"/>
        <w:gridCol w:w="1584"/>
        <w:gridCol w:w="1284"/>
        <w:gridCol w:w="913"/>
        <w:gridCol w:w="2339"/>
        <w:gridCol w:w="1260"/>
        <w:gridCol w:w="2112"/>
        <w:gridCol w:w="1140"/>
        <w:gridCol w:w="1272"/>
        <w:gridCol w:w="110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744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Case</w:t>
            </w:r>
          </w:p>
          <w:p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ind w:left="-107" w:leftChars="-51" w:right="229" w:rightChars="109"/>
              <w:jc w:val="right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Gender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 </w:t>
            </w:r>
          </w:p>
          <w:p>
            <w:pPr>
              <w:ind w:left="-107" w:leftChars="-51" w:right="229" w:rightChars="109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16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ind w:left="-302" w:leftChars="-144" w:firstLine="304" w:firstLineChars="152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Age</w:t>
            </w:r>
          </w:p>
          <w:p>
            <w:pPr>
              <w:ind w:left="-302" w:leftChars="-144" w:firstLine="304" w:firstLineChars="152"/>
              <w:jc w:val="both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years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584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Cerebrovascular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risk factor</w:t>
            </w:r>
          </w:p>
        </w:tc>
        <w:tc>
          <w:tcPr>
            <w:tcW w:w="1284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ind w:left="-302" w:leftChars="-144"/>
              <w:jc w:val="both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T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y</w:t>
            </w:r>
          </w:p>
          <w:p>
            <w:pPr>
              <w:ind w:left="-302" w:leftChars="-144"/>
              <w:jc w:val="both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 xml:space="preserve">of 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Type of stroke</w:t>
            </w:r>
          </w:p>
          <w:p>
            <w:pPr>
              <w:ind w:left="-302" w:leftChars="-144"/>
              <w:jc w:val="both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13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Interval time</w:t>
            </w:r>
          </w:p>
        </w:tc>
        <w:tc>
          <w:tcPr>
            <w:tcW w:w="2339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0"/>
                <w:szCs w:val="20"/>
                <w:lang w:val="en-US" w:eastAsia="zh-CN" w:bidi="ar"/>
              </w:rPr>
              <w:t>Symptoms Of HOD</w:t>
            </w:r>
          </w:p>
        </w:tc>
        <w:tc>
          <w:tcPr>
            <w:tcW w:w="1260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 xml:space="preserve">MRI features 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in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IONS</w:t>
            </w:r>
          </w:p>
        </w:tc>
        <w:tc>
          <w:tcPr>
            <w:tcW w:w="2112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Sroke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 xml:space="preserve">lession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location</w:t>
            </w:r>
          </w:p>
        </w:tc>
        <w:tc>
          <w:tcPr>
            <w:tcW w:w="1140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HOD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site</w:t>
            </w:r>
          </w:p>
        </w:tc>
        <w:tc>
          <w:tcPr>
            <w:tcW w:w="1272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Treatment</w:t>
            </w:r>
          </w:p>
        </w:tc>
        <w:tc>
          <w:tcPr>
            <w:tcW w:w="1104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Prognosis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744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Case1</w:t>
            </w:r>
          </w:p>
        </w:tc>
        <w:tc>
          <w:tcPr>
            <w:tcW w:w="948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M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54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Hypertension</w:t>
            </w:r>
          </w:p>
          <w:p>
            <w:pPr>
              <w:ind w:right="-420" w:rightChars="-20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Smokeinig</w:t>
            </w:r>
          </w:p>
          <w:p>
            <w:pPr>
              <w:ind w:right="-420" w:rightChars="-20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Hyperlipidemia</w:t>
            </w:r>
          </w:p>
          <w:p>
            <w:pPr>
              <w:ind w:right="-420" w:rightChars="-20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Ischemic</w:t>
            </w: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stroke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months</w:t>
            </w:r>
          </w:p>
        </w:tc>
        <w:tc>
          <w:tcPr>
            <w:tcW w:w="2339" w:type="dxa"/>
            <w:noWrap w:val="0"/>
            <w:vAlign w:val="center"/>
          </w:tcPr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PT, HT(upper extremity/R)</w:t>
            </w: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 xml:space="preserve">Ocular myoclonus </w:t>
            </w: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 xml:space="preserve">Ataxia(worsen) </w:t>
            </w: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Dysarthria(worsen)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 xml:space="preserve">Hypertrophy </w:t>
            </w: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High signal</w:t>
            </w:r>
          </w:p>
        </w:tc>
        <w:tc>
          <w:tcPr>
            <w:tcW w:w="21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Paramedian</w:t>
            </w: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 xml:space="preserve"> pons from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rom</w:t>
            </w: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 xml:space="preserve">anterior </w:t>
            </w: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to dosal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/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R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Ipsilateral/R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Dopasrazide</w:t>
            </w: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Clonazepam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Poor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744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Case2</w:t>
            </w:r>
          </w:p>
        </w:tc>
        <w:tc>
          <w:tcPr>
            <w:tcW w:w="948" w:type="dxa"/>
            <w:noWrap w:val="0"/>
            <w:vAlign w:val="center"/>
          </w:tcPr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F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33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Hypertension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Hemorrhage stroke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months</w:t>
            </w:r>
          </w:p>
        </w:tc>
        <w:tc>
          <w:tcPr>
            <w:tcW w:w="2339" w:type="dxa"/>
            <w:noWrap w:val="0"/>
            <w:vAlign w:val="center"/>
          </w:tcPr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 xml:space="preserve">PT, HT(extremity/R) </w:t>
            </w: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 xml:space="preserve">Ocular myoclonus </w:t>
            </w: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 xml:space="preserve">Ataxia(worsen) 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 xml:space="preserve">Hypertrophy </w:t>
            </w: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High signal</w:t>
            </w:r>
          </w:p>
        </w:tc>
        <w:tc>
          <w:tcPr>
            <w:tcW w:w="21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Dosal pons/L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Ipsilateral/L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Dopasrazide</w:t>
            </w: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Clonazepam</w:t>
            </w: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Levetiracetam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Poor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744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Case3</w:t>
            </w:r>
          </w:p>
        </w:tc>
        <w:tc>
          <w:tcPr>
            <w:tcW w:w="948" w:type="dxa"/>
            <w:noWrap w:val="0"/>
            <w:vAlign w:val="center"/>
          </w:tcPr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M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53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Hypertension</w:t>
            </w:r>
          </w:p>
          <w:p>
            <w:pPr>
              <w:ind w:right="-420" w:rightChars="-20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Smokeinig</w:t>
            </w:r>
          </w:p>
          <w:p>
            <w:pPr>
              <w:ind w:right="-420" w:rightChars="-20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Alcoholism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Hemorrhage stroke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months</w:t>
            </w:r>
          </w:p>
        </w:tc>
        <w:tc>
          <w:tcPr>
            <w:tcW w:w="2339" w:type="dxa"/>
            <w:noWrap w:val="0"/>
            <w:vAlign w:val="center"/>
          </w:tcPr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 xml:space="preserve">PT, HT(extremity/B)  </w:t>
            </w: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 xml:space="preserve">Ataxia(worsen) </w:t>
            </w: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Dysarthria(worsen)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</w:p>
          <w:p>
            <w:pPr>
              <w:ind w:right="-420" w:rightChars="-20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 xml:space="preserve">Hypertrophy </w:t>
            </w: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High signal</w:t>
            </w:r>
          </w:p>
        </w:tc>
        <w:tc>
          <w:tcPr>
            <w:tcW w:w="21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Dosal pons/L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</w:p>
          <w:p>
            <w:pPr>
              <w:ind w:right="-420" w:rightChars="-20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Bilateral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Dopasrazide</w:t>
            </w: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Clonazepam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</w:p>
          <w:p>
            <w:pPr>
              <w:ind w:right="-420" w:rightChars="-200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Poor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</w:trPr>
        <w:tc>
          <w:tcPr>
            <w:tcW w:w="744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Case4</w:t>
            </w:r>
          </w:p>
        </w:tc>
        <w:tc>
          <w:tcPr>
            <w:tcW w:w="948" w:type="dxa"/>
            <w:noWrap w:val="0"/>
            <w:vAlign w:val="center"/>
          </w:tcPr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M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63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Hypertension</w:t>
            </w: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eastAsia="AdvOT596495f2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Diabetes</w:t>
            </w: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dvOT596495f2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mellitus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both"/>
              <w:textAlignment w:val="auto"/>
              <w:rPr>
                <w:rFonts w:hint="default" w:ascii="Times New Roman" w:hAnsi="Times New Roman" w:eastAsia="AdvOT596495f2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Hyperlipidemia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Ischemic</w:t>
            </w: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stroke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months</w:t>
            </w:r>
          </w:p>
        </w:tc>
        <w:tc>
          <w:tcPr>
            <w:tcW w:w="2339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PT, HT(upper extremity/R)</w:t>
            </w: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 xml:space="preserve">Ocular myoclonus </w:t>
            </w: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 xml:space="preserve">Ataxia(worsen) </w:t>
            </w: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Dysarthria(worsen)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 xml:space="preserve">Hypertrophy </w:t>
            </w: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High signal</w:t>
            </w:r>
          </w:p>
        </w:tc>
        <w:tc>
          <w:tcPr>
            <w:tcW w:w="2112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Pontine tegmentum/B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Bilateral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Dopasrazide</w:t>
            </w: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Clonazepam</w:t>
            </w: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Levetiracetam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Poor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744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Case5</w:t>
            </w:r>
          </w:p>
        </w:tc>
        <w:tc>
          <w:tcPr>
            <w:tcW w:w="948" w:type="dxa"/>
            <w:noWrap w:val="0"/>
            <w:vAlign w:val="center"/>
          </w:tcPr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M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81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Hypertension</w:t>
            </w: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 xml:space="preserve">Diabetes </w:t>
            </w:r>
            <w:r>
              <w:rPr>
                <w:rFonts w:hint="default" w:ascii="Times New Roman" w:hAnsi="Times New Roman" w:eastAsia="AdvOT596495f2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mellitus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 xml:space="preserve"> 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 xml:space="preserve">Hemorrhage </w:t>
            </w: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stroke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Uncertain</w:t>
            </w: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(6 years)</w:t>
            </w:r>
          </w:p>
        </w:tc>
        <w:tc>
          <w:tcPr>
            <w:tcW w:w="2339" w:type="dxa"/>
            <w:noWrap w:val="0"/>
            <w:vAlign w:val="center"/>
          </w:tcPr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PT</w:t>
            </w: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 xml:space="preserve">ataxia 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Normal size</w:t>
            </w: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Nomal signal</w:t>
            </w:r>
          </w:p>
        </w:tc>
        <w:tc>
          <w:tcPr>
            <w:tcW w:w="2112" w:type="dxa"/>
            <w:noWrap w:val="0"/>
            <w:vAlign w:val="center"/>
          </w:tcPr>
          <w:p>
            <w:pPr>
              <w:tabs>
                <w:tab w:val="left" w:pos="603"/>
              </w:tabs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</w:p>
          <w:p>
            <w:pPr>
              <w:tabs>
                <w:tab w:val="left" w:pos="603"/>
              </w:tabs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Pontine tegmentum/B</w:t>
            </w:r>
          </w:p>
          <w:p>
            <w:pPr>
              <w:tabs>
                <w:tab w:val="left" w:pos="603"/>
              </w:tabs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Cerebellum/B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ind w:right="-420" w:rightChars="-20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Uncertain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Dopasrazide</w:t>
            </w:r>
          </w:p>
          <w:p>
            <w:pPr>
              <w:ind w:left="-250" w:leftChars="-119" w:right="-420" w:rightChars="-200" w:firstLine="250" w:firstLineChars="125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Levetiracetam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Poor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</w:pPr>
      <w:r>
        <w:rPr>
          <w:rFonts w:hint="eastAsia" w:ascii="Times New Roman" w:hAnsi="Times New Roman"/>
          <w:color w:val="000000"/>
          <w:kern w:val="0"/>
          <w:sz w:val="24"/>
          <w:szCs w:val="24"/>
        </w:rPr>
        <w:t xml:space="preserve">Table 1 </w:t>
      </w:r>
      <w:r>
        <w:rPr>
          <w:rFonts w:hint="eastAsia" w:ascii="Times New Roman" w:hAnsi="Times New Roman"/>
          <w:color w:val="000000"/>
          <w:kern w:val="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STIX-Regular"/>
          <w:color w:val="000000"/>
          <w:kern w:val="0"/>
          <w:sz w:val="24"/>
          <w:szCs w:val="24"/>
        </w:rPr>
        <w:t xml:space="preserve">Summary of the </w:t>
      </w:r>
      <w:r>
        <w:rPr>
          <w:rFonts w:hint="eastAsia" w:ascii="Times New Roman" w:hAnsi="Times New Roman" w:eastAsia="STIX-Regular"/>
          <w:color w:val="000000"/>
          <w:kern w:val="0"/>
          <w:sz w:val="24"/>
          <w:szCs w:val="24"/>
          <w:lang w:val="en-US" w:eastAsia="zh-CN"/>
        </w:rPr>
        <w:t>C</w:t>
      </w:r>
      <w:r>
        <w:rPr>
          <w:rFonts w:ascii="Times New Roman" w:hAnsi="Times New Roman" w:eastAsia="STIX-Regular"/>
          <w:color w:val="000000"/>
          <w:kern w:val="0"/>
          <w:sz w:val="24"/>
          <w:szCs w:val="24"/>
        </w:rPr>
        <w:t xml:space="preserve">linical </w:t>
      </w:r>
      <w:r>
        <w:rPr>
          <w:rFonts w:hint="eastAsia" w:ascii="Times New Roman" w:hAnsi="Times New Roman" w:eastAsia="STIX-Regular"/>
          <w:color w:val="000000"/>
          <w:kern w:val="0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eastAsia="STIX-Regular"/>
          <w:color w:val="000000"/>
          <w:kern w:val="0"/>
          <w:sz w:val="24"/>
          <w:szCs w:val="24"/>
          <w:lang w:val="en-US" w:eastAsia="zh-CN"/>
        </w:rPr>
        <w:t>haracteristics</w:t>
      </w:r>
      <w:r>
        <w:rPr>
          <w:rFonts w:ascii="Times New Roman" w:hAnsi="Times New Roman" w:eastAsia="STIX-Regular"/>
          <w:color w:val="000000"/>
          <w:kern w:val="0"/>
          <w:sz w:val="24"/>
          <w:szCs w:val="24"/>
        </w:rPr>
        <w:t xml:space="preserve"> </w:t>
      </w:r>
      <w:r>
        <w:rPr>
          <w:rFonts w:hint="eastAsia" w:ascii="Times New Roman" w:hAnsi="Times New Roman" w:eastAsia="STIX-Regular"/>
          <w:color w:val="000000"/>
          <w:kern w:val="0"/>
          <w:sz w:val="24"/>
          <w:szCs w:val="24"/>
          <w:lang w:val="en-US" w:eastAsia="zh-CN"/>
        </w:rPr>
        <w:t xml:space="preserve">and MRI </w:t>
      </w:r>
      <w:r>
        <w:rPr>
          <w:rFonts w:hint="default" w:ascii="Times New Roman" w:hAnsi="Times New Roman" w:eastAsia="STIX-Regular"/>
          <w:color w:val="000000"/>
          <w:kern w:val="0"/>
          <w:sz w:val="24"/>
          <w:szCs w:val="24"/>
          <w:lang w:val="en-US" w:eastAsia="zh-CN"/>
        </w:rPr>
        <w:t>Features</w:t>
      </w:r>
      <w:r>
        <w:rPr>
          <w:rFonts w:hint="eastAsia" w:ascii="Times New Roman" w:hAnsi="Times New Roman" w:eastAsia="STIX-Regular"/>
          <w:color w:val="000000"/>
          <w:kern w:val="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STIX-Regular"/>
          <w:color w:val="000000"/>
          <w:kern w:val="0"/>
          <w:sz w:val="24"/>
          <w:szCs w:val="24"/>
        </w:rPr>
        <w:t xml:space="preserve">of </w:t>
      </w:r>
      <w:r>
        <w:rPr>
          <w:rFonts w:hint="eastAsia" w:ascii="Times New Roman" w:hAnsi="Times New Roman" w:eastAsia="STIX-Regular"/>
          <w:color w:val="000000"/>
          <w:kern w:val="0"/>
          <w:sz w:val="24"/>
          <w:szCs w:val="24"/>
          <w:lang w:val="en-US" w:eastAsia="zh-CN"/>
        </w:rPr>
        <w:t xml:space="preserve">Patients </w:t>
      </w:r>
      <w:r>
        <w:rPr>
          <w:rFonts w:ascii="Times New Roman" w:hAnsi="Times New Roman" w:eastAsia="STIX-Regular"/>
          <w:color w:val="000000"/>
          <w:kern w:val="0"/>
          <w:sz w:val="24"/>
          <w:szCs w:val="24"/>
        </w:rPr>
        <w:t xml:space="preserve">with HOD </w:t>
      </w:r>
      <w:r>
        <w:rPr>
          <w:rFonts w:hint="eastAsia" w:ascii="Times New Roman" w:hAnsi="Times New Roman" w:eastAsia="STIX-Regular"/>
          <w:color w:val="000000"/>
          <w:kern w:val="0"/>
          <w:sz w:val="24"/>
          <w:szCs w:val="24"/>
          <w:lang w:val="en-US" w:eastAsia="zh-CN"/>
        </w:rPr>
        <w:t>After</w:t>
      </w:r>
      <w:r>
        <w:rPr>
          <w:rFonts w:ascii="Times New Roman" w:hAnsi="Times New Roman" w:eastAsia="STIX-Regular"/>
          <w:color w:val="000000"/>
          <w:kern w:val="0"/>
          <w:sz w:val="24"/>
          <w:szCs w:val="24"/>
        </w:rPr>
        <w:t xml:space="preserve"> Pontine </w:t>
      </w:r>
      <w:r>
        <w:rPr>
          <w:rFonts w:hint="eastAsia" w:ascii="Times New Roman" w:hAnsi="Times New Roman" w:eastAsia="STIX-Regular"/>
          <w:color w:val="000000"/>
          <w:kern w:val="0"/>
          <w:sz w:val="24"/>
          <w:szCs w:val="24"/>
          <w:lang w:val="en-US" w:eastAsia="zh-CN"/>
        </w:rPr>
        <w:t>Stroke</w:t>
      </w:r>
    </w:p>
    <w:p>
      <w:pPr>
        <w:ind w:right="-420" w:rightChars="-200"/>
        <w:jc w:val="both"/>
        <w:rPr>
          <w:rFonts w:hint="default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lang w:val="en-US" w:eastAsia="zh-CN"/>
        </w:rPr>
        <w:t xml:space="preserve">HOD: </w:t>
      </w:r>
      <w:r>
        <w:rPr>
          <w:rFonts w:hint="eastAsia" w:ascii="Times New Roman" w:hAnsi="Times New Roman" w:cs="Times New Roman"/>
          <w:i w:val="0"/>
          <w:iCs w:val="0"/>
          <w:color w:val="auto"/>
          <w:sz w:val="24"/>
          <w:szCs w:val="24"/>
          <w:lang w:val="en-US" w:eastAsia="zh-CN"/>
        </w:rPr>
        <w:t>H</w:t>
      </w:r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lang w:val="en-US" w:eastAsia="zh-CN"/>
        </w:rPr>
        <w:t>ypertrophic olivary degeneration</w:t>
      </w:r>
      <w:r>
        <w:rPr>
          <w:rFonts w:hint="eastAsia" w:ascii="Times New Roman" w:hAnsi="Times New Roman" w:cs="Times New Roman"/>
          <w:i w:val="0"/>
          <w:iCs w:val="0"/>
          <w:color w:val="auto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lang w:val="en-US" w:eastAsia="zh-CN"/>
        </w:rPr>
        <w:t xml:space="preserve">M: </w:t>
      </w:r>
      <w:r>
        <w:rPr>
          <w:rFonts w:hint="eastAsia" w:ascii="Times New Roman" w:hAnsi="Times New Roman" w:cs="Times New Roman"/>
          <w:i w:val="0"/>
          <w:iCs w:val="0"/>
          <w:color w:val="auto"/>
          <w:sz w:val="24"/>
          <w:szCs w:val="24"/>
          <w:lang w:val="en-US" w:eastAsia="zh-CN"/>
        </w:rPr>
        <w:t>M</w:t>
      </w:r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lang w:val="en-US" w:eastAsia="zh-CN"/>
        </w:rPr>
        <w:t>ale</w:t>
      </w:r>
      <w:r>
        <w:rPr>
          <w:rFonts w:hint="eastAsia" w:ascii="Times New Roman" w:hAnsi="Times New Roman" w:cs="Times New Roman"/>
          <w:i w:val="0"/>
          <w:iCs w:val="0"/>
          <w:color w:val="auto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lang w:val="en-US" w:eastAsia="zh-CN"/>
        </w:rPr>
        <w:t xml:space="preserve">F: </w:t>
      </w:r>
      <w:r>
        <w:rPr>
          <w:rFonts w:hint="eastAsia" w:ascii="Times New Roman" w:hAnsi="Times New Roman" w:cs="Times New Roman"/>
          <w:i w:val="0"/>
          <w:iCs w:val="0"/>
          <w:color w:val="auto"/>
          <w:sz w:val="24"/>
          <w:szCs w:val="24"/>
          <w:lang w:val="en-US" w:eastAsia="zh-CN"/>
        </w:rPr>
        <w:t>F</w:t>
      </w:r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lang w:val="en-US" w:eastAsia="zh-CN"/>
        </w:rPr>
        <w:t>emale</w:t>
      </w:r>
      <w:r>
        <w:rPr>
          <w:rFonts w:hint="eastAsia" w:ascii="Times New Roman" w:hAnsi="Times New Roman" w:cs="Times New Roman"/>
          <w:i w:val="0"/>
          <w:iCs w:val="0"/>
          <w:color w:val="auto"/>
          <w:sz w:val="24"/>
          <w:szCs w:val="24"/>
          <w:lang w:val="en-US" w:eastAsia="zh-CN"/>
        </w:rPr>
        <w:t>, PT:P</w:t>
      </w:r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lang w:val="en-US" w:eastAsia="zh-CN"/>
        </w:rPr>
        <w:t>alatal tremor</w:t>
      </w:r>
      <w:r>
        <w:rPr>
          <w:rFonts w:hint="eastAsia" w:ascii="Times New Roman" w:hAnsi="Times New Roman" w:cs="Times New Roman"/>
          <w:i w:val="0"/>
          <w:iCs w:val="0"/>
          <w:color w:val="auto"/>
          <w:sz w:val="24"/>
          <w:szCs w:val="24"/>
          <w:lang w:val="en-US" w:eastAsia="zh-CN"/>
        </w:rPr>
        <w:t>, HT:</w:t>
      </w:r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lang w:val="en-US" w:eastAsia="zh-CN"/>
        </w:rPr>
        <w:t>Holmes’ tremor</w:t>
      </w:r>
      <w:r>
        <w:rPr>
          <w:rFonts w:hint="eastAsia" w:ascii="Times New Roman" w:hAnsi="Times New Roman" w:cs="Times New Roman"/>
          <w:i w:val="0"/>
          <w:iCs w:val="0"/>
          <w:color w:val="auto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lang w:val="en-US" w:eastAsia="zh-CN"/>
        </w:rPr>
        <w:t xml:space="preserve">L: </w:t>
      </w:r>
      <w:r>
        <w:rPr>
          <w:rFonts w:hint="eastAsia" w:ascii="Times New Roman" w:hAnsi="Times New Roman" w:cs="Times New Roman"/>
          <w:i w:val="0"/>
          <w:iCs w:val="0"/>
          <w:color w:val="auto"/>
          <w:sz w:val="24"/>
          <w:szCs w:val="24"/>
          <w:lang w:val="en-US" w:eastAsia="zh-CN"/>
        </w:rPr>
        <w:t>L</w:t>
      </w:r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lang w:val="en-US" w:eastAsia="zh-CN"/>
        </w:rPr>
        <w:t>eft</w:t>
      </w:r>
      <w:r>
        <w:rPr>
          <w:rFonts w:hint="eastAsia" w:ascii="Times New Roman" w:hAnsi="Times New Roman" w:cs="Times New Roman"/>
          <w:i w:val="0"/>
          <w:iCs w:val="0"/>
          <w:color w:val="auto"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lang w:val="en-US" w:eastAsia="zh-CN"/>
        </w:rPr>
        <w:t xml:space="preserve"> </w:t>
      </w:r>
      <w:bookmarkStart w:id="0" w:name="_GoBack"/>
      <w:bookmarkEnd w:id="0"/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lang w:val="en-US" w:eastAsia="zh-CN"/>
        </w:rPr>
        <w:t xml:space="preserve">R: </w:t>
      </w:r>
      <w:r>
        <w:rPr>
          <w:rFonts w:hint="eastAsia" w:ascii="Times New Roman" w:hAnsi="Times New Roman" w:cs="Times New Roman"/>
          <w:i w:val="0"/>
          <w:iCs w:val="0"/>
          <w:color w:val="auto"/>
          <w:sz w:val="24"/>
          <w:szCs w:val="24"/>
          <w:lang w:val="en-US" w:eastAsia="zh-CN"/>
        </w:rPr>
        <w:t>R</w:t>
      </w:r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lang w:val="en-US" w:eastAsia="zh-CN"/>
        </w:rPr>
        <w:t>ight</w:t>
      </w:r>
      <w:r>
        <w:rPr>
          <w:rFonts w:hint="eastAsia" w:ascii="Times New Roman" w:hAnsi="Times New Roman" w:cs="Times New Roman"/>
          <w:i w:val="0"/>
          <w:iCs w:val="0"/>
          <w:color w:val="auto"/>
          <w:sz w:val="24"/>
          <w:szCs w:val="24"/>
          <w:lang w:val="en-US" w:eastAsia="zh-CN"/>
        </w:rPr>
        <w:t>.</w:t>
      </w:r>
    </w:p>
    <w:p>
      <w:pPr>
        <w:bidi w:val="0"/>
        <w:jc w:val="left"/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OT596495f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IX-Regular">
    <w:altName w:val="方正公文小标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2MjU2MjdmMjZmZTIwYjUzY2RkMGMxZjFmMjAxNTUifQ=="/>
  </w:docVars>
  <w:rsids>
    <w:rsidRoot w:val="00000000"/>
    <w:rsid w:val="01042CD0"/>
    <w:rsid w:val="01C506B1"/>
    <w:rsid w:val="01E054EB"/>
    <w:rsid w:val="022C0A8A"/>
    <w:rsid w:val="02C10E79"/>
    <w:rsid w:val="03555A65"/>
    <w:rsid w:val="03604B36"/>
    <w:rsid w:val="036068E4"/>
    <w:rsid w:val="0397607D"/>
    <w:rsid w:val="04536448"/>
    <w:rsid w:val="04AE367F"/>
    <w:rsid w:val="04C133B2"/>
    <w:rsid w:val="05A131E3"/>
    <w:rsid w:val="0609570A"/>
    <w:rsid w:val="0633208D"/>
    <w:rsid w:val="06530982"/>
    <w:rsid w:val="06D73361"/>
    <w:rsid w:val="071D689A"/>
    <w:rsid w:val="07BC4304"/>
    <w:rsid w:val="096C43DF"/>
    <w:rsid w:val="099A2423"/>
    <w:rsid w:val="0A1026E6"/>
    <w:rsid w:val="0A173A74"/>
    <w:rsid w:val="0CFF0F1B"/>
    <w:rsid w:val="0D0227BA"/>
    <w:rsid w:val="0D35493D"/>
    <w:rsid w:val="0EF03D30"/>
    <w:rsid w:val="0F40581B"/>
    <w:rsid w:val="0FFE370C"/>
    <w:rsid w:val="109776BD"/>
    <w:rsid w:val="126B1EB4"/>
    <w:rsid w:val="129245E0"/>
    <w:rsid w:val="12D20E80"/>
    <w:rsid w:val="14733F9D"/>
    <w:rsid w:val="14D62EA9"/>
    <w:rsid w:val="17AC76D6"/>
    <w:rsid w:val="17F453F5"/>
    <w:rsid w:val="17FF73C3"/>
    <w:rsid w:val="18137F71"/>
    <w:rsid w:val="1827648D"/>
    <w:rsid w:val="194D74B2"/>
    <w:rsid w:val="1997072D"/>
    <w:rsid w:val="1A1469BF"/>
    <w:rsid w:val="1B1F09DB"/>
    <w:rsid w:val="1B242E40"/>
    <w:rsid w:val="1C6B0A76"/>
    <w:rsid w:val="1D28626C"/>
    <w:rsid w:val="1E047E56"/>
    <w:rsid w:val="1E3D7AF5"/>
    <w:rsid w:val="1E982F7E"/>
    <w:rsid w:val="1F2B5BA0"/>
    <w:rsid w:val="2000527E"/>
    <w:rsid w:val="21AD6D40"/>
    <w:rsid w:val="22035423"/>
    <w:rsid w:val="22592A24"/>
    <w:rsid w:val="22A00653"/>
    <w:rsid w:val="22E04EF3"/>
    <w:rsid w:val="23333275"/>
    <w:rsid w:val="23AE4FF1"/>
    <w:rsid w:val="23B95E70"/>
    <w:rsid w:val="24030E99"/>
    <w:rsid w:val="24380203"/>
    <w:rsid w:val="243C084F"/>
    <w:rsid w:val="249146F7"/>
    <w:rsid w:val="2637307C"/>
    <w:rsid w:val="265C2AE3"/>
    <w:rsid w:val="26AC701F"/>
    <w:rsid w:val="26E03714"/>
    <w:rsid w:val="26FE2F45"/>
    <w:rsid w:val="288051AE"/>
    <w:rsid w:val="28A30E9D"/>
    <w:rsid w:val="28AA4EF0"/>
    <w:rsid w:val="29B064EA"/>
    <w:rsid w:val="2ABE3D6C"/>
    <w:rsid w:val="2B2142FB"/>
    <w:rsid w:val="2E114AFB"/>
    <w:rsid w:val="2E3E1D79"/>
    <w:rsid w:val="2F584399"/>
    <w:rsid w:val="313308E4"/>
    <w:rsid w:val="31750EFD"/>
    <w:rsid w:val="334B5335"/>
    <w:rsid w:val="33721B98"/>
    <w:rsid w:val="354D51B9"/>
    <w:rsid w:val="359A53D6"/>
    <w:rsid w:val="35DC779C"/>
    <w:rsid w:val="36AD2EE7"/>
    <w:rsid w:val="387E0FDF"/>
    <w:rsid w:val="3AAC2FD8"/>
    <w:rsid w:val="3AAF1923"/>
    <w:rsid w:val="3AE100DB"/>
    <w:rsid w:val="3B5F2F3B"/>
    <w:rsid w:val="3D0B21D6"/>
    <w:rsid w:val="3D271C45"/>
    <w:rsid w:val="3D7D3613"/>
    <w:rsid w:val="3DD1395F"/>
    <w:rsid w:val="3E021D6A"/>
    <w:rsid w:val="3E3839DE"/>
    <w:rsid w:val="3E4D1237"/>
    <w:rsid w:val="3F6F1681"/>
    <w:rsid w:val="3FBB48C6"/>
    <w:rsid w:val="3FCC0881"/>
    <w:rsid w:val="407C4056"/>
    <w:rsid w:val="408F1FDB"/>
    <w:rsid w:val="42723962"/>
    <w:rsid w:val="427E2307"/>
    <w:rsid w:val="43913808"/>
    <w:rsid w:val="44496945"/>
    <w:rsid w:val="44AE67A8"/>
    <w:rsid w:val="451A3E3D"/>
    <w:rsid w:val="451C5E07"/>
    <w:rsid w:val="4568104C"/>
    <w:rsid w:val="460D74FE"/>
    <w:rsid w:val="48515DC8"/>
    <w:rsid w:val="48BB1493"/>
    <w:rsid w:val="48F50E49"/>
    <w:rsid w:val="4986685D"/>
    <w:rsid w:val="4A5B2F2E"/>
    <w:rsid w:val="4A804742"/>
    <w:rsid w:val="4AD4683C"/>
    <w:rsid w:val="4BF2341E"/>
    <w:rsid w:val="4E52289A"/>
    <w:rsid w:val="4EB04070"/>
    <w:rsid w:val="4EEF633A"/>
    <w:rsid w:val="50025BF9"/>
    <w:rsid w:val="50E21CB3"/>
    <w:rsid w:val="51782617"/>
    <w:rsid w:val="51C07B1A"/>
    <w:rsid w:val="51FB0B52"/>
    <w:rsid w:val="520143BB"/>
    <w:rsid w:val="54FA3343"/>
    <w:rsid w:val="554C1DF1"/>
    <w:rsid w:val="56222B52"/>
    <w:rsid w:val="5630526E"/>
    <w:rsid w:val="565847C5"/>
    <w:rsid w:val="569357FD"/>
    <w:rsid w:val="56BF414D"/>
    <w:rsid w:val="5B370E4D"/>
    <w:rsid w:val="5C14118E"/>
    <w:rsid w:val="5C384E7D"/>
    <w:rsid w:val="5C6A7000"/>
    <w:rsid w:val="5CA2281A"/>
    <w:rsid w:val="5DC80482"/>
    <w:rsid w:val="5DF63241"/>
    <w:rsid w:val="5E2166FF"/>
    <w:rsid w:val="5EDA046D"/>
    <w:rsid w:val="5EFC4713"/>
    <w:rsid w:val="5F08322C"/>
    <w:rsid w:val="60DD4245"/>
    <w:rsid w:val="610B0DB2"/>
    <w:rsid w:val="61720E31"/>
    <w:rsid w:val="61882403"/>
    <w:rsid w:val="61B72CE8"/>
    <w:rsid w:val="630C7063"/>
    <w:rsid w:val="6370314E"/>
    <w:rsid w:val="64007732"/>
    <w:rsid w:val="64A62BA0"/>
    <w:rsid w:val="65A672FB"/>
    <w:rsid w:val="678E44EB"/>
    <w:rsid w:val="67CC0B6F"/>
    <w:rsid w:val="67DA7730"/>
    <w:rsid w:val="68B24209"/>
    <w:rsid w:val="693966D8"/>
    <w:rsid w:val="69C52F02"/>
    <w:rsid w:val="6A4175F2"/>
    <w:rsid w:val="6B855157"/>
    <w:rsid w:val="6C027255"/>
    <w:rsid w:val="6C0C3C30"/>
    <w:rsid w:val="6D6F0688"/>
    <w:rsid w:val="6E9F0D8B"/>
    <w:rsid w:val="6F12155D"/>
    <w:rsid w:val="6F1B2B08"/>
    <w:rsid w:val="6F6D70DC"/>
    <w:rsid w:val="70F74EAF"/>
    <w:rsid w:val="731C0BFD"/>
    <w:rsid w:val="748E78D8"/>
    <w:rsid w:val="74FD4A5E"/>
    <w:rsid w:val="7577036C"/>
    <w:rsid w:val="75C80BC8"/>
    <w:rsid w:val="76C06224"/>
    <w:rsid w:val="77A45665"/>
    <w:rsid w:val="77B51A44"/>
    <w:rsid w:val="79023324"/>
    <w:rsid w:val="79B53B59"/>
    <w:rsid w:val="7AA31C03"/>
    <w:rsid w:val="7CC55E61"/>
    <w:rsid w:val="7D676F18"/>
    <w:rsid w:val="7D7A30EF"/>
    <w:rsid w:val="7DB36601"/>
    <w:rsid w:val="7E0429B9"/>
    <w:rsid w:val="7E3A462D"/>
    <w:rsid w:val="7E786F03"/>
    <w:rsid w:val="7E812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2023-08-05T08:51:00Z</dcterms:created>
  <dc:creator>DELL</dc:creator>
  <cp:lastModifiedBy>咕噜咕噜</cp:lastModifiedBy>
  <dcterms:modified xsi:type="dcterms:W3CDTF">2023-09-05T10:04:06Z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4AECC38B7DD74BFAB94F2D2EFDC12EB7_12</vt:lpwstr>
  </property>
</Properties>
</file>