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eastAsia="宋体" w:cs="Arial"/>
          <w:b/>
          <w:bCs/>
          <w:color w:val="000000"/>
          <w:lang w:val="en-US" w:eastAsia="zh-CN"/>
        </w:rPr>
      </w:pPr>
      <w:r>
        <w:rPr>
          <w:rFonts w:hint="eastAsia" w:ascii="Arial" w:hAnsi="Arial" w:eastAsia="宋体" w:cs="Arial"/>
          <w:b/>
          <w:bCs/>
          <w:color w:val="000000"/>
          <w:lang w:val="en-US" w:eastAsia="zh-CN"/>
        </w:rPr>
        <w:t>Supplementary figures</w:t>
      </w:r>
    </w:p>
    <w:p>
      <w:pPr>
        <w:rPr>
          <w:rFonts w:ascii="Arial" w:hAnsi="Arial" w:cs="Arial"/>
          <w:b/>
          <w:bCs/>
          <w:color w:val="000000"/>
        </w:rPr>
      </w:pPr>
    </w:p>
    <w:p>
      <w:pPr>
        <w:pStyle w:val="5"/>
        <w:spacing w:line="48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Figure S1. Gating strategies to define SARS-CoV-2 RBD-specific B cells. (a)</w:t>
      </w:r>
      <w:r>
        <w:rPr>
          <w:rFonts w:ascii="Arial" w:hAnsi="Arial" w:cs="Arial"/>
          <w:color w:val="000000"/>
        </w:rPr>
        <w:t xml:space="preserve"> Lymphocytes were gated based on forward- and side-scatter and single cells were gated based on SSC-A andSSC-H. Total B cells were identified as CD19</w:t>
      </w:r>
      <w:r>
        <w:rPr>
          <w:rFonts w:ascii="Arial" w:hAnsi="Arial" w:cs="Arial"/>
          <w:color w:val="000000"/>
          <w:vertAlign w:val="superscript"/>
        </w:rPr>
        <w:t>+</w:t>
      </w:r>
      <w:r>
        <w:rPr>
          <w:rFonts w:ascii="Arial" w:hAnsi="Arial" w:cs="Arial"/>
          <w:color w:val="000000"/>
        </w:rPr>
        <w:t>cells. Memory B cells were identified as CD38</w:t>
      </w:r>
      <w:r>
        <w:rPr>
          <w:rFonts w:ascii="Arial" w:hAnsi="Arial" w:cs="Arial"/>
          <w:color w:val="000000"/>
          <w:vertAlign w:val="superscript"/>
        </w:rPr>
        <w:t>-</w:t>
      </w:r>
      <w:r>
        <w:rPr>
          <w:rFonts w:ascii="Arial" w:hAnsi="Arial" w:cs="Arial"/>
          <w:color w:val="000000"/>
        </w:rPr>
        <w:t>CD27</w:t>
      </w:r>
      <w:r>
        <w:rPr>
          <w:rFonts w:ascii="Arial" w:hAnsi="Arial" w:cs="Arial"/>
          <w:color w:val="000000"/>
          <w:vertAlign w:val="superscript"/>
        </w:rPr>
        <w:t>+</w:t>
      </w:r>
      <w:r>
        <w:rPr>
          <w:rFonts w:ascii="Arial" w:hAnsi="Arial" w:cs="Arial"/>
          <w:color w:val="000000"/>
        </w:rPr>
        <w:t>cells. spike specific B cells were identified based on binding to corresponding spike probe</w:t>
      </w:r>
      <w:bookmarkStart w:id="0" w:name="_GoBack"/>
      <w:bookmarkEnd w:id="0"/>
      <w:r>
        <w:rPr>
          <w:rFonts w:ascii="Arial" w:hAnsi="Arial" w:cs="Arial"/>
          <w:color w:val="000000"/>
        </w:rPr>
        <w:t>s. (</w:t>
      </w:r>
      <w:r>
        <w:rPr>
          <w:rFonts w:ascii="Arial" w:hAnsi="Arial" w:cs="Arial"/>
          <w:b/>
          <w:bCs/>
          <w:color w:val="000000"/>
        </w:rPr>
        <w:t>b</w:t>
      </w:r>
      <w:r>
        <w:rPr>
          <w:rFonts w:ascii="Arial" w:hAnsi="Arial" w:cs="Arial"/>
          <w:color w:val="000000"/>
        </w:rPr>
        <w:t>)Particular samples of BTI group and non-BTI group at T1 timepoint.</w:t>
      </w:r>
    </w:p>
    <w:p>
      <w:pPr>
        <w:rPr>
          <w:rFonts w:ascii="Arial" w:hAnsi="Arial" w:cs="Arial"/>
          <w:b/>
          <w:bCs/>
          <w:color w:val="000000"/>
          <w:lang w:eastAsia="zh-Hans"/>
        </w:rPr>
      </w:pPr>
      <w:r>
        <w:drawing>
          <wp:inline distT="0" distB="0" distL="0" distR="0">
            <wp:extent cx="5943600" cy="4268470"/>
            <wp:effectExtent l="0" t="0" r="0" b="0"/>
            <wp:docPr id="2361182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11828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6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00"/>
          <w:lang w:eastAsia="zh-Hans"/>
        </w:rPr>
        <w:br w:type="page"/>
      </w:r>
    </w:p>
    <w:p>
      <w:pPr>
        <w:pStyle w:val="5"/>
        <w:spacing w:line="480" w:lineRule="auto"/>
        <w:jc w:val="both"/>
        <w:rPr>
          <w:rFonts w:ascii="Arial" w:hAnsi="Arial" w:eastAsia="等线" w:cs="Arial"/>
          <w:b/>
          <w:bCs/>
          <w:color w:val="000000"/>
          <w:lang w:eastAsia="zh-Hans"/>
        </w:rPr>
      </w:pPr>
      <w:r>
        <w:rPr>
          <w:rFonts w:ascii="Arial" w:hAnsi="Arial" w:cs="Arial"/>
          <w:b/>
          <w:bCs/>
          <w:color w:val="000000"/>
          <w:lang w:eastAsia="zh-Hans"/>
        </w:rPr>
        <w:t xml:space="preserve">Figure S2 The Flow cytometry gating strategy to mark spike activated </w:t>
      </w:r>
      <w:r>
        <w:rPr>
          <w:rFonts w:hint="eastAsia" w:ascii="Arial" w:hAnsi="Arial" w:eastAsia="宋体" w:cs="Arial"/>
          <w:b/>
          <w:bCs/>
          <w:color w:val="000000"/>
          <w:lang w:val="en-US" w:eastAsia="zh-CN"/>
        </w:rPr>
        <w:t>c</w:t>
      </w:r>
      <w:r>
        <w:rPr>
          <w:rFonts w:ascii="Arial" w:hAnsi="Arial" w:cs="Arial"/>
          <w:b/>
          <w:bCs/>
          <w:color w:val="000000"/>
          <w:lang w:eastAsia="zh-Hans"/>
        </w:rPr>
        <w:t xml:space="preserve">Tfh and specific memory </w:t>
      </w:r>
      <w:r>
        <w:rPr>
          <w:rFonts w:hint="eastAsia" w:ascii="Arial" w:hAnsi="Arial" w:eastAsia="宋体" w:cs="Arial"/>
          <w:b/>
          <w:bCs/>
          <w:color w:val="000000"/>
          <w:lang w:val="en-US" w:eastAsia="zh-CN"/>
        </w:rPr>
        <w:t>c</w:t>
      </w:r>
      <w:r>
        <w:rPr>
          <w:rFonts w:ascii="Arial" w:hAnsi="Arial" w:cs="Arial"/>
          <w:b/>
          <w:bCs/>
          <w:color w:val="000000"/>
          <w:lang w:eastAsia="zh-Hans"/>
        </w:rPr>
        <w:t>Tfh. (a)</w:t>
      </w:r>
      <w:r>
        <w:rPr>
          <w:rFonts w:ascii="Arial" w:hAnsi="Arial" w:cs="Arial"/>
          <w:color w:val="000000"/>
          <w:lang w:eastAsia="zh-Hans"/>
        </w:rPr>
        <w:t xml:space="preserve">Representative flow cytometry gating strategy of spike activated </w:t>
      </w:r>
      <w:r>
        <w:rPr>
          <w:rFonts w:hint="eastAsia" w:ascii="Arial" w:hAnsi="Arial" w:eastAsia="宋体" w:cs="Arial"/>
          <w:color w:val="000000"/>
          <w:lang w:val="en-US" w:eastAsia="zh-CN"/>
        </w:rPr>
        <w:t>c</w:t>
      </w:r>
      <w:r>
        <w:rPr>
          <w:rFonts w:ascii="Arial" w:hAnsi="Arial" w:cs="Arial"/>
          <w:color w:val="000000"/>
          <w:lang w:eastAsia="zh-Hans"/>
        </w:rPr>
        <w:t xml:space="preserve">Tfh and specific memory </w:t>
      </w:r>
      <w:r>
        <w:rPr>
          <w:rFonts w:hint="eastAsia" w:ascii="Arial" w:hAnsi="Arial" w:eastAsia="宋体" w:cs="Arial"/>
          <w:color w:val="000000"/>
          <w:lang w:val="en-US" w:eastAsia="zh-CN"/>
        </w:rPr>
        <w:t>c</w:t>
      </w:r>
      <w:r>
        <w:rPr>
          <w:rFonts w:ascii="Arial" w:hAnsi="Arial" w:cs="Arial"/>
          <w:color w:val="000000"/>
          <w:lang w:eastAsia="zh-Hans"/>
        </w:rPr>
        <w:t>Tfh.</w:t>
      </w:r>
      <w:r>
        <w:rPr>
          <w:rFonts w:ascii="Arial" w:hAnsi="Arial" w:cs="Arial"/>
          <w:b/>
          <w:bCs/>
          <w:color w:val="000000"/>
          <w:lang w:eastAsia="zh-Hans"/>
        </w:rPr>
        <w:t xml:space="preserve"> (b)</w:t>
      </w:r>
      <w:r>
        <w:rPr>
          <w:rFonts w:ascii="Arial" w:hAnsi="Arial" w:cs="Arial"/>
          <w:color w:val="000000"/>
          <w:lang w:eastAsia="zh-Hans"/>
        </w:rPr>
        <w:t xml:space="preserve">Representative flow cytometry gating for activated </w:t>
      </w:r>
      <w:r>
        <w:rPr>
          <w:rFonts w:hint="eastAsia" w:ascii="Arial" w:hAnsi="Arial" w:eastAsia="宋体" w:cs="Arial"/>
          <w:color w:val="000000"/>
          <w:lang w:val="en-US" w:eastAsia="zh-CN"/>
        </w:rPr>
        <w:t>c</w:t>
      </w:r>
      <w:r>
        <w:rPr>
          <w:rFonts w:ascii="Arial" w:hAnsi="Arial" w:cs="Arial"/>
          <w:color w:val="000000"/>
          <w:lang w:eastAsia="zh-Hans"/>
        </w:rPr>
        <w:t xml:space="preserve">Tfh and memory </w:t>
      </w:r>
      <w:r>
        <w:rPr>
          <w:rFonts w:hint="eastAsia" w:ascii="Arial" w:hAnsi="Arial" w:eastAsia="宋体" w:cs="Arial"/>
          <w:color w:val="000000"/>
          <w:lang w:val="en-US" w:eastAsia="zh-CN"/>
        </w:rPr>
        <w:t>c</w:t>
      </w:r>
      <w:r>
        <w:rPr>
          <w:rFonts w:ascii="Arial" w:hAnsi="Arial" w:cs="Arial"/>
          <w:color w:val="000000"/>
          <w:lang w:eastAsia="zh-Hans"/>
        </w:rPr>
        <w:t>Tfh in BTI and non-BTI groups.</w:t>
      </w:r>
    </w:p>
    <w:p>
      <w:pPr>
        <w:rPr>
          <w:rFonts w:ascii="Arial" w:hAnsi="Arial" w:cs="Arial" w:eastAsiaTheme="minorEastAsia"/>
          <w:b/>
          <w:bCs/>
          <w:color w:val="000000"/>
        </w:rPr>
      </w:pPr>
      <w:r>
        <w:drawing>
          <wp:inline distT="0" distB="0" distL="0" distR="0">
            <wp:extent cx="5943600" cy="4317365"/>
            <wp:effectExtent l="0" t="0" r="0" b="6985"/>
            <wp:docPr id="14967891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78912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 w:eastAsiaTheme="minorEastAsia"/>
          <w:b/>
          <w:bCs/>
          <w:color w:val="000000"/>
        </w:rPr>
      </w:pPr>
    </w:p>
    <w:p>
      <w:pPr>
        <w:rPr>
          <w:rFonts w:ascii="Arial" w:hAnsi="Arial" w:cs="Arial" w:eastAsiaTheme="minorEastAsia"/>
          <w:b/>
          <w:bCs/>
          <w:color w:val="000000"/>
        </w:rPr>
      </w:pPr>
    </w:p>
    <w:p>
      <w:pPr>
        <w:rPr>
          <w:rFonts w:ascii="Arial" w:hAnsi="Arial" w:cs="Arial" w:eastAsiaTheme="minorEastAsia"/>
          <w:b/>
          <w:bCs/>
          <w:color w:val="000000"/>
        </w:rPr>
      </w:pPr>
    </w:p>
    <w:p>
      <w:pPr>
        <w:rPr>
          <w:rFonts w:ascii="Arial" w:hAnsi="Arial" w:cs="Arial" w:eastAsiaTheme="minorEastAsia"/>
          <w:b/>
          <w:bCs/>
          <w:color w:val="000000"/>
        </w:rPr>
      </w:pPr>
    </w:p>
    <w:p>
      <w:pPr>
        <w:rPr>
          <w:rFonts w:ascii="Arial" w:hAnsi="Arial" w:cs="Arial" w:eastAsiaTheme="minorEastAsia"/>
          <w:b/>
          <w:bCs/>
          <w:color w:val="000000"/>
        </w:rPr>
      </w:pPr>
    </w:p>
    <w:p>
      <w:pPr>
        <w:rPr>
          <w:rFonts w:ascii="Arial" w:hAnsi="Arial" w:cs="Arial" w:eastAsiaTheme="minorEastAsia"/>
          <w:b/>
          <w:bCs/>
          <w:color w:val="000000"/>
        </w:rPr>
      </w:pPr>
    </w:p>
    <w:p>
      <w:pPr>
        <w:rPr>
          <w:rFonts w:ascii="Arial" w:hAnsi="Arial" w:cs="Arial" w:eastAsiaTheme="minorEastAsia"/>
          <w:b/>
          <w:bCs/>
          <w:color w:val="000000"/>
        </w:rPr>
      </w:pPr>
    </w:p>
    <w:p>
      <w:pPr>
        <w:rPr>
          <w:rFonts w:ascii="Arial" w:hAnsi="Arial" w:cs="Arial" w:eastAsiaTheme="minorEastAsia"/>
          <w:b/>
          <w:bCs/>
          <w:color w:val="000000"/>
        </w:rPr>
      </w:pPr>
    </w:p>
    <w:p>
      <w:pPr>
        <w:rPr>
          <w:rFonts w:ascii="Arial" w:hAnsi="Arial" w:cs="Arial" w:eastAsiaTheme="minorEastAsia"/>
          <w:b/>
          <w:bCs/>
          <w:color w:val="000000"/>
        </w:rPr>
      </w:pPr>
    </w:p>
    <w:p>
      <w:pPr>
        <w:pStyle w:val="5"/>
        <w:spacing w:line="480" w:lineRule="auto"/>
        <w:jc w:val="both"/>
        <w:rPr>
          <w:rFonts w:ascii="Arial" w:hAnsi="Arial" w:cs="Arial"/>
          <w:b/>
          <w:bCs/>
          <w:color w:val="000000"/>
        </w:rPr>
      </w:pPr>
    </w:p>
    <w:p>
      <w:pPr>
        <w:pStyle w:val="5"/>
        <w:spacing w:line="48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Figure S3. The Flow cytometry gating strategy to mark spike activated CD4+ T and specific memory CD4+ T cell. </w:t>
      </w:r>
      <w:r>
        <w:rPr>
          <w:rFonts w:ascii="Arial" w:hAnsi="Arial" w:cs="Arial"/>
          <w:color w:val="000000"/>
        </w:rPr>
        <w:t>(</w:t>
      </w:r>
      <w:r>
        <w:rPr>
          <w:rFonts w:ascii="Arial" w:hAnsi="Arial" w:cs="Arial"/>
          <w:b/>
          <w:bCs/>
          <w:color w:val="000000"/>
        </w:rPr>
        <w:t>a</w:t>
      </w:r>
      <w:r>
        <w:rPr>
          <w:rFonts w:ascii="Arial" w:hAnsi="Arial" w:cs="Arial"/>
          <w:color w:val="000000"/>
        </w:rPr>
        <w:t>) Representative flow cytometry gating strategy of spike activated CD4+ T cell and specific memory CD4+ T cell. (</w:t>
      </w:r>
      <w:r>
        <w:rPr>
          <w:rFonts w:ascii="Arial" w:hAnsi="Arial" w:cs="Arial"/>
          <w:b/>
          <w:bCs/>
          <w:color w:val="000000"/>
        </w:rPr>
        <w:t>b</w:t>
      </w:r>
      <w:r>
        <w:rPr>
          <w:rFonts w:ascii="Arial" w:hAnsi="Arial" w:cs="Arial"/>
          <w:color w:val="000000"/>
        </w:rPr>
        <w:t>) Representative flow cytometry gating for activated CD4+ T cell and memory CD4+ T cell in BTI and non-BTI groups.</w:t>
      </w:r>
    </w:p>
    <w:p>
      <w:pPr>
        <w:rPr>
          <w:rFonts w:ascii="Arial" w:hAnsi="Arial" w:cs="Arial"/>
          <w:b/>
          <w:bCs/>
          <w:color w:val="000000"/>
        </w:rPr>
      </w:pPr>
      <w:r>
        <w:drawing>
          <wp:inline distT="0" distB="0" distL="0" distR="0">
            <wp:extent cx="5943600" cy="4285615"/>
            <wp:effectExtent l="0" t="0" r="0" b="635"/>
            <wp:docPr id="20207355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73559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8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00"/>
        </w:rPr>
        <w:br w:type="page"/>
      </w:r>
    </w:p>
    <w:p>
      <w:pPr>
        <w:pStyle w:val="5"/>
        <w:spacing w:line="48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Figure S4. The Flow cytometry gating strategy to mark spike activated CD4+ T and specific memory CD8+ T cell.</w:t>
      </w:r>
      <w:r>
        <w:rPr>
          <w:rFonts w:ascii="Arial" w:hAnsi="Arial" w:cs="Arial"/>
          <w:color w:val="000000"/>
        </w:rPr>
        <w:t xml:space="preserve"> (</w:t>
      </w:r>
      <w:r>
        <w:rPr>
          <w:rFonts w:ascii="Arial" w:hAnsi="Arial" w:cs="Arial"/>
          <w:b/>
          <w:bCs/>
          <w:color w:val="000000"/>
        </w:rPr>
        <w:t>a</w:t>
      </w:r>
      <w:r>
        <w:rPr>
          <w:rFonts w:ascii="Arial" w:hAnsi="Arial" w:cs="Arial"/>
          <w:color w:val="000000"/>
        </w:rPr>
        <w:t>) Representative flow cytometry gating strategy of spike activated CD8+ T cell and specific memory CD8+ T cell. (</w:t>
      </w:r>
      <w:r>
        <w:rPr>
          <w:rFonts w:ascii="Arial" w:hAnsi="Arial" w:cs="Arial"/>
          <w:b/>
          <w:bCs/>
          <w:color w:val="000000"/>
        </w:rPr>
        <w:t>b</w:t>
      </w:r>
      <w:r>
        <w:rPr>
          <w:rFonts w:ascii="Arial" w:hAnsi="Arial" w:cs="Arial"/>
          <w:color w:val="000000"/>
        </w:rPr>
        <w:t>) Representative flow cytometry gating for activated CD8+ T cell and memory CD8+ T cell in BTI and non-BTI groups.</w:t>
      </w:r>
    </w:p>
    <w:p>
      <w:r>
        <w:drawing>
          <wp:inline distT="0" distB="0" distL="0" distR="0">
            <wp:extent cx="5943600" cy="4302760"/>
            <wp:effectExtent l="0" t="0" r="0" b="2540"/>
            <wp:docPr id="636633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63358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5NDMxYzQ0ODRkZjA1MjkxNzQzMzYzMWI4MWJkNzYifQ=="/>
  </w:docVars>
  <w:rsids>
    <w:rsidRoot w:val="00437026"/>
    <w:rsid w:val="000168FA"/>
    <w:rsid w:val="000B35F5"/>
    <w:rsid w:val="00107F9F"/>
    <w:rsid w:val="001B6CFD"/>
    <w:rsid w:val="002A413E"/>
    <w:rsid w:val="003043F7"/>
    <w:rsid w:val="00346611"/>
    <w:rsid w:val="003E42CE"/>
    <w:rsid w:val="00437026"/>
    <w:rsid w:val="004425AA"/>
    <w:rsid w:val="00491D78"/>
    <w:rsid w:val="004A62C0"/>
    <w:rsid w:val="00527313"/>
    <w:rsid w:val="005E48B4"/>
    <w:rsid w:val="0065723C"/>
    <w:rsid w:val="0067042B"/>
    <w:rsid w:val="006F56A0"/>
    <w:rsid w:val="0076320E"/>
    <w:rsid w:val="007A6D95"/>
    <w:rsid w:val="007C7183"/>
    <w:rsid w:val="007E224D"/>
    <w:rsid w:val="007E2DFC"/>
    <w:rsid w:val="00854A2D"/>
    <w:rsid w:val="00854C69"/>
    <w:rsid w:val="00875E8F"/>
    <w:rsid w:val="008B15CE"/>
    <w:rsid w:val="00904E59"/>
    <w:rsid w:val="009225EB"/>
    <w:rsid w:val="00987A8C"/>
    <w:rsid w:val="00A14DE2"/>
    <w:rsid w:val="00A550A0"/>
    <w:rsid w:val="00B65986"/>
    <w:rsid w:val="00CB3CA2"/>
    <w:rsid w:val="00D2694C"/>
    <w:rsid w:val="00D34344"/>
    <w:rsid w:val="00DA131F"/>
    <w:rsid w:val="00DC55C0"/>
    <w:rsid w:val="00E4210C"/>
    <w:rsid w:val="00E81273"/>
    <w:rsid w:val="00EB5D66"/>
    <w:rsid w:val="00EF0C82"/>
    <w:rsid w:val="00F21479"/>
    <w:rsid w:val="00FB3DBB"/>
    <w:rsid w:val="46F17356"/>
    <w:rsid w:val="52161C41"/>
    <w:rsid w:val="F9FE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214</Words>
  <Characters>1224</Characters>
  <Lines>10</Lines>
  <Paragraphs>2</Paragraphs>
  <TotalTime>4</TotalTime>
  <ScaleCrop>false</ScaleCrop>
  <LinksUpToDate>false</LinksUpToDate>
  <CharactersWithSpaces>1436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2023-08-02T09:33:00Z</dcterms:created>
  <dc:creator>Office</dc:creator>
  <cp:lastModifiedBy>Saint。</cp:lastModifiedBy>
  <dcterms:modified xsi:type="dcterms:W3CDTF">2023-08-31T01:45:58Z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BFCA4D1E3F78556BAFEEC96442E225DD_42</vt:lpwstr>
  </property>
</Properties>
</file>