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9665" w14:textId="77777777" w:rsidR="002C75AE" w:rsidRPr="00D27D6D" w:rsidRDefault="002C75AE" w:rsidP="002C75AE">
      <w:pPr>
        <w:spacing w:line="480" w:lineRule="auto"/>
        <w:rPr>
          <w:rFonts w:ascii="Georgia" w:hAnsi="Georgia" w:cstheme="minorHAnsi"/>
          <w:b/>
          <w:bCs/>
          <w:color w:val="000000" w:themeColor="text1"/>
          <w:sz w:val="24"/>
          <w:szCs w:val="24"/>
        </w:rPr>
      </w:pP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Supplementary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Table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1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Diagnostic performance of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n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urse-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measured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and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k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iosk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BP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values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among patients treated for hypertension,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with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daytime ABPM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as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reference* (n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=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94) </w:t>
      </w:r>
    </w:p>
    <w:tbl>
      <w:tblPr>
        <w:tblStyle w:val="Tabellrutnt"/>
        <w:tblW w:w="8784" w:type="dxa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126"/>
      </w:tblGrid>
      <w:tr w:rsidR="002C75AE" w:rsidRPr="00D27D6D" w14:paraId="0FBC4131" w14:textId="77777777" w:rsidTr="00B057F6">
        <w:tc>
          <w:tcPr>
            <w:tcW w:w="2405" w:type="dxa"/>
          </w:tcPr>
          <w:p w14:paraId="2AA49E6C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Daytime ABPM</w:t>
            </w:r>
          </w:p>
          <w:p w14:paraId="085E6749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="Arial"/>
                <w:b/>
                <w:bCs/>
                <w:color w:val="000000" w:themeColor="text1"/>
                <w:sz w:val="24"/>
                <w:szCs w:val="24"/>
              </w:rPr>
              <w:t>≥</w:t>
            </w: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135/85 (reference)</w:t>
            </w:r>
          </w:p>
        </w:tc>
        <w:tc>
          <w:tcPr>
            <w:tcW w:w="2126" w:type="dxa"/>
          </w:tcPr>
          <w:p w14:paraId="28AD0B07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Nurse-</w:t>
            </w:r>
            <w:r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measured</w:t>
            </w: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 xml:space="preserve"> BP</w:t>
            </w:r>
            <w:r w:rsidRPr="00D27D6D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7D6D">
              <w:rPr>
                <w:rFonts w:ascii="Georgia" w:hAnsi="Georgia" w:cs="Arial"/>
                <w:b/>
                <w:bCs/>
                <w:color w:val="000000" w:themeColor="text1"/>
                <w:sz w:val="24"/>
                <w:szCs w:val="24"/>
              </w:rPr>
              <w:t>≥</w:t>
            </w: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140/90</w:t>
            </w:r>
          </w:p>
        </w:tc>
        <w:tc>
          <w:tcPr>
            <w:tcW w:w="2127" w:type="dxa"/>
          </w:tcPr>
          <w:p w14:paraId="118CC52A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 xml:space="preserve">Kiosk I </w:t>
            </w:r>
          </w:p>
          <w:p w14:paraId="6074A9E2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="Arial"/>
                <w:b/>
                <w:bCs/>
                <w:color w:val="000000" w:themeColor="text1"/>
                <w:sz w:val="24"/>
                <w:szCs w:val="24"/>
              </w:rPr>
              <w:t>BP ≥</w:t>
            </w: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135/85</w:t>
            </w:r>
          </w:p>
        </w:tc>
        <w:tc>
          <w:tcPr>
            <w:tcW w:w="2126" w:type="dxa"/>
          </w:tcPr>
          <w:p w14:paraId="76A623D5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Kiosk II</w:t>
            </w:r>
          </w:p>
          <w:p w14:paraId="5EB98F53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="Arial"/>
                <w:b/>
                <w:bCs/>
                <w:color w:val="000000" w:themeColor="text1"/>
                <w:sz w:val="24"/>
                <w:szCs w:val="24"/>
              </w:rPr>
              <w:t>BP ≥</w:t>
            </w: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140/90</w:t>
            </w:r>
          </w:p>
        </w:tc>
      </w:tr>
      <w:tr w:rsidR="002C75AE" w:rsidRPr="00D27D6D" w14:paraId="746D96E9" w14:textId="77777777" w:rsidTr="00B057F6">
        <w:tc>
          <w:tcPr>
            <w:tcW w:w="2405" w:type="dxa"/>
          </w:tcPr>
          <w:p w14:paraId="441DA6B4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Reference positive for hypertension, %</w:t>
            </w:r>
          </w:p>
        </w:tc>
        <w:tc>
          <w:tcPr>
            <w:tcW w:w="2126" w:type="dxa"/>
          </w:tcPr>
          <w:p w14:paraId="4091202E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50.0</w:t>
            </w:r>
          </w:p>
        </w:tc>
        <w:tc>
          <w:tcPr>
            <w:tcW w:w="2127" w:type="dxa"/>
          </w:tcPr>
          <w:p w14:paraId="1A8C67EB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50.0</w:t>
            </w:r>
          </w:p>
        </w:tc>
        <w:tc>
          <w:tcPr>
            <w:tcW w:w="2126" w:type="dxa"/>
          </w:tcPr>
          <w:p w14:paraId="177B68BB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50.0</w:t>
            </w:r>
          </w:p>
        </w:tc>
      </w:tr>
      <w:tr w:rsidR="002C75AE" w:rsidRPr="00D27D6D" w14:paraId="5E1531A3" w14:textId="77777777" w:rsidTr="00B057F6">
        <w:tc>
          <w:tcPr>
            <w:tcW w:w="2405" w:type="dxa"/>
          </w:tcPr>
          <w:p w14:paraId="2B4365B4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Sensitivity, % (95% CI)</w:t>
            </w:r>
          </w:p>
        </w:tc>
        <w:tc>
          <w:tcPr>
            <w:tcW w:w="2126" w:type="dxa"/>
          </w:tcPr>
          <w:p w14:paraId="53A16402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63.8 (48.5–77.3)</w:t>
            </w:r>
          </w:p>
        </w:tc>
        <w:tc>
          <w:tcPr>
            <w:tcW w:w="2127" w:type="dxa"/>
          </w:tcPr>
          <w:p w14:paraId="718694B6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87.2 (74.3–95.2)</w:t>
            </w:r>
          </w:p>
        </w:tc>
        <w:tc>
          <w:tcPr>
            <w:tcW w:w="2126" w:type="dxa"/>
          </w:tcPr>
          <w:p w14:paraId="53041136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74.4 (59.7–86.1)</w:t>
            </w:r>
          </w:p>
        </w:tc>
      </w:tr>
      <w:tr w:rsidR="002C75AE" w:rsidRPr="00D27D6D" w14:paraId="36566543" w14:textId="77777777" w:rsidTr="00B057F6">
        <w:tc>
          <w:tcPr>
            <w:tcW w:w="2405" w:type="dxa"/>
          </w:tcPr>
          <w:p w14:paraId="6E1E1F11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Specificity, % (95% CI)</w:t>
            </w:r>
          </w:p>
        </w:tc>
        <w:tc>
          <w:tcPr>
            <w:tcW w:w="2126" w:type="dxa"/>
          </w:tcPr>
          <w:p w14:paraId="149ABBC0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70.2 (55.1–82.7)</w:t>
            </w:r>
          </w:p>
        </w:tc>
        <w:tc>
          <w:tcPr>
            <w:tcW w:w="2127" w:type="dxa"/>
          </w:tcPr>
          <w:p w14:paraId="0F216FDF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34.0 (20.9–49.3)</w:t>
            </w:r>
          </w:p>
        </w:tc>
        <w:tc>
          <w:tcPr>
            <w:tcW w:w="2126" w:type="dxa"/>
          </w:tcPr>
          <w:p w14:paraId="10CD7D8E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63.8 (48.5–77.3)</w:t>
            </w:r>
          </w:p>
        </w:tc>
      </w:tr>
      <w:tr w:rsidR="002C75AE" w:rsidRPr="00D27D6D" w14:paraId="36168652" w14:textId="77777777" w:rsidTr="00B057F6">
        <w:tc>
          <w:tcPr>
            <w:tcW w:w="2405" w:type="dxa"/>
          </w:tcPr>
          <w:p w14:paraId="2B77896B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Positive predictive value, % (95% CI)</w:t>
            </w:r>
          </w:p>
        </w:tc>
        <w:tc>
          <w:tcPr>
            <w:tcW w:w="2126" w:type="dxa"/>
          </w:tcPr>
          <w:p w14:paraId="23DF8BB0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68.1 (56.8–77.8)</w:t>
            </w:r>
          </w:p>
        </w:tc>
        <w:tc>
          <w:tcPr>
            <w:tcW w:w="2127" w:type="dxa"/>
          </w:tcPr>
          <w:p w14:paraId="51FEB328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56.9 (51.2–62.5)</w:t>
            </w:r>
          </w:p>
        </w:tc>
        <w:tc>
          <w:tcPr>
            <w:tcW w:w="2126" w:type="dxa"/>
          </w:tcPr>
          <w:p w14:paraId="332BE5AA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67.3 (57.6–75.2)</w:t>
            </w:r>
          </w:p>
        </w:tc>
      </w:tr>
      <w:tr w:rsidR="002C75AE" w:rsidRPr="00D27D6D" w14:paraId="73C3157F" w14:textId="77777777" w:rsidTr="00B057F6">
        <w:tc>
          <w:tcPr>
            <w:tcW w:w="2405" w:type="dxa"/>
          </w:tcPr>
          <w:p w14:paraId="192BD048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Negative predictive value, % (95% CI)</w:t>
            </w:r>
          </w:p>
        </w:tc>
        <w:tc>
          <w:tcPr>
            <w:tcW w:w="2126" w:type="dxa"/>
          </w:tcPr>
          <w:p w14:paraId="40E2217D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66.0 56.0–74.8)</w:t>
            </w:r>
          </w:p>
        </w:tc>
        <w:tc>
          <w:tcPr>
            <w:tcW w:w="2127" w:type="dxa"/>
          </w:tcPr>
          <w:p w14:paraId="3E2B8F41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72.7 (53.4–86.2)</w:t>
            </w:r>
          </w:p>
        </w:tc>
        <w:tc>
          <w:tcPr>
            <w:tcW w:w="2126" w:type="dxa"/>
          </w:tcPr>
          <w:p w14:paraId="28237819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71.4 (59.5–81.0)</w:t>
            </w:r>
          </w:p>
        </w:tc>
      </w:tr>
      <w:tr w:rsidR="002C75AE" w:rsidRPr="00D27D6D" w14:paraId="0B31E7BC" w14:textId="77777777" w:rsidTr="00B057F6">
        <w:tc>
          <w:tcPr>
            <w:tcW w:w="2405" w:type="dxa"/>
          </w:tcPr>
          <w:p w14:paraId="1E1C8EBE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Positive likelihood ratio, (95% CI)</w:t>
            </w:r>
          </w:p>
        </w:tc>
        <w:tc>
          <w:tcPr>
            <w:tcW w:w="2126" w:type="dxa"/>
          </w:tcPr>
          <w:p w14:paraId="489CCE30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2.14 (1.31–3.49)</w:t>
            </w:r>
          </w:p>
        </w:tc>
        <w:tc>
          <w:tcPr>
            <w:tcW w:w="2127" w:type="dxa"/>
          </w:tcPr>
          <w:p w14:paraId="429EE5FF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1.32 (1.05–1.67)</w:t>
            </w:r>
          </w:p>
        </w:tc>
        <w:tc>
          <w:tcPr>
            <w:tcW w:w="2126" w:type="dxa"/>
          </w:tcPr>
          <w:p w14:paraId="64EA4A51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2.06 (1.36–3.12)</w:t>
            </w:r>
          </w:p>
        </w:tc>
      </w:tr>
      <w:tr w:rsidR="002C75AE" w:rsidRPr="00D27D6D" w14:paraId="53D91F62" w14:textId="77777777" w:rsidTr="00B057F6">
        <w:tc>
          <w:tcPr>
            <w:tcW w:w="2405" w:type="dxa"/>
          </w:tcPr>
          <w:p w14:paraId="1493D6C4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Negative likelihood ratio, (95% CI)</w:t>
            </w:r>
          </w:p>
        </w:tc>
        <w:tc>
          <w:tcPr>
            <w:tcW w:w="2126" w:type="dxa"/>
          </w:tcPr>
          <w:p w14:paraId="06A2CAEA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0.52 (0.34–0.79)</w:t>
            </w:r>
          </w:p>
        </w:tc>
        <w:tc>
          <w:tcPr>
            <w:tcW w:w="2127" w:type="dxa"/>
          </w:tcPr>
          <w:p w14:paraId="2E4F1ED8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0.37 (0.16–0.87)</w:t>
            </w:r>
          </w:p>
        </w:tc>
        <w:tc>
          <w:tcPr>
            <w:tcW w:w="2126" w:type="dxa"/>
          </w:tcPr>
          <w:p w14:paraId="2C5F01E9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0.40 (0.23–0.68)</w:t>
            </w:r>
          </w:p>
        </w:tc>
      </w:tr>
      <w:tr w:rsidR="002C75AE" w:rsidRPr="00D27D6D" w14:paraId="450FB36C" w14:textId="77777777" w:rsidTr="00B057F6">
        <w:tc>
          <w:tcPr>
            <w:tcW w:w="2405" w:type="dxa"/>
          </w:tcPr>
          <w:p w14:paraId="4B95E757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True positive (hypertensive), n (%)</w:t>
            </w:r>
          </w:p>
        </w:tc>
        <w:tc>
          <w:tcPr>
            <w:tcW w:w="2126" w:type="dxa"/>
          </w:tcPr>
          <w:p w14:paraId="50D8CE4B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30 (31.9)</w:t>
            </w:r>
          </w:p>
        </w:tc>
        <w:tc>
          <w:tcPr>
            <w:tcW w:w="2127" w:type="dxa"/>
          </w:tcPr>
          <w:p w14:paraId="286EFD59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41 (43.6)</w:t>
            </w:r>
          </w:p>
        </w:tc>
        <w:tc>
          <w:tcPr>
            <w:tcW w:w="2126" w:type="dxa"/>
          </w:tcPr>
          <w:p w14:paraId="44F9FA9A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35 (37.2)</w:t>
            </w:r>
          </w:p>
        </w:tc>
      </w:tr>
      <w:tr w:rsidR="002C75AE" w:rsidRPr="00D27D6D" w14:paraId="177CFE87" w14:textId="77777777" w:rsidTr="00B057F6">
        <w:tc>
          <w:tcPr>
            <w:tcW w:w="2405" w:type="dxa"/>
          </w:tcPr>
          <w:p w14:paraId="06630909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 xml:space="preserve">True negative (hypertensive), n </w:t>
            </w: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lastRenderedPageBreak/>
              <w:t>(%)</w:t>
            </w:r>
          </w:p>
        </w:tc>
        <w:tc>
          <w:tcPr>
            <w:tcW w:w="2126" w:type="dxa"/>
          </w:tcPr>
          <w:p w14:paraId="205E46BC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lastRenderedPageBreak/>
              <w:t>33 (35.1)</w:t>
            </w:r>
          </w:p>
        </w:tc>
        <w:tc>
          <w:tcPr>
            <w:tcW w:w="2127" w:type="dxa"/>
          </w:tcPr>
          <w:p w14:paraId="5BCC5111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16 (17.0)</w:t>
            </w:r>
          </w:p>
        </w:tc>
        <w:tc>
          <w:tcPr>
            <w:tcW w:w="2126" w:type="dxa"/>
          </w:tcPr>
          <w:p w14:paraId="484EF0E9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30 (32.0)</w:t>
            </w:r>
          </w:p>
        </w:tc>
      </w:tr>
      <w:tr w:rsidR="002C75AE" w:rsidRPr="00D27D6D" w14:paraId="6D646156" w14:textId="77777777" w:rsidTr="00B057F6">
        <w:tc>
          <w:tcPr>
            <w:tcW w:w="2405" w:type="dxa"/>
          </w:tcPr>
          <w:p w14:paraId="313D3964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False positive, n (%)</w:t>
            </w:r>
          </w:p>
        </w:tc>
        <w:tc>
          <w:tcPr>
            <w:tcW w:w="2126" w:type="dxa"/>
          </w:tcPr>
          <w:p w14:paraId="14CF7B96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14 (14.9)</w:t>
            </w:r>
          </w:p>
        </w:tc>
        <w:tc>
          <w:tcPr>
            <w:tcW w:w="2127" w:type="dxa"/>
          </w:tcPr>
          <w:p w14:paraId="76C4DD31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31 (33.0)</w:t>
            </w:r>
          </w:p>
        </w:tc>
        <w:tc>
          <w:tcPr>
            <w:tcW w:w="2126" w:type="dxa"/>
          </w:tcPr>
          <w:p w14:paraId="79668760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17 (18.1)</w:t>
            </w:r>
          </w:p>
        </w:tc>
      </w:tr>
      <w:tr w:rsidR="002C75AE" w:rsidRPr="00D27D6D" w14:paraId="3FC946FF" w14:textId="77777777" w:rsidTr="00B057F6">
        <w:tc>
          <w:tcPr>
            <w:tcW w:w="2405" w:type="dxa"/>
          </w:tcPr>
          <w:p w14:paraId="3EF71D00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False negative, n (%)</w:t>
            </w:r>
          </w:p>
        </w:tc>
        <w:tc>
          <w:tcPr>
            <w:tcW w:w="2126" w:type="dxa"/>
          </w:tcPr>
          <w:p w14:paraId="29204D1D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17 (18.1)</w:t>
            </w:r>
          </w:p>
        </w:tc>
        <w:tc>
          <w:tcPr>
            <w:tcW w:w="2127" w:type="dxa"/>
          </w:tcPr>
          <w:p w14:paraId="573B0948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 (6.4)</w:t>
            </w:r>
          </w:p>
        </w:tc>
        <w:tc>
          <w:tcPr>
            <w:tcW w:w="2126" w:type="dxa"/>
          </w:tcPr>
          <w:p w14:paraId="0EDFEE65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12 (12.8)</w:t>
            </w:r>
          </w:p>
        </w:tc>
      </w:tr>
      <w:tr w:rsidR="002C75AE" w:rsidRPr="00D27D6D" w14:paraId="6B53E423" w14:textId="77777777" w:rsidTr="00B057F6">
        <w:tc>
          <w:tcPr>
            <w:tcW w:w="2405" w:type="dxa"/>
          </w:tcPr>
          <w:p w14:paraId="27B58838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Accuracy, % (95% CI)</w:t>
            </w:r>
          </w:p>
        </w:tc>
        <w:tc>
          <w:tcPr>
            <w:tcW w:w="2126" w:type="dxa"/>
          </w:tcPr>
          <w:p w14:paraId="7A378F2D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67.0 (56.6–76.4)</w:t>
            </w:r>
          </w:p>
        </w:tc>
        <w:tc>
          <w:tcPr>
            <w:tcW w:w="2127" w:type="dxa"/>
          </w:tcPr>
          <w:p w14:paraId="407CB273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60.6 (50.0–70.6)</w:t>
            </w:r>
          </w:p>
        </w:tc>
        <w:tc>
          <w:tcPr>
            <w:tcW w:w="2126" w:type="dxa"/>
          </w:tcPr>
          <w:p w14:paraId="0AD6BE6C" w14:textId="77777777" w:rsidR="002C75AE" w:rsidRPr="00D27D6D" w:rsidRDefault="002C75AE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69.2 (58.8–78.3)</w:t>
            </w:r>
          </w:p>
        </w:tc>
      </w:tr>
    </w:tbl>
    <w:p w14:paraId="0C6407AE" w14:textId="77777777" w:rsidR="002C75AE" w:rsidRPr="00D27D6D" w:rsidRDefault="002C75AE" w:rsidP="002C75AE">
      <w:pPr>
        <w:spacing w:line="480" w:lineRule="auto"/>
        <w:rPr>
          <w:rFonts w:ascii="Georgia" w:hAnsi="Georgia" w:cs="Arial"/>
          <w:color w:val="000000" w:themeColor="text1"/>
          <w:sz w:val="24"/>
          <w:szCs w:val="24"/>
        </w:rPr>
      </w:pPr>
      <w:r w:rsidRPr="00D27D6D">
        <w:rPr>
          <w:rFonts w:ascii="Georgia" w:hAnsi="Georgia"/>
          <w:color w:val="000000" w:themeColor="text1"/>
          <w:sz w:val="24"/>
          <w:szCs w:val="24"/>
        </w:rPr>
        <w:t xml:space="preserve">*Diagnostic BP thresholds: </w:t>
      </w:r>
      <w:r>
        <w:rPr>
          <w:rFonts w:ascii="Georgia" w:hAnsi="Georgia"/>
          <w:color w:val="000000" w:themeColor="text1"/>
          <w:sz w:val="24"/>
          <w:szCs w:val="24"/>
        </w:rPr>
        <w:t>d</w:t>
      </w:r>
      <w:r w:rsidRPr="00D27D6D">
        <w:rPr>
          <w:rFonts w:ascii="Georgia" w:hAnsi="Georgia"/>
          <w:color w:val="000000" w:themeColor="text1"/>
          <w:sz w:val="24"/>
          <w:szCs w:val="24"/>
        </w:rPr>
        <w:t>aytime ABPM (reference)</w:t>
      </w:r>
      <w:r>
        <w:rPr>
          <w:rFonts w:ascii="Georgia" w:hAnsi="Georgia"/>
          <w:color w:val="000000" w:themeColor="text1"/>
          <w:sz w:val="24"/>
          <w:szCs w:val="24"/>
        </w:rPr>
        <w:t>,</w:t>
      </w:r>
      <w:r w:rsidRPr="00D27D6D">
        <w:rPr>
          <w:rFonts w:ascii="Georgia" w:hAnsi="Georgia"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≥135 mmHg systolic and/or ≥85 mmHg diastolic; </w:t>
      </w:r>
      <w:r>
        <w:rPr>
          <w:rFonts w:ascii="Georgia" w:hAnsi="Georgia" w:cs="Arial"/>
          <w:color w:val="000000" w:themeColor="text1"/>
          <w:sz w:val="24"/>
          <w:szCs w:val="24"/>
        </w:rPr>
        <w:t>n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>urse-</w:t>
      </w:r>
      <w:r>
        <w:rPr>
          <w:rFonts w:ascii="Georgia" w:hAnsi="Georgia" w:cs="Arial"/>
          <w:color w:val="000000" w:themeColor="text1"/>
          <w:sz w:val="24"/>
          <w:szCs w:val="24"/>
        </w:rPr>
        <w:t>measured,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 ≥140 mmHg systolic and/or ≥90 mmHg diastolic; and</w:t>
      </w:r>
      <w:r>
        <w:rPr>
          <w:rFonts w:ascii="Georgia" w:hAnsi="Georgia" w:cs="Arial"/>
          <w:color w:val="000000" w:themeColor="text1"/>
          <w:sz w:val="24"/>
          <w:szCs w:val="24"/>
        </w:rPr>
        <w:t xml:space="preserve"> kiosk,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 ≥135 mmHg systolic and/or ≥85 mmHg diastolic</w:t>
      </w:r>
      <w:r>
        <w:rPr>
          <w:rFonts w:ascii="Georgia" w:hAnsi="Georgia" w:cs="Arial"/>
          <w:color w:val="000000" w:themeColor="text1"/>
          <w:sz w:val="24"/>
          <w:szCs w:val="24"/>
        </w:rPr>
        <w:t xml:space="preserve"> (Kiosk I)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 or ≥140 mmHg systolic and/or ≥90 mmHg diastolic </w:t>
      </w:r>
      <w:r>
        <w:rPr>
          <w:rFonts w:ascii="Georgia" w:hAnsi="Georgia" w:cs="Arial"/>
          <w:color w:val="000000" w:themeColor="text1"/>
          <w:sz w:val="24"/>
          <w:szCs w:val="24"/>
        </w:rPr>
        <w:t>(Kiosk II)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 </w:t>
      </w:r>
    </w:p>
    <w:p w14:paraId="74876684" w14:textId="77777777" w:rsidR="002C75AE" w:rsidRPr="00D27D6D" w:rsidRDefault="002C75AE" w:rsidP="002C75AE">
      <w:pPr>
        <w:spacing w:line="480" w:lineRule="auto"/>
        <w:rPr>
          <w:rFonts w:ascii="Georgia" w:hAnsi="Georgia" w:cs="Arial"/>
          <w:color w:val="000000" w:themeColor="text1"/>
          <w:sz w:val="24"/>
          <w:szCs w:val="24"/>
        </w:rPr>
      </w:pPr>
      <w:r w:rsidRPr="00D27D6D">
        <w:rPr>
          <w:rFonts w:ascii="Georgia" w:hAnsi="Georgia" w:cs="Arial"/>
          <w:color w:val="000000" w:themeColor="text1"/>
          <w:sz w:val="24"/>
          <w:szCs w:val="24"/>
        </w:rPr>
        <w:t>Abbreviations: ABPM</w:t>
      </w:r>
      <w:r>
        <w:rPr>
          <w:rFonts w:ascii="Georgia" w:hAnsi="Georgia" w:cs="Arial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 ambulatory BP monitoring; BP</w:t>
      </w:r>
      <w:r>
        <w:rPr>
          <w:rFonts w:ascii="Georgia" w:hAnsi="Georgia" w:cs="Arial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 xml:space="preserve"> blood pressure; CI</w:t>
      </w:r>
      <w:r>
        <w:rPr>
          <w:rFonts w:ascii="Georgia" w:hAnsi="Georgia" w:cs="Arial"/>
          <w:color w:val="000000" w:themeColor="text1"/>
          <w:sz w:val="24"/>
          <w:szCs w:val="24"/>
        </w:rPr>
        <w:t xml:space="preserve">: </w:t>
      </w:r>
      <w:r w:rsidRPr="00D27D6D">
        <w:rPr>
          <w:rFonts w:ascii="Georgia" w:hAnsi="Georgia" w:cs="Arial"/>
          <w:color w:val="000000" w:themeColor="text1"/>
          <w:sz w:val="24"/>
          <w:szCs w:val="24"/>
        </w:rPr>
        <w:t>confidence interval</w:t>
      </w:r>
    </w:p>
    <w:p w14:paraId="0974BAA9" w14:textId="77777777" w:rsidR="002C75AE" w:rsidRPr="00D27D6D" w:rsidRDefault="002C75AE" w:rsidP="002C75AE">
      <w:pPr>
        <w:spacing w:line="480" w:lineRule="auto"/>
        <w:rPr>
          <w:rFonts w:ascii="Georgia" w:hAnsi="Georgia"/>
          <w:color w:val="000000" w:themeColor="text1"/>
          <w:sz w:val="24"/>
          <w:szCs w:val="24"/>
        </w:rPr>
      </w:pPr>
    </w:p>
    <w:p w14:paraId="0FD771A5" w14:textId="7555AFF7" w:rsidR="00E347B4" w:rsidRDefault="002C75AE">
      <w:r>
        <w:t xml:space="preserve"> </w:t>
      </w:r>
    </w:p>
    <w:sectPr w:rsidR="00E3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5AE"/>
    <w:rsid w:val="002C75AE"/>
    <w:rsid w:val="0058646E"/>
    <w:rsid w:val="00664C2A"/>
    <w:rsid w:val="00907856"/>
    <w:rsid w:val="00E3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49A0"/>
  <w15:chartTrackingRefBased/>
  <w15:docId w15:val="{D86A1BD4-D334-4149-8480-1B7C703C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RJH"/>
    <w:qFormat/>
    <w:rsid w:val="002C75AE"/>
    <w:pPr>
      <w:spacing w:after="0" w:line="240" w:lineRule="auto"/>
    </w:pPr>
    <w:rPr>
      <w:rFonts w:ascii="Arial Narrow" w:hAnsi="Arial Narrow"/>
      <w:kern w:val="0"/>
      <w:sz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C75A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Nilsson</dc:creator>
  <cp:keywords/>
  <dc:description/>
  <cp:lastModifiedBy>Gunnar Nilsson</cp:lastModifiedBy>
  <cp:revision>2</cp:revision>
  <dcterms:created xsi:type="dcterms:W3CDTF">2023-08-31T14:19:00Z</dcterms:created>
  <dcterms:modified xsi:type="dcterms:W3CDTF">2023-08-31T14:19:00Z</dcterms:modified>
</cp:coreProperties>
</file>