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F991" w14:textId="77777777" w:rsidR="00CD0ED3" w:rsidRPr="00D27D6D" w:rsidRDefault="00CD0ED3" w:rsidP="00CD0ED3">
      <w:pPr>
        <w:spacing w:line="480" w:lineRule="auto"/>
        <w:rPr>
          <w:rFonts w:ascii="Georgia" w:hAnsi="Georgia" w:cstheme="minorHAnsi"/>
          <w:color w:val="000000" w:themeColor="text1"/>
          <w:sz w:val="24"/>
          <w:szCs w:val="24"/>
        </w:rPr>
      </w:pP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Supplementary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Table 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2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Mean BP before (I) and after (II) ABPM by type of BP monitoring* (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N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=</w:t>
      </w:r>
      <w:r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 xml:space="preserve"> </w:t>
      </w:r>
      <w:r w:rsidRPr="00D27D6D">
        <w:rPr>
          <w:rFonts w:ascii="Georgia" w:hAnsi="Georgia" w:cstheme="minorHAnsi"/>
          <w:b/>
          <w:bCs/>
          <w:color w:val="000000" w:themeColor="text1"/>
          <w:sz w:val="24"/>
          <w:szCs w:val="24"/>
        </w:rPr>
        <w:t>117)</w:t>
      </w:r>
    </w:p>
    <w:tbl>
      <w:tblPr>
        <w:tblStyle w:val="Tabellrutnt"/>
        <w:tblW w:w="8359" w:type="dxa"/>
        <w:tblLayout w:type="fixed"/>
        <w:tblLook w:val="04A0" w:firstRow="1" w:lastRow="0" w:firstColumn="1" w:lastColumn="0" w:noHBand="0" w:noVBand="1"/>
      </w:tblPr>
      <w:tblGrid>
        <w:gridCol w:w="1696"/>
        <w:gridCol w:w="1713"/>
        <w:gridCol w:w="1809"/>
        <w:gridCol w:w="1865"/>
        <w:gridCol w:w="1276"/>
      </w:tblGrid>
      <w:tr w:rsidR="00CD0ED3" w:rsidRPr="00513749" w14:paraId="417E9F12" w14:textId="77777777" w:rsidTr="00B057F6">
        <w:trPr>
          <w:trHeight w:val="1574"/>
        </w:trPr>
        <w:tc>
          <w:tcPr>
            <w:tcW w:w="1696" w:type="dxa"/>
          </w:tcPr>
          <w:p w14:paraId="6CB82250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Type of BP monitoring</w:t>
            </w:r>
          </w:p>
        </w:tc>
        <w:tc>
          <w:tcPr>
            <w:tcW w:w="1713" w:type="dxa"/>
          </w:tcPr>
          <w:p w14:paraId="6F0953F7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Systolic BP I, mean (SD)</w:t>
            </w:r>
          </w:p>
        </w:tc>
        <w:tc>
          <w:tcPr>
            <w:tcW w:w="1809" w:type="dxa"/>
          </w:tcPr>
          <w:p w14:paraId="53E72324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Systolic BP II, mean (SD)</w:t>
            </w:r>
          </w:p>
        </w:tc>
        <w:tc>
          <w:tcPr>
            <w:tcW w:w="1865" w:type="dxa"/>
          </w:tcPr>
          <w:p w14:paraId="653BF205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Mean difference (95% CI)</w:t>
            </w:r>
          </w:p>
        </w:tc>
        <w:tc>
          <w:tcPr>
            <w:tcW w:w="1276" w:type="dxa"/>
          </w:tcPr>
          <w:p w14:paraId="47C090C5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D0ED3" w:rsidRPr="00513749" w14:paraId="311307BB" w14:textId="77777777" w:rsidTr="00B057F6">
        <w:trPr>
          <w:trHeight w:val="300"/>
        </w:trPr>
        <w:tc>
          <w:tcPr>
            <w:tcW w:w="1696" w:type="dxa"/>
          </w:tcPr>
          <w:p w14:paraId="31A956A6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Kiosk</w:t>
            </w:r>
          </w:p>
        </w:tc>
        <w:tc>
          <w:tcPr>
            <w:tcW w:w="1713" w:type="dxa"/>
          </w:tcPr>
          <w:p w14:paraId="486DE15E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144.8 (14.5)</w:t>
            </w:r>
          </w:p>
        </w:tc>
        <w:tc>
          <w:tcPr>
            <w:tcW w:w="1809" w:type="dxa"/>
          </w:tcPr>
          <w:p w14:paraId="3A6B9C6E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139.2 (15.9)</w:t>
            </w:r>
          </w:p>
        </w:tc>
        <w:tc>
          <w:tcPr>
            <w:tcW w:w="1865" w:type="dxa"/>
          </w:tcPr>
          <w:p w14:paraId="4D5CF42A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5.6 (3.3–7.9)</w:t>
            </w:r>
          </w:p>
        </w:tc>
        <w:tc>
          <w:tcPr>
            <w:tcW w:w="1276" w:type="dxa"/>
          </w:tcPr>
          <w:p w14:paraId="020FBEB0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CD0ED3" w:rsidRPr="00513749" w14:paraId="2329C56E" w14:textId="77777777" w:rsidTr="00B057F6">
        <w:trPr>
          <w:trHeight w:val="300"/>
        </w:trPr>
        <w:tc>
          <w:tcPr>
            <w:tcW w:w="1696" w:type="dxa"/>
          </w:tcPr>
          <w:p w14:paraId="421C67B4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Nurse-measured**</w:t>
            </w:r>
          </w:p>
        </w:tc>
        <w:tc>
          <w:tcPr>
            <w:tcW w:w="1713" w:type="dxa"/>
          </w:tcPr>
          <w:p w14:paraId="56C33BE8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140.0 (13.8)</w:t>
            </w:r>
          </w:p>
        </w:tc>
        <w:tc>
          <w:tcPr>
            <w:tcW w:w="1809" w:type="dxa"/>
          </w:tcPr>
          <w:p w14:paraId="1ADE131E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136.1 (14.5)</w:t>
            </w:r>
          </w:p>
        </w:tc>
        <w:tc>
          <w:tcPr>
            <w:tcW w:w="1865" w:type="dxa"/>
          </w:tcPr>
          <w:p w14:paraId="54902596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3.8 (2.0–5.7)</w:t>
            </w:r>
          </w:p>
        </w:tc>
        <w:tc>
          <w:tcPr>
            <w:tcW w:w="1276" w:type="dxa"/>
          </w:tcPr>
          <w:p w14:paraId="38FED478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CD0ED3" w:rsidRPr="00513749" w14:paraId="279A0AD9" w14:textId="77777777" w:rsidTr="00B057F6">
        <w:trPr>
          <w:trHeight w:val="300"/>
        </w:trPr>
        <w:tc>
          <w:tcPr>
            <w:tcW w:w="1696" w:type="dxa"/>
          </w:tcPr>
          <w:p w14:paraId="1487CB87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Type of BP monitoring</w:t>
            </w:r>
          </w:p>
        </w:tc>
        <w:tc>
          <w:tcPr>
            <w:tcW w:w="1713" w:type="dxa"/>
          </w:tcPr>
          <w:p w14:paraId="3897C738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Diastolic BP I, mean (SD)</w:t>
            </w:r>
          </w:p>
        </w:tc>
        <w:tc>
          <w:tcPr>
            <w:tcW w:w="1809" w:type="dxa"/>
          </w:tcPr>
          <w:p w14:paraId="31C28CA1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Diastolic BP II, mean (SD)</w:t>
            </w:r>
          </w:p>
        </w:tc>
        <w:tc>
          <w:tcPr>
            <w:tcW w:w="1865" w:type="dxa"/>
          </w:tcPr>
          <w:p w14:paraId="0F99DBCD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 xml:space="preserve">Mean difference (95% CI) </w:t>
            </w:r>
          </w:p>
        </w:tc>
        <w:tc>
          <w:tcPr>
            <w:tcW w:w="1276" w:type="dxa"/>
          </w:tcPr>
          <w:p w14:paraId="1C91FCC0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b/>
                <w:bCs/>
                <w:color w:val="000000" w:themeColor="text1"/>
                <w:sz w:val="24"/>
                <w:szCs w:val="24"/>
              </w:rPr>
              <w:t>P</w:t>
            </w:r>
          </w:p>
        </w:tc>
      </w:tr>
      <w:tr w:rsidR="00CD0ED3" w:rsidRPr="00513749" w14:paraId="1A9C4042" w14:textId="77777777" w:rsidTr="00B057F6">
        <w:trPr>
          <w:trHeight w:val="300"/>
        </w:trPr>
        <w:tc>
          <w:tcPr>
            <w:tcW w:w="1696" w:type="dxa"/>
          </w:tcPr>
          <w:p w14:paraId="5B9EEA0B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Kiosk</w:t>
            </w:r>
          </w:p>
        </w:tc>
        <w:tc>
          <w:tcPr>
            <w:tcW w:w="1713" w:type="dxa"/>
          </w:tcPr>
          <w:p w14:paraId="7A857F36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86.8 (10.9)</w:t>
            </w:r>
          </w:p>
        </w:tc>
        <w:tc>
          <w:tcPr>
            <w:tcW w:w="1809" w:type="dxa"/>
          </w:tcPr>
          <w:p w14:paraId="6E6E24F0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83.7 (11.1)</w:t>
            </w:r>
          </w:p>
        </w:tc>
        <w:tc>
          <w:tcPr>
            <w:tcW w:w="1865" w:type="dxa"/>
          </w:tcPr>
          <w:p w14:paraId="128C01CD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3.1 (1.5–4.6)</w:t>
            </w:r>
          </w:p>
        </w:tc>
        <w:tc>
          <w:tcPr>
            <w:tcW w:w="1276" w:type="dxa"/>
          </w:tcPr>
          <w:p w14:paraId="202DDDA2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CD0ED3" w:rsidRPr="00513749" w14:paraId="701B151D" w14:textId="77777777" w:rsidTr="00B057F6">
        <w:trPr>
          <w:trHeight w:val="300"/>
        </w:trPr>
        <w:tc>
          <w:tcPr>
            <w:tcW w:w="1696" w:type="dxa"/>
          </w:tcPr>
          <w:p w14:paraId="7759E47D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Nurse-measured</w:t>
            </w:r>
          </w:p>
        </w:tc>
        <w:tc>
          <w:tcPr>
            <w:tcW w:w="1713" w:type="dxa"/>
          </w:tcPr>
          <w:p w14:paraId="4E9F784F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85.7 (9.9)</w:t>
            </w:r>
          </w:p>
        </w:tc>
        <w:tc>
          <w:tcPr>
            <w:tcW w:w="1809" w:type="dxa"/>
          </w:tcPr>
          <w:p w14:paraId="56D753ED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83.4 (9.1)</w:t>
            </w:r>
          </w:p>
        </w:tc>
        <w:tc>
          <w:tcPr>
            <w:tcW w:w="1865" w:type="dxa"/>
          </w:tcPr>
          <w:p w14:paraId="1DBB9426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2.3 (1.0–3.5)</w:t>
            </w:r>
          </w:p>
        </w:tc>
        <w:tc>
          <w:tcPr>
            <w:tcW w:w="1276" w:type="dxa"/>
          </w:tcPr>
          <w:p w14:paraId="402F429B" w14:textId="77777777" w:rsidR="00CD0ED3" w:rsidRPr="000523F6" w:rsidRDefault="00CD0ED3" w:rsidP="00B057F6">
            <w:pPr>
              <w:spacing w:line="480" w:lineRule="auto"/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</w:pPr>
            <w:r w:rsidRPr="000523F6">
              <w:rPr>
                <w:rFonts w:ascii="Georgia" w:hAnsi="Georgia"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5A05ED73" w14:textId="77777777" w:rsidR="00CD0ED3" w:rsidRPr="00D27D6D" w:rsidRDefault="00CD0ED3" w:rsidP="00CD0ED3">
      <w:pPr>
        <w:spacing w:line="480" w:lineRule="auto"/>
        <w:rPr>
          <w:rFonts w:ascii="Georgia" w:hAnsi="Georgia" w:cstheme="minorHAnsi"/>
          <w:color w:val="000000" w:themeColor="text1"/>
          <w:sz w:val="24"/>
          <w:szCs w:val="24"/>
        </w:rPr>
      </w:pP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Analyses performed with paired </w:t>
      </w:r>
      <w:r w:rsidRPr="00D27D6D">
        <w:rPr>
          <w:rFonts w:ascii="Georgia" w:hAnsi="Georgia" w:cstheme="minorHAnsi"/>
          <w:i/>
          <w:iCs/>
          <w:color w:val="000000" w:themeColor="text1"/>
          <w:sz w:val="24"/>
          <w:szCs w:val="24"/>
        </w:rPr>
        <w:t>t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-test</w:t>
      </w:r>
      <w:r>
        <w:rPr>
          <w:rFonts w:ascii="Georgia" w:hAnsi="Georgia" w:cstheme="minorHAnsi"/>
          <w:color w:val="000000" w:themeColor="text1"/>
          <w:sz w:val="24"/>
          <w:szCs w:val="24"/>
        </w:rPr>
        <w:t>s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.</w:t>
      </w:r>
    </w:p>
    <w:p w14:paraId="30732E9E" w14:textId="77777777" w:rsidR="00CD0ED3" w:rsidRDefault="00CD0ED3" w:rsidP="00CD0ED3">
      <w:pPr>
        <w:spacing w:line="480" w:lineRule="auto"/>
        <w:rPr>
          <w:rFonts w:ascii="Georgia" w:hAnsi="Georgia" w:cstheme="minorHAnsi"/>
          <w:color w:val="000000" w:themeColor="text1"/>
          <w:sz w:val="24"/>
          <w:szCs w:val="24"/>
        </w:rPr>
      </w:pP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*Mean of two BP measurements, in kiosk for self-directed BP monitoring and </w:t>
      </w:r>
      <w:r>
        <w:rPr>
          <w:rFonts w:ascii="Georgia" w:hAnsi="Georgia" w:cstheme="minorHAnsi"/>
          <w:color w:val="000000" w:themeColor="text1"/>
          <w:sz w:val="24"/>
          <w:szCs w:val="24"/>
        </w:rPr>
        <w:t>nurse-measured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, before (I) and after (II) ABPM </w:t>
      </w:r>
    </w:p>
    <w:p w14:paraId="4DD03512" w14:textId="77777777" w:rsidR="00CD0ED3" w:rsidRDefault="00CD0ED3" w:rsidP="00CD0ED3">
      <w:pPr>
        <w:spacing w:line="480" w:lineRule="auto"/>
        <w:rPr>
          <w:rFonts w:ascii="Georgia" w:hAnsi="Georgia" w:cstheme="minorHAnsi"/>
          <w:b/>
          <w:bCs/>
          <w:color w:val="000000" w:themeColor="text1"/>
          <w:sz w:val="24"/>
          <w:szCs w:val="24"/>
        </w:rPr>
      </w:pP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Abbreviations: ABPM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ambulatory blood pressure monitoring; BP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blood pressure; CI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confidence interval</w:t>
      </w:r>
      <w:r>
        <w:rPr>
          <w:rFonts w:ascii="Georgia" w:hAnsi="Georgia" w:cstheme="minorHAnsi"/>
          <w:color w:val="000000" w:themeColor="text1"/>
          <w:sz w:val="24"/>
          <w:szCs w:val="24"/>
        </w:rPr>
        <w:t xml:space="preserve">; 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>SD</w:t>
      </w:r>
      <w:r>
        <w:rPr>
          <w:rFonts w:ascii="Georgia" w:hAnsi="Georgia" w:cstheme="minorHAnsi"/>
          <w:color w:val="000000" w:themeColor="text1"/>
          <w:sz w:val="24"/>
          <w:szCs w:val="24"/>
        </w:rPr>
        <w:t>:</w:t>
      </w:r>
      <w:r w:rsidRPr="00D27D6D">
        <w:rPr>
          <w:rFonts w:ascii="Georgia" w:hAnsi="Georgia" w:cstheme="minorHAnsi"/>
          <w:color w:val="000000" w:themeColor="text1"/>
          <w:sz w:val="24"/>
          <w:szCs w:val="24"/>
        </w:rPr>
        <w:t xml:space="preserve"> standard deviation</w:t>
      </w:r>
    </w:p>
    <w:p w14:paraId="4790CCEE" w14:textId="77777777" w:rsidR="00CD0ED3" w:rsidRDefault="00CD0ED3" w:rsidP="00CD0ED3">
      <w:pPr>
        <w:spacing w:line="480" w:lineRule="auto"/>
        <w:rPr>
          <w:rFonts w:ascii="Georgia" w:hAnsi="Georgia" w:cstheme="minorHAnsi"/>
          <w:b/>
          <w:bCs/>
          <w:color w:val="000000" w:themeColor="text1"/>
          <w:sz w:val="24"/>
          <w:szCs w:val="24"/>
        </w:rPr>
      </w:pPr>
    </w:p>
    <w:p w14:paraId="61F4CB2E" w14:textId="7BCB821B" w:rsidR="00E347B4" w:rsidRDefault="00CD0ED3">
      <w:r>
        <w:t xml:space="preserve"> </w:t>
      </w:r>
    </w:p>
    <w:sectPr w:rsidR="00E34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ED3"/>
    <w:rsid w:val="001E63C9"/>
    <w:rsid w:val="0058646E"/>
    <w:rsid w:val="00907856"/>
    <w:rsid w:val="00CD0ED3"/>
    <w:rsid w:val="00E3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6763"/>
  <w15:chartTrackingRefBased/>
  <w15:docId w15:val="{50D3700C-49F6-4E99-8B28-5E57FBED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RJH"/>
    <w:qFormat/>
    <w:rsid w:val="00CD0ED3"/>
    <w:pPr>
      <w:spacing w:after="0" w:line="240" w:lineRule="auto"/>
    </w:pPr>
    <w:rPr>
      <w:rFonts w:ascii="Arial Narrow" w:hAnsi="Arial Narrow"/>
      <w:kern w:val="0"/>
      <w:sz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D0ED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Nilsson</dc:creator>
  <cp:keywords/>
  <dc:description/>
  <cp:lastModifiedBy>Gunnar Nilsson</cp:lastModifiedBy>
  <cp:revision>2</cp:revision>
  <dcterms:created xsi:type="dcterms:W3CDTF">2023-08-31T14:18:00Z</dcterms:created>
  <dcterms:modified xsi:type="dcterms:W3CDTF">2023-08-31T14:18:00Z</dcterms:modified>
</cp:coreProperties>
</file>