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1D1C" w:rsidRDefault="001C1D1C" w:rsidP="001C1D1C">
      <w:pPr>
        <w:pStyle w:val="Tez2"/>
        <w:outlineLvl w:val="1"/>
      </w:pPr>
      <w:bookmarkStart w:id="0" w:name="_Toc103689753"/>
      <w:r>
        <w:t>Data on the Scales Applied to the ASD Group</w:t>
      </w:r>
    </w:p>
    <w:p w:rsidR="001C1D1C" w:rsidRDefault="001C1D1C" w:rsidP="001C1D1C">
      <w:pPr>
        <w:spacing w:after="0" w:line="360" w:lineRule="auto"/>
        <w:jc w:val="both"/>
        <w:rPr>
          <w:rFonts w:ascii="Times New Roman" w:hAnsi="Times New Roman" w:cs="Times New Roman"/>
          <w:sz w:val="24"/>
        </w:rPr>
      </w:pPr>
      <w:r>
        <w:rPr>
          <w:rFonts w:ascii="Times New Roman" w:hAnsi="Times New Roman" w:cs="Times New Roman"/>
          <w:sz w:val="24"/>
        </w:rPr>
        <w:t>According to the total scores of CARS, 37.5% (n=15) of the children with ASD showed severe and 62.5% (n=25) showed mild-moderate symptoms of autism. The mean and standard deviation of the CARS total scores of children with ASD was 39.35±7.</w:t>
      </w:r>
      <w:proofErr w:type="gramStart"/>
      <w:r>
        <w:rPr>
          <w:rFonts w:ascii="Times New Roman" w:hAnsi="Times New Roman" w:cs="Times New Roman"/>
          <w:sz w:val="24"/>
        </w:rPr>
        <w:t>89.In</w:t>
      </w:r>
      <w:proofErr w:type="gramEnd"/>
      <w:r>
        <w:rPr>
          <w:rFonts w:ascii="Times New Roman" w:hAnsi="Times New Roman" w:cs="Times New Roman"/>
          <w:sz w:val="24"/>
        </w:rPr>
        <w:t xml:space="preserve"> children with ASD, the mean and standard deviation of the PLS-4 receptive language lower value was 21.45±14.08, with a mean and standard deviation of the upper value of 25.55±14.94 months. It was observed that the PLS-4 receptive language data of the children were a minimum of 9 months and a maximum of 59 months. The mean and standard deviation of the PLS-4 expressive language lower value was 19.35±12.71, with a mean and standard deviation of the upper value of 23.15±13.76 months. It was observed that the PLS-4 expressive language data of the children were a minimum of 9 months and a maximum of 53 months. </w:t>
      </w:r>
    </w:p>
    <w:p w:rsidR="001C1D1C" w:rsidRDefault="001C1D1C" w:rsidP="001C1D1C">
      <w:pPr>
        <w:spacing w:after="0" w:line="360" w:lineRule="auto"/>
        <w:ind w:firstLine="709"/>
        <w:jc w:val="both"/>
      </w:pPr>
      <w:r>
        <w:rPr>
          <w:rFonts w:ascii="Times New Roman" w:hAnsi="Times New Roman" w:cs="Times New Roman"/>
          <w:sz w:val="24"/>
        </w:rPr>
        <w:t>Serum CD163, YKL-40, and VILIP-1 levels obtained from the ASD and control groups were compared, and the results are shown in Table 2. There was a significant difference between the groups in terms of VILIP-1 (U=592.5, p&lt;.05) levels, while no significant difference was found in terms of CD163 (U=747.5, p=.613) and YKL-40 (U=769.5, p=.769) levels. Accordingly, the children in the ASD group were found to have significantly higher VILIP-1 levels than those in the control group.</w:t>
      </w:r>
    </w:p>
    <w:p w:rsidR="001C1D1C" w:rsidRDefault="001C1D1C" w:rsidP="001C1D1C">
      <w:pPr>
        <w:pStyle w:val="Tez2"/>
        <w:outlineLvl w:val="1"/>
      </w:pPr>
    </w:p>
    <w:p w:rsidR="001C1D1C" w:rsidRDefault="001C1D1C" w:rsidP="001C1D1C">
      <w:pPr>
        <w:pStyle w:val="ResimYazs"/>
        <w:rPr>
          <w:rFonts w:ascii="Times New Roman" w:hAnsi="Times New Roman" w:cs="Times New Roman"/>
          <w:b/>
          <w:i w:val="0"/>
          <w:color w:val="auto"/>
          <w:sz w:val="24"/>
        </w:rPr>
      </w:pPr>
      <w:bookmarkStart w:id="1" w:name="_Toc101858125"/>
      <w:r>
        <w:rPr>
          <w:rFonts w:ascii="Times New Roman" w:hAnsi="Times New Roman" w:cs="Times New Roman"/>
          <w:b/>
          <w:i w:val="0"/>
          <w:color w:val="auto"/>
          <w:sz w:val="24"/>
        </w:rPr>
        <w:t>Table 2. Comparison of Serum CD163, YKL-40, and VILIP-1 Levels of the Groups</w:t>
      </w:r>
      <w:bookmarkEnd w:id="1"/>
    </w:p>
    <w:tbl>
      <w:tblPr>
        <w:tblStyle w:val="ListeTablo6Renkli"/>
        <w:tblW w:w="7088" w:type="dxa"/>
        <w:shd w:val="clear" w:color="auto" w:fill="FFFFFF" w:themeFill="background1"/>
        <w:tblLayout w:type="fixed"/>
        <w:tblLook w:val="04A0" w:firstRow="1" w:lastRow="0" w:firstColumn="1" w:lastColumn="0" w:noHBand="0" w:noVBand="1"/>
      </w:tblPr>
      <w:tblGrid>
        <w:gridCol w:w="1418"/>
        <w:gridCol w:w="1276"/>
        <w:gridCol w:w="708"/>
        <w:gridCol w:w="1134"/>
        <w:gridCol w:w="993"/>
        <w:gridCol w:w="850"/>
        <w:gridCol w:w="709"/>
      </w:tblGrid>
      <w:tr w:rsidR="001C1D1C" w:rsidTr="0064140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18" w:type="dxa"/>
            <w:shd w:val="clear" w:color="auto" w:fill="FFFFFF" w:themeFill="background1"/>
            <w:hideMark/>
          </w:tcPr>
          <w:p w:rsidR="001C1D1C" w:rsidRDefault="001C1D1C" w:rsidP="00641407">
            <w:pPr>
              <w:spacing w:before="240"/>
              <w:jc w:val="both"/>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Blood Values</w:t>
            </w:r>
          </w:p>
        </w:tc>
        <w:tc>
          <w:tcPr>
            <w:tcW w:w="1276" w:type="dxa"/>
            <w:shd w:val="clear" w:color="auto" w:fill="FFFFFF" w:themeFill="background1"/>
            <w:hideMark/>
          </w:tcPr>
          <w:p w:rsidR="001C1D1C" w:rsidRDefault="001C1D1C" w:rsidP="00641407">
            <w:pPr>
              <w:spacing w:before="240"/>
              <w:jc w:val="both"/>
              <w:cnfStyle w:val="100000000000" w:firstRow="1"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Group</w:t>
            </w:r>
          </w:p>
        </w:tc>
        <w:tc>
          <w:tcPr>
            <w:tcW w:w="708" w:type="dxa"/>
            <w:shd w:val="clear" w:color="auto" w:fill="FFFFFF" w:themeFill="background1"/>
            <w:hideMark/>
          </w:tcPr>
          <w:p w:rsidR="001C1D1C" w:rsidRDefault="001C1D1C" w:rsidP="00641407">
            <w:pPr>
              <w:spacing w:before="240"/>
              <w:jc w:val="both"/>
              <w:cnfStyle w:val="100000000000" w:firstRow="1"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N</w:t>
            </w:r>
          </w:p>
        </w:tc>
        <w:tc>
          <w:tcPr>
            <w:tcW w:w="1134" w:type="dxa"/>
            <w:shd w:val="clear" w:color="auto" w:fill="FFFFFF" w:themeFill="background1"/>
            <w:hideMark/>
          </w:tcPr>
          <w:p w:rsidR="001C1D1C" w:rsidRDefault="001C1D1C" w:rsidP="00641407">
            <w:pPr>
              <w:spacing w:before="240"/>
              <w:jc w:val="both"/>
              <w:cnfStyle w:val="100000000000" w:firstRow="1"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Mean</w:t>
            </w:r>
          </w:p>
        </w:tc>
        <w:tc>
          <w:tcPr>
            <w:tcW w:w="993" w:type="dxa"/>
            <w:shd w:val="clear" w:color="auto" w:fill="FFFFFF" w:themeFill="background1"/>
            <w:hideMark/>
          </w:tcPr>
          <w:p w:rsidR="001C1D1C" w:rsidRDefault="001C1D1C" w:rsidP="00641407">
            <w:pPr>
              <w:spacing w:before="240"/>
              <w:jc w:val="both"/>
              <w:cnfStyle w:val="100000000000" w:firstRow="1"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Total</w:t>
            </w:r>
          </w:p>
        </w:tc>
        <w:tc>
          <w:tcPr>
            <w:tcW w:w="850" w:type="dxa"/>
            <w:shd w:val="clear" w:color="auto" w:fill="FFFFFF" w:themeFill="background1"/>
            <w:hideMark/>
          </w:tcPr>
          <w:p w:rsidR="001C1D1C" w:rsidRDefault="001C1D1C" w:rsidP="00641407">
            <w:pPr>
              <w:spacing w:before="240"/>
              <w:jc w:val="both"/>
              <w:cnfStyle w:val="100000000000" w:firstRow="1"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U</w:t>
            </w:r>
          </w:p>
        </w:tc>
        <w:tc>
          <w:tcPr>
            <w:tcW w:w="709" w:type="dxa"/>
            <w:shd w:val="clear" w:color="auto" w:fill="FFFFFF" w:themeFill="background1"/>
            <w:hideMark/>
          </w:tcPr>
          <w:p w:rsidR="001C1D1C" w:rsidRDefault="001C1D1C" w:rsidP="00641407">
            <w:pPr>
              <w:spacing w:before="240"/>
              <w:jc w:val="both"/>
              <w:cnfStyle w:val="100000000000" w:firstRow="1"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p-value</w:t>
            </w:r>
          </w:p>
        </w:tc>
      </w:tr>
      <w:tr w:rsidR="001C1D1C" w:rsidTr="0064140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18" w:type="dxa"/>
            <w:vMerge w:val="restart"/>
            <w:shd w:val="clear" w:color="auto" w:fill="FFFFFF" w:themeFill="background1"/>
          </w:tcPr>
          <w:p w:rsidR="001C1D1C" w:rsidRDefault="001C1D1C" w:rsidP="00641407">
            <w:pPr>
              <w:spacing w:before="240" w:after="200"/>
              <w:ind w:right="113"/>
              <w:jc w:val="both"/>
              <w:rPr>
                <w:rFonts w:ascii="Times New Roman" w:hAnsi="Times New Roman" w:cs="Times New Roman"/>
                <w:sz w:val="20"/>
              </w:rPr>
            </w:pPr>
            <w:r>
              <w:rPr>
                <w:rFonts w:ascii="Times New Roman" w:hAnsi="Times New Roman" w:cs="Times New Roman"/>
                <w:sz w:val="20"/>
              </w:rPr>
              <w:t>CD163</w:t>
            </w:r>
          </w:p>
        </w:tc>
        <w:tc>
          <w:tcPr>
            <w:tcW w:w="1276" w:type="dxa"/>
            <w:shd w:val="clear" w:color="auto" w:fill="FFFFFF" w:themeFill="background1"/>
          </w:tcPr>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 xml:space="preserve">ASD Group </w:t>
            </w:r>
          </w:p>
        </w:tc>
        <w:tc>
          <w:tcPr>
            <w:tcW w:w="708" w:type="dxa"/>
            <w:shd w:val="clear" w:color="auto" w:fill="FFFFFF" w:themeFill="background1"/>
          </w:tcPr>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40</w:t>
            </w:r>
          </w:p>
        </w:tc>
        <w:tc>
          <w:tcPr>
            <w:tcW w:w="1134" w:type="dxa"/>
            <w:shd w:val="clear" w:color="auto" w:fill="FFFFFF" w:themeFill="background1"/>
          </w:tcPr>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39.19</w:t>
            </w:r>
          </w:p>
        </w:tc>
        <w:tc>
          <w:tcPr>
            <w:tcW w:w="993" w:type="dxa"/>
            <w:shd w:val="clear" w:color="auto" w:fill="FFFFFF" w:themeFill="background1"/>
          </w:tcPr>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1567.5</w:t>
            </w:r>
          </w:p>
        </w:tc>
        <w:tc>
          <w:tcPr>
            <w:tcW w:w="850" w:type="dxa"/>
            <w:vMerge w:val="restart"/>
            <w:shd w:val="clear" w:color="auto" w:fill="FFFFFF" w:themeFill="background1"/>
          </w:tcPr>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p>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747.5</w:t>
            </w:r>
          </w:p>
        </w:tc>
        <w:tc>
          <w:tcPr>
            <w:tcW w:w="709" w:type="dxa"/>
            <w:vMerge w:val="restart"/>
            <w:shd w:val="clear" w:color="auto" w:fill="FFFFFF" w:themeFill="background1"/>
          </w:tcPr>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p>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.613</w:t>
            </w:r>
          </w:p>
        </w:tc>
      </w:tr>
      <w:tr w:rsidR="001C1D1C" w:rsidTr="00641407">
        <w:trPr>
          <w:trHeight w:val="392"/>
        </w:trPr>
        <w:tc>
          <w:tcPr>
            <w:cnfStyle w:val="001000000000" w:firstRow="0" w:lastRow="0" w:firstColumn="1" w:lastColumn="0" w:oddVBand="0" w:evenVBand="0" w:oddHBand="0" w:evenHBand="0" w:firstRowFirstColumn="0" w:firstRowLastColumn="0" w:lastRowFirstColumn="0" w:lastRowLastColumn="0"/>
            <w:tcW w:w="1418" w:type="dxa"/>
            <w:vMerge/>
            <w:shd w:val="clear" w:color="auto" w:fill="FFFFFF" w:themeFill="background1"/>
          </w:tcPr>
          <w:p w:rsidR="001C1D1C" w:rsidRDefault="001C1D1C" w:rsidP="00641407">
            <w:pPr>
              <w:spacing w:before="240" w:after="200"/>
              <w:jc w:val="both"/>
              <w:rPr>
                <w:rFonts w:ascii="Times New Roman" w:hAnsi="Times New Roman" w:cs="Times New Roman"/>
                <w:sz w:val="20"/>
              </w:rPr>
            </w:pPr>
          </w:p>
        </w:tc>
        <w:tc>
          <w:tcPr>
            <w:tcW w:w="1276" w:type="dxa"/>
            <w:shd w:val="clear" w:color="auto" w:fill="FFFFFF" w:themeFill="background1"/>
          </w:tcPr>
          <w:p w:rsidR="001C1D1C" w:rsidRDefault="001C1D1C" w:rsidP="00641407">
            <w:pPr>
              <w:spacing w:before="240"/>
              <w:jc w:val="both"/>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 xml:space="preserve">Control Group </w:t>
            </w:r>
          </w:p>
        </w:tc>
        <w:tc>
          <w:tcPr>
            <w:tcW w:w="708" w:type="dxa"/>
            <w:shd w:val="clear" w:color="auto" w:fill="FFFFFF" w:themeFill="background1"/>
          </w:tcPr>
          <w:p w:rsidR="001C1D1C" w:rsidRDefault="001C1D1C" w:rsidP="00641407">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rPr>
            </w:pPr>
            <w:r>
              <w:rPr>
                <w:rFonts w:ascii="Times New Roman" w:hAnsi="Times New Roman" w:cs="Times New Roman"/>
                <w:sz w:val="20"/>
              </w:rPr>
              <w:t>40</w:t>
            </w:r>
          </w:p>
        </w:tc>
        <w:tc>
          <w:tcPr>
            <w:tcW w:w="1134" w:type="dxa"/>
            <w:shd w:val="clear" w:color="auto" w:fill="FFFFFF" w:themeFill="background1"/>
          </w:tcPr>
          <w:p w:rsidR="001C1D1C" w:rsidRDefault="001C1D1C" w:rsidP="00641407">
            <w:pPr>
              <w:spacing w:before="240"/>
              <w:jc w:val="both"/>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41.81</w:t>
            </w:r>
          </w:p>
        </w:tc>
        <w:tc>
          <w:tcPr>
            <w:tcW w:w="993" w:type="dxa"/>
            <w:shd w:val="clear" w:color="auto" w:fill="FFFFFF" w:themeFill="background1"/>
          </w:tcPr>
          <w:p w:rsidR="001C1D1C" w:rsidRDefault="001C1D1C" w:rsidP="00641407">
            <w:pPr>
              <w:spacing w:before="240"/>
              <w:jc w:val="both"/>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1672.5</w:t>
            </w:r>
          </w:p>
        </w:tc>
        <w:tc>
          <w:tcPr>
            <w:tcW w:w="850" w:type="dxa"/>
            <w:vMerge/>
            <w:shd w:val="clear" w:color="auto" w:fill="FFFFFF" w:themeFill="background1"/>
          </w:tcPr>
          <w:p w:rsidR="001C1D1C" w:rsidRDefault="001C1D1C" w:rsidP="00641407">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rPr>
            </w:pPr>
          </w:p>
        </w:tc>
        <w:tc>
          <w:tcPr>
            <w:tcW w:w="709" w:type="dxa"/>
            <w:vMerge/>
            <w:shd w:val="clear" w:color="auto" w:fill="FFFFFF" w:themeFill="background1"/>
          </w:tcPr>
          <w:p w:rsidR="001C1D1C" w:rsidRDefault="001C1D1C" w:rsidP="00641407">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rPr>
            </w:pPr>
          </w:p>
        </w:tc>
      </w:tr>
      <w:tr w:rsidR="001C1D1C" w:rsidTr="0064140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18" w:type="dxa"/>
            <w:vMerge w:val="restart"/>
            <w:shd w:val="clear" w:color="auto" w:fill="FFFFFF" w:themeFill="background1"/>
          </w:tcPr>
          <w:p w:rsidR="001C1D1C" w:rsidRDefault="001C1D1C" w:rsidP="00641407">
            <w:pPr>
              <w:spacing w:before="240" w:after="200"/>
              <w:ind w:right="113"/>
              <w:jc w:val="both"/>
              <w:rPr>
                <w:rFonts w:ascii="Times New Roman" w:hAnsi="Times New Roman" w:cs="Times New Roman"/>
                <w:sz w:val="20"/>
              </w:rPr>
            </w:pPr>
            <w:r>
              <w:rPr>
                <w:rFonts w:ascii="Times New Roman" w:hAnsi="Times New Roman" w:cs="Times New Roman"/>
                <w:sz w:val="20"/>
              </w:rPr>
              <w:t>YKL-40</w:t>
            </w:r>
          </w:p>
        </w:tc>
        <w:tc>
          <w:tcPr>
            <w:tcW w:w="1276" w:type="dxa"/>
            <w:shd w:val="clear" w:color="auto" w:fill="FFFFFF" w:themeFill="background1"/>
          </w:tcPr>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 xml:space="preserve">ASD Group </w:t>
            </w:r>
          </w:p>
        </w:tc>
        <w:tc>
          <w:tcPr>
            <w:tcW w:w="708" w:type="dxa"/>
            <w:shd w:val="clear" w:color="auto" w:fill="FFFFFF" w:themeFill="background1"/>
          </w:tcPr>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40</w:t>
            </w:r>
          </w:p>
        </w:tc>
        <w:tc>
          <w:tcPr>
            <w:tcW w:w="1134" w:type="dxa"/>
            <w:shd w:val="clear" w:color="auto" w:fill="FFFFFF" w:themeFill="background1"/>
          </w:tcPr>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39.74</w:t>
            </w:r>
          </w:p>
        </w:tc>
        <w:tc>
          <w:tcPr>
            <w:tcW w:w="993" w:type="dxa"/>
            <w:shd w:val="clear" w:color="auto" w:fill="FFFFFF" w:themeFill="background1"/>
          </w:tcPr>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1589.5</w:t>
            </w:r>
          </w:p>
        </w:tc>
        <w:tc>
          <w:tcPr>
            <w:tcW w:w="850" w:type="dxa"/>
            <w:vMerge w:val="restart"/>
            <w:shd w:val="clear" w:color="auto" w:fill="FFFFFF" w:themeFill="background1"/>
          </w:tcPr>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p>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769.5</w:t>
            </w:r>
          </w:p>
        </w:tc>
        <w:tc>
          <w:tcPr>
            <w:tcW w:w="709" w:type="dxa"/>
            <w:vMerge w:val="restart"/>
            <w:shd w:val="clear" w:color="auto" w:fill="FFFFFF" w:themeFill="background1"/>
          </w:tcPr>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p>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.769</w:t>
            </w:r>
          </w:p>
        </w:tc>
      </w:tr>
      <w:tr w:rsidR="001C1D1C" w:rsidTr="00641407">
        <w:trPr>
          <w:trHeight w:val="407"/>
        </w:trPr>
        <w:tc>
          <w:tcPr>
            <w:cnfStyle w:val="001000000000" w:firstRow="0" w:lastRow="0" w:firstColumn="1" w:lastColumn="0" w:oddVBand="0" w:evenVBand="0" w:oddHBand="0" w:evenHBand="0" w:firstRowFirstColumn="0" w:firstRowLastColumn="0" w:lastRowFirstColumn="0" w:lastRowLastColumn="0"/>
            <w:tcW w:w="1418" w:type="dxa"/>
            <w:vMerge/>
            <w:shd w:val="clear" w:color="auto" w:fill="FFFFFF" w:themeFill="background1"/>
          </w:tcPr>
          <w:p w:rsidR="001C1D1C" w:rsidRDefault="001C1D1C" w:rsidP="00641407">
            <w:pPr>
              <w:spacing w:before="240" w:after="200"/>
              <w:jc w:val="both"/>
              <w:rPr>
                <w:rFonts w:ascii="Times New Roman" w:hAnsi="Times New Roman" w:cs="Times New Roman"/>
                <w:sz w:val="20"/>
              </w:rPr>
            </w:pPr>
          </w:p>
        </w:tc>
        <w:tc>
          <w:tcPr>
            <w:tcW w:w="1276" w:type="dxa"/>
            <w:shd w:val="clear" w:color="auto" w:fill="FFFFFF" w:themeFill="background1"/>
          </w:tcPr>
          <w:p w:rsidR="001C1D1C" w:rsidRDefault="001C1D1C" w:rsidP="00641407">
            <w:pPr>
              <w:spacing w:before="240"/>
              <w:jc w:val="both"/>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 xml:space="preserve">Control Group </w:t>
            </w:r>
          </w:p>
        </w:tc>
        <w:tc>
          <w:tcPr>
            <w:tcW w:w="708" w:type="dxa"/>
            <w:shd w:val="clear" w:color="auto" w:fill="FFFFFF" w:themeFill="background1"/>
          </w:tcPr>
          <w:p w:rsidR="001C1D1C" w:rsidRDefault="001C1D1C" w:rsidP="00641407">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rPr>
            </w:pPr>
            <w:r>
              <w:rPr>
                <w:rFonts w:ascii="Times New Roman" w:hAnsi="Times New Roman" w:cs="Times New Roman"/>
                <w:sz w:val="20"/>
              </w:rPr>
              <w:t>40</w:t>
            </w:r>
          </w:p>
        </w:tc>
        <w:tc>
          <w:tcPr>
            <w:tcW w:w="1134" w:type="dxa"/>
            <w:shd w:val="clear" w:color="auto" w:fill="FFFFFF" w:themeFill="background1"/>
          </w:tcPr>
          <w:p w:rsidR="001C1D1C" w:rsidRDefault="001C1D1C" w:rsidP="00641407">
            <w:pPr>
              <w:spacing w:before="240"/>
              <w:jc w:val="both"/>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41.26</w:t>
            </w:r>
          </w:p>
        </w:tc>
        <w:tc>
          <w:tcPr>
            <w:tcW w:w="993" w:type="dxa"/>
            <w:shd w:val="clear" w:color="auto" w:fill="FFFFFF" w:themeFill="background1"/>
          </w:tcPr>
          <w:p w:rsidR="001C1D1C" w:rsidRDefault="001C1D1C" w:rsidP="00641407">
            <w:pPr>
              <w:spacing w:before="240"/>
              <w:jc w:val="both"/>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1650.5</w:t>
            </w:r>
          </w:p>
        </w:tc>
        <w:tc>
          <w:tcPr>
            <w:tcW w:w="850" w:type="dxa"/>
            <w:vMerge/>
            <w:shd w:val="clear" w:color="auto" w:fill="FFFFFF" w:themeFill="background1"/>
          </w:tcPr>
          <w:p w:rsidR="001C1D1C" w:rsidRDefault="001C1D1C" w:rsidP="00641407">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rPr>
            </w:pPr>
          </w:p>
        </w:tc>
        <w:tc>
          <w:tcPr>
            <w:tcW w:w="709" w:type="dxa"/>
            <w:vMerge/>
            <w:shd w:val="clear" w:color="auto" w:fill="FFFFFF" w:themeFill="background1"/>
          </w:tcPr>
          <w:p w:rsidR="001C1D1C" w:rsidRDefault="001C1D1C" w:rsidP="00641407">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rPr>
            </w:pPr>
          </w:p>
        </w:tc>
      </w:tr>
      <w:tr w:rsidR="001C1D1C" w:rsidTr="0064140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18" w:type="dxa"/>
            <w:vMerge w:val="restart"/>
            <w:shd w:val="clear" w:color="auto" w:fill="FFFFFF" w:themeFill="background1"/>
          </w:tcPr>
          <w:p w:rsidR="001C1D1C" w:rsidRDefault="001C1D1C" w:rsidP="00641407">
            <w:pPr>
              <w:spacing w:before="240" w:after="200"/>
              <w:ind w:right="113"/>
              <w:jc w:val="both"/>
              <w:rPr>
                <w:rFonts w:ascii="Times New Roman" w:hAnsi="Times New Roman" w:cs="Times New Roman"/>
                <w:sz w:val="20"/>
              </w:rPr>
            </w:pPr>
            <w:r>
              <w:rPr>
                <w:rFonts w:ascii="Times New Roman" w:hAnsi="Times New Roman" w:cs="Times New Roman"/>
                <w:sz w:val="20"/>
              </w:rPr>
              <w:t>VILIP-1</w:t>
            </w:r>
          </w:p>
        </w:tc>
        <w:tc>
          <w:tcPr>
            <w:tcW w:w="1276" w:type="dxa"/>
            <w:shd w:val="clear" w:color="auto" w:fill="FFFFFF" w:themeFill="background1"/>
          </w:tcPr>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 xml:space="preserve">ASD Group </w:t>
            </w:r>
          </w:p>
        </w:tc>
        <w:tc>
          <w:tcPr>
            <w:tcW w:w="708" w:type="dxa"/>
            <w:shd w:val="clear" w:color="auto" w:fill="FFFFFF" w:themeFill="background1"/>
          </w:tcPr>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40</w:t>
            </w:r>
          </w:p>
        </w:tc>
        <w:tc>
          <w:tcPr>
            <w:tcW w:w="1134" w:type="dxa"/>
            <w:shd w:val="clear" w:color="auto" w:fill="FFFFFF" w:themeFill="background1"/>
          </w:tcPr>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45.69</w:t>
            </w:r>
          </w:p>
        </w:tc>
        <w:tc>
          <w:tcPr>
            <w:tcW w:w="993" w:type="dxa"/>
            <w:shd w:val="clear" w:color="auto" w:fill="FFFFFF" w:themeFill="background1"/>
          </w:tcPr>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1827.5</w:t>
            </w:r>
          </w:p>
        </w:tc>
        <w:tc>
          <w:tcPr>
            <w:tcW w:w="850" w:type="dxa"/>
            <w:vMerge w:val="restart"/>
            <w:shd w:val="clear" w:color="auto" w:fill="FFFFFF" w:themeFill="background1"/>
          </w:tcPr>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p>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592.5*</w:t>
            </w:r>
          </w:p>
        </w:tc>
        <w:tc>
          <w:tcPr>
            <w:tcW w:w="709" w:type="dxa"/>
            <w:vMerge w:val="restart"/>
            <w:shd w:val="clear" w:color="auto" w:fill="FFFFFF" w:themeFill="background1"/>
          </w:tcPr>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color w:val="000000"/>
                <w:sz w:val="20"/>
                <w:u w:color="000000"/>
              </w:rPr>
            </w:pPr>
          </w:p>
          <w:p w:rsidR="001C1D1C" w:rsidRDefault="001C1D1C" w:rsidP="00641407">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b/>
                <w:color w:val="000000"/>
                <w:sz w:val="20"/>
                <w:u w:color="000000"/>
              </w:rPr>
            </w:pPr>
            <w:r>
              <w:rPr>
                <w:rFonts w:ascii="Times New Roman" w:eastAsia="Arial Unicode MS" w:hAnsi="Times New Roman" w:cs="Times New Roman"/>
                <w:b/>
                <w:color w:val="000000"/>
                <w:sz w:val="20"/>
                <w:u w:color="000000"/>
              </w:rPr>
              <w:t>.046</w:t>
            </w:r>
          </w:p>
        </w:tc>
      </w:tr>
      <w:tr w:rsidR="001C1D1C" w:rsidTr="00641407">
        <w:trPr>
          <w:trHeight w:val="300"/>
        </w:trPr>
        <w:tc>
          <w:tcPr>
            <w:cnfStyle w:val="001000000000" w:firstRow="0" w:lastRow="0" w:firstColumn="1" w:lastColumn="0" w:oddVBand="0" w:evenVBand="0" w:oddHBand="0" w:evenHBand="0" w:firstRowFirstColumn="0" w:firstRowLastColumn="0" w:lastRowFirstColumn="0" w:lastRowLastColumn="0"/>
            <w:tcW w:w="1418" w:type="dxa"/>
            <w:vMerge/>
            <w:shd w:val="clear" w:color="auto" w:fill="FFFFFF" w:themeFill="background1"/>
          </w:tcPr>
          <w:p w:rsidR="001C1D1C" w:rsidRDefault="001C1D1C" w:rsidP="00641407">
            <w:pPr>
              <w:spacing w:before="240" w:after="200"/>
              <w:jc w:val="both"/>
              <w:rPr>
                <w:rFonts w:ascii="Times New Roman" w:hAnsi="Times New Roman" w:cs="Times New Roman"/>
                <w:sz w:val="20"/>
              </w:rPr>
            </w:pPr>
          </w:p>
        </w:tc>
        <w:tc>
          <w:tcPr>
            <w:tcW w:w="1276" w:type="dxa"/>
            <w:shd w:val="clear" w:color="auto" w:fill="FFFFFF" w:themeFill="background1"/>
          </w:tcPr>
          <w:p w:rsidR="001C1D1C" w:rsidRDefault="001C1D1C" w:rsidP="00641407">
            <w:pPr>
              <w:spacing w:before="240"/>
              <w:jc w:val="both"/>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 xml:space="preserve">Control Group </w:t>
            </w:r>
          </w:p>
        </w:tc>
        <w:tc>
          <w:tcPr>
            <w:tcW w:w="708" w:type="dxa"/>
            <w:shd w:val="clear" w:color="auto" w:fill="FFFFFF" w:themeFill="background1"/>
          </w:tcPr>
          <w:p w:rsidR="001C1D1C" w:rsidRDefault="001C1D1C" w:rsidP="00641407">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rPr>
            </w:pPr>
            <w:r>
              <w:rPr>
                <w:rFonts w:ascii="Times New Roman" w:hAnsi="Times New Roman" w:cs="Times New Roman"/>
                <w:sz w:val="20"/>
              </w:rPr>
              <w:t>40</w:t>
            </w:r>
          </w:p>
        </w:tc>
        <w:tc>
          <w:tcPr>
            <w:tcW w:w="1134" w:type="dxa"/>
            <w:shd w:val="clear" w:color="auto" w:fill="FFFFFF" w:themeFill="background1"/>
          </w:tcPr>
          <w:p w:rsidR="001C1D1C" w:rsidRDefault="001C1D1C" w:rsidP="00641407">
            <w:pPr>
              <w:spacing w:before="240"/>
              <w:jc w:val="both"/>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35.31</w:t>
            </w:r>
          </w:p>
        </w:tc>
        <w:tc>
          <w:tcPr>
            <w:tcW w:w="993" w:type="dxa"/>
            <w:shd w:val="clear" w:color="auto" w:fill="FFFFFF" w:themeFill="background1"/>
          </w:tcPr>
          <w:p w:rsidR="001C1D1C" w:rsidRDefault="001C1D1C" w:rsidP="00641407">
            <w:pPr>
              <w:spacing w:before="240"/>
              <w:jc w:val="both"/>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color w:val="000000"/>
                <w:sz w:val="20"/>
                <w:u w:color="000000"/>
              </w:rPr>
            </w:pPr>
            <w:r>
              <w:rPr>
                <w:rFonts w:ascii="Times New Roman" w:eastAsia="Arial Unicode MS" w:hAnsi="Times New Roman" w:cs="Times New Roman"/>
                <w:color w:val="000000"/>
                <w:sz w:val="20"/>
                <w:u w:color="000000"/>
              </w:rPr>
              <w:t>1412.5</w:t>
            </w:r>
          </w:p>
        </w:tc>
        <w:tc>
          <w:tcPr>
            <w:tcW w:w="850" w:type="dxa"/>
            <w:vMerge/>
            <w:shd w:val="clear" w:color="auto" w:fill="FFFFFF" w:themeFill="background1"/>
          </w:tcPr>
          <w:p w:rsidR="001C1D1C" w:rsidRDefault="001C1D1C" w:rsidP="00641407">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rPr>
            </w:pPr>
          </w:p>
        </w:tc>
        <w:tc>
          <w:tcPr>
            <w:tcW w:w="709" w:type="dxa"/>
            <w:vMerge/>
            <w:shd w:val="clear" w:color="auto" w:fill="FFFFFF" w:themeFill="background1"/>
          </w:tcPr>
          <w:p w:rsidR="001C1D1C" w:rsidRDefault="001C1D1C" w:rsidP="00641407">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rPr>
            </w:pPr>
          </w:p>
        </w:tc>
      </w:tr>
    </w:tbl>
    <w:p w:rsidR="001C1D1C" w:rsidRDefault="001C1D1C" w:rsidP="001C1D1C">
      <w:pPr>
        <w:pStyle w:val="ResimYazs"/>
        <w:rPr>
          <w:rFonts w:ascii="Times New Roman" w:hAnsi="Times New Roman" w:cs="Times New Roman"/>
          <w:b/>
          <w:i w:val="0"/>
          <w:color w:val="auto"/>
          <w:sz w:val="24"/>
        </w:rPr>
      </w:pPr>
    </w:p>
    <w:p w:rsidR="001C1D1C" w:rsidRDefault="001C1D1C" w:rsidP="00FD67C1">
      <w:pPr>
        <w:pStyle w:val="Tez2"/>
        <w:outlineLvl w:val="1"/>
        <w:rPr>
          <w:lang w:val="en-US"/>
        </w:rPr>
      </w:pPr>
      <w:bookmarkStart w:id="2" w:name="_GoBack"/>
      <w:bookmarkEnd w:id="2"/>
    </w:p>
    <w:p w:rsidR="00604291" w:rsidRPr="000C146B" w:rsidRDefault="000C146B" w:rsidP="00FD67C1">
      <w:pPr>
        <w:pStyle w:val="Tez2"/>
        <w:outlineLvl w:val="1"/>
        <w:rPr>
          <w:lang w:val="en-US"/>
        </w:rPr>
      </w:pPr>
      <w:r w:rsidRPr="000C146B">
        <w:rPr>
          <w:lang w:val="en-US"/>
        </w:rPr>
        <w:lastRenderedPageBreak/>
        <w:t>Data related to the Sociodemographic and Clinical Characteristics of Families of Children in ASD and Control Group</w:t>
      </w:r>
      <w:bookmarkEnd w:id="0"/>
    </w:p>
    <w:p w:rsidR="00604291" w:rsidRPr="000C146B" w:rsidRDefault="000C146B" w:rsidP="00FD67C1">
      <w:pPr>
        <w:spacing w:after="0" w:line="360" w:lineRule="auto"/>
        <w:ind w:firstLine="709"/>
        <w:jc w:val="both"/>
        <w:rPr>
          <w:rFonts w:ascii="Times New Roman" w:hAnsi="Times New Roman" w:cs="Times New Roman"/>
          <w:sz w:val="24"/>
          <w:lang w:val="en-US"/>
        </w:rPr>
      </w:pPr>
      <w:r w:rsidRPr="000C146B">
        <w:rPr>
          <w:rFonts w:ascii="Times New Roman" w:hAnsi="Times New Roman" w:cs="Times New Roman"/>
          <w:sz w:val="24"/>
          <w:lang w:val="en-US"/>
        </w:rPr>
        <w:t>Data related to the sociodemographic and clinical characteristics of the families of children with ASD and the control group are shown in Table 2. When it comes to maternal (U=588.5, p&lt;.05) and paternal ages (U=571.5, p&lt;.05) at the start of pregnancy, it is discovered that there is a significant difference between the groups. According to the data, the age (mean = 45.79) of mothers at the beginning of pregnancy of children with ASD</w:t>
      </w:r>
      <w:r>
        <w:rPr>
          <w:rFonts w:ascii="Times New Roman" w:hAnsi="Times New Roman" w:cs="Times New Roman"/>
          <w:sz w:val="24"/>
          <w:lang w:val="en-US"/>
        </w:rPr>
        <w:t xml:space="preserve"> </w:t>
      </w:r>
      <w:r w:rsidRPr="000C146B">
        <w:rPr>
          <w:rFonts w:ascii="Times New Roman" w:hAnsi="Times New Roman" w:cs="Times New Roman"/>
          <w:sz w:val="24"/>
          <w:lang w:val="en-US"/>
        </w:rPr>
        <w:t>is significantly higher than</w:t>
      </w:r>
      <w:r>
        <w:rPr>
          <w:rFonts w:ascii="Times New Roman" w:hAnsi="Times New Roman" w:cs="Times New Roman"/>
          <w:sz w:val="24"/>
          <w:lang w:val="en-US"/>
        </w:rPr>
        <w:t xml:space="preserve"> </w:t>
      </w:r>
      <w:proofErr w:type="spellStart"/>
      <w:r w:rsidRPr="000C146B">
        <w:rPr>
          <w:rFonts w:ascii="Times New Roman" w:hAnsi="Times New Roman" w:cs="Times New Roman"/>
          <w:sz w:val="24"/>
          <w:lang w:val="en-US"/>
        </w:rPr>
        <w:t>than</w:t>
      </w:r>
      <w:proofErr w:type="spellEnd"/>
      <w:r w:rsidRPr="000C146B">
        <w:rPr>
          <w:rFonts w:ascii="Times New Roman" w:hAnsi="Times New Roman" w:cs="Times New Roman"/>
          <w:sz w:val="24"/>
          <w:lang w:val="en-US"/>
        </w:rPr>
        <w:t xml:space="preserve"> the age (mean = 35.21) of mothers of children in the control group. Similarly, the age (average = 46.21) of fathers at the beginning of pregnancy of children in the ASD group</w:t>
      </w:r>
      <w:r>
        <w:rPr>
          <w:rFonts w:ascii="Times New Roman" w:hAnsi="Times New Roman" w:cs="Times New Roman"/>
          <w:sz w:val="24"/>
          <w:lang w:val="en-US"/>
        </w:rPr>
        <w:t xml:space="preserve"> </w:t>
      </w:r>
      <w:r w:rsidRPr="000C146B">
        <w:rPr>
          <w:rFonts w:ascii="Times New Roman" w:hAnsi="Times New Roman" w:cs="Times New Roman"/>
          <w:sz w:val="24"/>
          <w:lang w:val="en-US"/>
        </w:rPr>
        <w:t>is significantly higher than</w:t>
      </w:r>
      <w:r>
        <w:rPr>
          <w:rFonts w:ascii="Times New Roman" w:hAnsi="Times New Roman" w:cs="Times New Roman"/>
          <w:sz w:val="24"/>
          <w:lang w:val="en-US"/>
        </w:rPr>
        <w:t xml:space="preserve"> </w:t>
      </w:r>
      <w:r w:rsidRPr="000C146B">
        <w:rPr>
          <w:rFonts w:ascii="Times New Roman" w:hAnsi="Times New Roman" w:cs="Times New Roman"/>
          <w:sz w:val="24"/>
          <w:lang w:val="en-US"/>
        </w:rPr>
        <w:t>the age of fathers of children in the control group.</w:t>
      </w:r>
    </w:p>
    <w:p w:rsidR="00604291" w:rsidRPr="000C146B" w:rsidRDefault="000C146B" w:rsidP="00FD67C1">
      <w:pPr>
        <w:spacing w:after="0" w:line="360" w:lineRule="auto"/>
        <w:ind w:firstLine="709"/>
        <w:jc w:val="both"/>
        <w:rPr>
          <w:rFonts w:ascii="Times New Roman" w:hAnsi="Times New Roman" w:cs="Times New Roman"/>
          <w:sz w:val="24"/>
          <w:lang w:val="en-US"/>
        </w:rPr>
      </w:pPr>
      <w:r w:rsidRPr="000C146B">
        <w:rPr>
          <w:rFonts w:ascii="Times New Roman" w:hAnsi="Times New Roman" w:cs="Times New Roman"/>
          <w:sz w:val="24"/>
          <w:lang w:val="en-US"/>
        </w:rPr>
        <w:t xml:space="preserve">The educational level of the mothers of children placed in the sample is examined. It was found that 27.5% (n=11) of mothers of children with ASD had elementary school degrees, 42.5% (n=17) were high school graduates, and 30% (n=12) had university degrees. On the other hand, </w:t>
      </w:r>
      <w:proofErr w:type="gramStart"/>
      <w:r w:rsidRPr="000C146B">
        <w:rPr>
          <w:rFonts w:ascii="Times New Roman" w:hAnsi="Times New Roman" w:cs="Times New Roman"/>
          <w:sz w:val="24"/>
          <w:lang w:val="en-US"/>
        </w:rPr>
        <w:t>It</w:t>
      </w:r>
      <w:proofErr w:type="gramEnd"/>
      <w:r w:rsidRPr="000C146B">
        <w:rPr>
          <w:rFonts w:ascii="Times New Roman" w:hAnsi="Times New Roman" w:cs="Times New Roman"/>
          <w:sz w:val="24"/>
          <w:lang w:val="en-US"/>
        </w:rPr>
        <w:t xml:space="preserve"> was found that 22.5% (n=9) of the mothers of the children in the control group were primary school graduates, 40% (n=16) high school graduates, and 37.5% (n=15) university graduates. There is no significant difference between the groups in terms of the distribution of mothers' educational qualifications (X</w:t>
      </w:r>
      <w:r w:rsidRPr="000C146B">
        <w:rPr>
          <w:rFonts w:ascii="Times New Roman" w:hAnsi="Times New Roman" w:cs="Times New Roman"/>
          <w:sz w:val="24"/>
          <w:vertAlign w:val="superscript"/>
          <w:lang w:val="en-US"/>
        </w:rPr>
        <w:t>2</w:t>
      </w:r>
      <w:r w:rsidRPr="000C146B">
        <w:rPr>
          <w:rFonts w:ascii="Times New Roman" w:hAnsi="Times New Roman" w:cs="Times New Roman"/>
          <w:sz w:val="24"/>
          <w:lang w:val="en-US"/>
        </w:rPr>
        <w:t>=0.564, p=.754).</w:t>
      </w:r>
    </w:p>
    <w:p w:rsidR="00604291" w:rsidRPr="000C146B" w:rsidRDefault="000C146B" w:rsidP="00FD67C1">
      <w:pPr>
        <w:spacing w:after="0" w:line="360" w:lineRule="auto"/>
        <w:ind w:firstLine="709"/>
        <w:jc w:val="both"/>
        <w:rPr>
          <w:rFonts w:ascii="Times New Roman" w:hAnsi="Times New Roman" w:cs="Times New Roman"/>
          <w:sz w:val="24"/>
          <w:lang w:val="en-US"/>
        </w:rPr>
      </w:pPr>
      <w:r w:rsidRPr="000C146B">
        <w:rPr>
          <w:rFonts w:ascii="Times New Roman" w:hAnsi="Times New Roman" w:cs="Times New Roman"/>
          <w:sz w:val="24"/>
          <w:lang w:val="en-US"/>
        </w:rPr>
        <w:t>When it is examined the employment status of the mothers of the children in the sample, 27.5% (n=11) of the mothers of children with ASD have a job, while 72.5% (n=29) are unemployed. While 42.5% (n=17) of mothers of children in the control group are employed, 57.5% (n=23) are unemployed. There is no significant difference between groups in terms of the distribution of mothers’ employment status (X</w:t>
      </w:r>
      <w:r w:rsidRPr="000C146B">
        <w:rPr>
          <w:rFonts w:ascii="Times New Roman" w:hAnsi="Times New Roman" w:cs="Times New Roman"/>
          <w:sz w:val="24"/>
          <w:vertAlign w:val="superscript"/>
          <w:lang w:val="en-US"/>
        </w:rPr>
        <w:t>2</w:t>
      </w:r>
      <w:r w:rsidRPr="000C146B">
        <w:rPr>
          <w:rFonts w:ascii="Times New Roman" w:hAnsi="Times New Roman" w:cs="Times New Roman"/>
          <w:sz w:val="24"/>
          <w:lang w:val="en-US"/>
        </w:rPr>
        <w:t>=1.978, p=.160).</w:t>
      </w:r>
    </w:p>
    <w:p w:rsidR="00604291" w:rsidRPr="000C146B" w:rsidRDefault="000C146B" w:rsidP="00FD67C1">
      <w:pPr>
        <w:spacing w:after="0" w:line="360" w:lineRule="auto"/>
        <w:ind w:firstLine="709"/>
        <w:jc w:val="both"/>
        <w:rPr>
          <w:rFonts w:ascii="Times New Roman" w:hAnsi="Times New Roman" w:cs="Times New Roman"/>
          <w:b/>
          <w:sz w:val="24"/>
          <w:lang w:val="en-US"/>
        </w:rPr>
      </w:pPr>
      <w:r w:rsidRPr="000C146B">
        <w:rPr>
          <w:rFonts w:ascii="Times New Roman" w:hAnsi="Times New Roman" w:cs="Times New Roman"/>
          <w:sz w:val="24"/>
          <w:lang w:val="en-US"/>
        </w:rPr>
        <w:t>The educational level of the fathers of the sampled children was examined. It is stated that while 22.5% (n=9) of the fathers of children with ASD were primary school graduates, 42.5% (n=17) high school and 35% (n=14) university graduates, 27.5% (n=14) of the fathers of the children in the control group (n=17) =11) were primary school graduates, 35% (n=14) high school and 37.5% (n=15) university graduates. There is no significant difference between the groups in terms of the distribution of the fathers' educational qualifications (X</w:t>
      </w:r>
      <w:r w:rsidRPr="000C146B">
        <w:rPr>
          <w:rFonts w:ascii="Times New Roman" w:hAnsi="Times New Roman" w:cs="Times New Roman"/>
          <w:sz w:val="24"/>
          <w:vertAlign w:val="superscript"/>
          <w:lang w:val="en-US"/>
        </w:rPr>
        <w:t>2</w:t>
      </w:r>
      <w:r w:rsidRPr="000C146B">
        <w:rPr>
          <w:rFonts w:ascii="Times New Roman" w:hAnsi="Times New Roman" w:cs="Times New Roman"/>
          <w:sz w:val="24"/>
          <w:lang w:val="en-US"/>
        </w:rPr>
        <w:t>=0.525, p=.769).</w:t>
      </w:r>
    </w:p>
    <w:p w:rsidR="00604291" w:rsidRPr="000C146B" w:rsidRDefault="000C146B" w:rsidP="00FD67C1">
      <w:pPr>
        <w:spacing w:after="0" w:line="360" w:lineRule="auto"/>
        <w:ind w:firstLine="709"/>
        <w:jc w:val="both"/>
        <w:rPr>
          <w:rFonts w:ascii="Times New Roman" w:hAnsi="Times New Roman" w:cs="Times New Roman"/>
          <w:sz w:val="24"/>
          <w:lang w:val="en-US"/>
        </w:rPr>
      </w:pPr>
      <w:r w:rsidRPr="000C146B">
        <w:rPr>
          <w:rFonts w:ascii="Times New Roman" w:hAnsi="Times New Roman" w:cs="Times New Roman"/>
          <w:sz w:val="24"/>
          <w:lang w:val="en-US"/>
        </w:rPr>
        <w:t xml:space="preserve">The levels of income of the parents of the children in the sample were examined. 32.5% (n=13) of the parents of children with ASD earn minimum wage, 47.5% (n=19) earn twice the minimum wage, and 20% (n=8) earn three times or more of the minimum wage. Besides, 22.5% (n=9) of the parents of the children of the control group have a minimum wage, 45% (n=18) </w:t>
      </w:r>
      <w:r w:rsidRPr="000C146B">
        <w:rPr>
          <w:rFonts w:ascii="Times New Roman" w:hAnsi="Times New Roman" w:cs="Times New Roman"/>
          <w:sz w:val="24"/>
          <w:lang w:val="en-US"/>
        </w:rPr>
        <w:lastRenderedPageBreak/>
        <w:t>twice the minimum wage, and 32.5% (n=13) three times the minimum wage or more. There is no significant difference between groups in terms of the distribution of income levels (X</w:t>
      </w:r>
      <w:r w:rsidRPr="000C146B">
        <w:rPr>
          <w:rFonts w:ascii="Times New Roman" w:hAnsi="Times New Roman" w:cs="Times New Roman"/>
          <w:sz w:val="24"/>
          <w:vertAlign w:val="superscript"/>
          <w:lang w:val="en-US"/>
        </w:rPr>
        <w:t>2</w:t>
      </w:r>
      <w:r w:rsidRPr="000C146B">
        <w:rPr>
          <w:rFonts w:ascii="Times New Roman" w:hAnsi="Times New Roman" w:cs="Times New Roman"/>
          <w:sz w:val="24"/>
          <w:lang w:val="en-US"/>
        </w:rPr>
        <w:t>=1.945, p=.378).</w:t>
      </w:r>
    </w:p>
    <w:p w:rsidR="00604291" w:rsidRPr="000C146B" w:rsidRDefault="000C146B" w:rsidP="00FD67C1">
      <w:pPr>
        <w:spacing w:after="0" w:line="360" w:lineRule="auto"/>
        <w:ind w:firstLine="709"/>
        <w:jc w:val="both"/>
        <w:rPr>
          <w:rFonts w:ascii="Times New Roman" w:hAnsi="Times New Roman" w:cs="Times New Roman"/>
          <w:sz w:val="24"/>
          <w:lang w:val="en-US"/>
        </w:rPr>
      </w:pPr>
      <w:r w:rsidRPr="000C146B">
        <w:rPr>
          <w:rFonts w:ascii="Times New Roman" w:hAnsi="Times New Roman" w:cs="Times New Roman"/>
          <w:sz w:val="24"/>
          <w:lang w:val="en-US"/>
        </w:rPr>
        <w:t>It was observed whether the parents of the children included in the sample suffered from psychiatric or other medical disorders. While 32.5% (n=13) of the children with ASD have a history of other medical diseases in their parents, 67.5% (n=27) haven't. While 20% (n=8) of the children in the control group have a history of other medical illnesses in their parents, 80% (n=32) haven't. There is no significant difference between groups in terms of the distribution of other medical conditions (X</w:t>
      </w:r>
      <w:r w:rsidRPr="000C146B">
        <w:rPr>
          <w:rFonts w:ascii="Times New Roman" w:hAnsi="Times New Roman" w:cs="Times New Roman"/>
          <w:sz w:val="24"/>
          <w:vertAlign w:val="superscript"/>
          <w:lang w:val="en-US"/>
        </w:rPr>
        <w:t>2</w:t>
      </w:r>
      <w:r w:rsidRPr="000C146B">
        <w:rPr>
          <w:rFonts w:ascii="Times New Roman" w:hAnsi="Times New Roman" w:cs="Times New Roman"/>
          <w:sz w:val="24"/>
          <w:lang w:val="en-US"/>
        </w:rPr>
        <w:t>=1.614, p=.204). While 10% (n = 4) of children with ASD have a psychiatric disorder in their parents, 90% (n = 36) do not. While 20% (n=8) of children in the control group had a psychiatric disorder in their parents, 80% (n=32) did not. There is no significant difference between the groups in terms of the distribution of psychiatric disorders in the parents (X</w:t>
      </w:r>
      <w:r w:rsidRPr="000C146B">
        <w:rPr>
          <w:rFonts w:ascii="Times New Roman" w:hAnsi="Times New Roman" w:cs="Times New Roman"/>
          <w:sz w:val="24"/>
          <w:vertAlign w:val="superscript"/>
          <w:lang w:val="en-US"/>
        </w:rPr>
        <w:t>2</w:t>
      </w:r>
      <w:r w:rsidRPr="000C146B">
        <w:rPr>
          <w:rFonts w:ascii="Times New Roman" w:hAnsi="Times New Roman" w:cs="Times New Roman"/>
          <w:sz w:val="24"/>
          <w:lang w:val="en-US"/>
        </w:rPr>
        <w:t>=1.569, p=.210).</w:t>
      </w:r>
    </w:p>
    <w:p w:rsidR="00604291" w:rsidRPr="000C146B" w:rsidRDefault="000C146B" w:rsidP="00FD67C1">
      <w:pPr>
        <w:spacing w:after="0" w:line="360" w:lineRule="auto"/>
        <w:ind w:firstLine="709"/>
        <w:jc w:val="both"/>
        <w:rPr>
          <w:rFonts w:ascii="Times New Roman" w:hAnsi="Times New Roman" w:cs="Times New Roman"/>
          <w:sz w:val="24"/>
          <w:lang w:val="en-US"/>
        </w:rPr>
      </w:pPr>
      <w:r w:rsidRPr="000C146B">
        <w:rPr>
          <w:rFonts w:ascii="Times New Roman" w:hAnsi="Times New Roman" w:cs="Times New Roman"/>
          <w:sz w:val="24"/>
          <w:lang w:val="en-US"/>
        </w:rPr>
        <w:t xml:space="preserve">Mothers of children in the ASD and control groups were examined for substance use during pregnancy. While 15% (n=6) of mothers of children with ASD took medication during pregnancy, 85% (n=34) did not. It was stated that 1 of the mothers (n=6) who used drugs in the ASD group used psychotropic drugs, 3 of them used analgesic/anti-inflammatory drugs except for paracetamol, 1 of them used </w:t>
      </w:r>
      <w:proofErr w:type="spellStart"/>
      <w:r w:rsidRPr="000C146B">
        <w:rPr>
          <w:rFonts w:ascii="Times New Roman" w:hAnsi="Times New Roman" w:cs="Times New Roman"/>
          <w:sz w:val="24"/>
          <w:lang w:val="en-US"/>
        </w:rPr>
        <w:t>antithyroid</w:t>
      </w:r>
      <w:proofErr w:type="spellEnd"/>
      <w:r w:rsidRPr="000C146B">
        <w:rPr>
          <w:rFonts w:ascii="Times New Roman" w:hAnsi="Times New Roman" w:cs="Times New Roman"/>
          <w:sz w:val="24"/>
          <w:lang w:val="en-US"/>
        </w:rPr>
        <w:t xml:space="preserve"> drugs, and the other mother used drugs from the antibiotic group. While 12.5% (n=5) of mothers of children from the control group used medications during pregnancy, 87.5% (n=35) did not. in the control group, it is stated that 2 of the mothers (n=5) used psychotropic drugs and 2 of them analgesics/anti-inflammatory drugs (except paracetamol) and the other mother used </w:t>
      </w:r>
      <w:proofErr w:type="spellStart"/>
      <w:r w:rsidRPr="000C146B">
        <w:rPr>
          <w:rFonts w:ascii="Times New Roman" w:hAnsi="Times New Roman" w:cs="Times New Roman"/>
          <w:sz w:val="24"/>
          <w:lang w:val="en-US"/>
        </w:rPr>
        <w:t>antithyroid</w:t>
      </w:r>
      <w:proofErr w:type="spellEnd"/>
      <w:r w:rsidRPr="000C146B">
        <w:rPr>
          <w:rFonts w:ascii="Times New Roman" w:hAnsi="Times New Roman" w:cs="Times New Roman"/>
          <w:sz w:val="24"/>
          <w:lang w:val="en-US"/>
        </w:rPr>
        <w:t xml:space="preserve"> drugs. There is no significant difference between the groups in the distribution of medication use during pregnancy. (X</w:t>
      </w:r>
      <w:r w:rsidRPr="000C146B">
        <w:rPr>
          <w:rFonts w:ascii="Times New Roman" w:hAnsi="Times New Roman" w:cs="Times New Roman"/>
          <w:sz w:val="24"/>
          <w:vertAlign w:val="superscript"/>
          <w:lang w:val="en-US"/>
        </w:rPr>
        <w:t>2</w:t>
      </w:r>
      <w:r w:rsidRPr="000C146B">
        <w:rPr>
          <w:rFonts w:ascii="Times New Roman" w:hAnsi="Times New Roman" w:cs="Times New Roman"/>
          <w:sz w:val="24"/>
          <w:lang w:val="en-US"/>
        </w:rPr>
        <w:t xml:space="preserve">=0.105, p=.745). </w:t>
      </w:r>
    </w:p>
    <w:p w:rsidR="00604291" w:rsidRPr="000C146B" w:rsidRDefault="000C146B" w:rsidP="00FD67C1">
      <w:pPr>
        <w:spacing w:after="0" w:line="360" w:lineRule="auto"/>
        <w:ind w:firstLine="709"/>
        <w:jc w:val="both"/>
        <w:rPr>
          <w:rFonts w:ascii="Times New Roman" w:hAnsi="Times New Roman" w:cs="Times New Roman"/>
          <w:sz w:val="24"/>
          <w:lang w:val="en-US"/>
        </w:rPr>
      </w:pPr>
      <w:r w:rsidRPr="000C146B">
        <w:rPr>
          <w:rFonts w:ascii="Times New Roman" w:hAnsi="Times New Roman" w:cs="Times New Roman"/>
          <w:sz w:val="24"/>
          <w:lang w:val="en-US"/>
        </w:rPr>
        <w:t>The usage of vitamins by mothers of children with ASD and in the control groups during pregnancy was also examined. It is found that 55% (n=22) of mothers of children with ASD used folic acid, also 45% (n=18) of them used vitamin D and folic acid during pregnancy. It is determined in the mothers of the control group that while 30% (n=12) of the mothers used folic acid, 70% (n=28) of them used vitamin D and folic acid. There is no significant difference between the groups in terms of the distribution of usage of vitamins during pregnancy (X</w:t>
      </w:r>
      <w:r w:rsidRPr="000C146B">
        <w:rPr>
          <w:rFonts w:ascii="Times New Roman" w:hAnsi="Times New Roman" w:cs="Times New Roman"/>
          <w:sz w:val="24"/>
          <w:vertAlign w:val="superscript"/>
          <w:lang w:val="en-US"/>
        </w:rPr>
        <w:t>2</w:t>
      </w:r>
      <w:r w:rsidRPr="000C146B">
        <w:rPr>
          <w:rFonts w:ascii="Times New Roman" w:hAnsi="Times New Roman" w:cs="Times New Roman"/>
          <w:sz w:val="24"/>
          <w:lang w:val="en-US"/>
        </w:rPr>
        <w:t xml:space="preserve">=5.115, p&lt;.05). It was found that the use of folic acid and vitamin D in the control group was significantly correlated with the highest distribution. </w:t>
      </w:r>
    </w:p>
    <w:p w:rsidR="00604291" w:rsidRPr="000C146B" w:rsidRDefault="00FD67C1">
      <w:pPr>
        <w:pStyle w:val="ResimYazs"/>
        <w:keepNext/>
        <w:jc w:val="both"/>
        <w:rPr>
          <w:rFonts w:ascii="Times New Roman" w:hAnsi="Times New Roman" w:cs="Times New Roman"/>
          <w:b/>
          <w:i w:val="0"/>
          <w:color w:val="auto"/>
          <w:sz w:val="24"/>
          <w:lang w:val="en-US"/>
        </w:rPr>
      </w:pPr>
      <w:bookmarkStart w:id="3" w:name="_Toc101130324"/>
      <w:bookmarkStart w:id="4" w:name="_Toc101858110"/>
      <w:r>
        <w:rPr>
          <w:rFonts w:ascii="Times New Roman" w:hAnsi="Times New Roman" w:cs="Times New Roman"/>
          <w:b/>
          <w:i w:val="0"/>
          <w:color w:val="auto"/>
          <w:sz w:val="24"/>
          <w:lang w:val="en-US"/>
        </w:rPr>
        <w:lastRenderedPageBreak/>
        <w:t>Table 5</w:t>
      </w:r>
      <w:r w:rsidR="000C146B" w:rsidRPr="000C146B">
        <w:rPr>
          <w:rFonts w:ascii="Times New Roman" w:hAnsi="Times New Roman" w:cs="Times New Roman"/>
          <w:b/>
          <w:i w:val="0"/>
          <w:color w:val="auto"/>
          <w:sz w:val="24"/>
          <w:lang w:val="en-US"/>
        </w:rPr>
        <w:t>. Data related to the Sociodemographic and Clinical Characteristics of the Families of Children with ASD and Control Group</w:t>
      </w:r>
      <w:bookmarkEnd w:id="3"/>
      <w:bookmarkEnd w:id="4"/>
    </w:p>
    <w:tbl>
      <w:tblPr>
        <w:tblStyle w:val="ListeTablo6Renkli"/>
        <w:tblpPr w:leftFromText="141" w:rightFromText="141" w:vertAnchor="text" w:tblpY="1"/>
        <w:tblW w:w="5313" w:type="pct"/>
        <w:shd w:val="clear" w:color="auto" w:fill="FFFFFF" w:themeFill="background1"/>
        <w:tblLayout w:type="fixed"/>
        <w:tblLook w:val="04A0" w:firstRow="1" w:lastRow="0" w:firstColumn="1" w:lastColumn="0" w:noHBand="0" w:noVBand="1"/>
      </w:tblPr>
      <w:tblGrid>
        <w:gridCol w:w="2877"/>
        <w:gridCol w:w="677"/>
        <w:gridCol w:w="744"/>
        <w:gridCol w:w="912"/>
        <w:gridCol w:w="906"/>
        <w:gridCol w:w="1812"/>
        <w:gridCol w:w="1712"/>
      </w:tblGrid>
      <w:tr w:rsidR="00604291" w:rsidRPr="000C146B" w:rsidTr="00524035">
        <w:trPr>
          <w:cnfStyle w:val="100000000000" w:firstRow="1" w:lastRow="0" w:firstColumn="0" w:lastColumn="0" w:oddVBand="0" w:evenVBand="0" w:oddHBand="0" w:evenHBand="0" w:firstRowFirstColumn="0" w:firstRowLastColumn="0" w:lastRowFirstColumn="0" w:lastRowLastColumn="0"/>
          <w:trHeight w:val="739"/>
        </w:trPr>
        <w:tc>
          <w:tcPr>
            <w:cnfStyle w:val="001000000000" w:firstRow="0" w:lastRow="0" w:firstColumn="1" w:lastColumn="0" w:oddVBand="0" w:evenVBand="0" w:oddHBand="0" w:evenHBand="0" w:firstRowFirstColumn="0" w:firstRowLastColumn="0" w:lastRowFirstColumn="0" w:lastRowLastColumn="0"/>
            <w:tcW w:w="1492" w:type="pct"/>
            <w:tcBorders>
              <w:bottom w:val="single" w:sz="4" w:space="0" w:color="auto"/>
            </w:tcBorders>
            <w:shd w:val="clear" w:color="auto" w:fill="FFFFFF" w:themeFill="background1"/>
          </w:tcPr>
          <w:p w:rsidR="00604291" w:rsidRPr="000C146B" w:rsidRDefault="00604291">
            <w:pPr>
              <w:spacing w:before="240" w:after="200"/>
              <w:jc w:val="both"/>
              <w:rPr>
                <w:rFonts w:ascii="Times New Roman" w:hAnsi="Times New Roman" w:cs="Times New Roman"/>
                <w:sz w:val="18"/>
                <w:lang w:val="en-US"/>
              </w:rPr>
            </w:pPr>
          </w:p>
          <w:p w:rsidR="00604291" w:rsidRPr="000C146B" w:rsidRDefault="000C146B">
            <w:pPr>
              <w:spacing w:before="240" w:after="200"/>
              <w:jc w:val="both"/>
              <w:rPr>
                <w:rFonts w:ascii="Times New Roman" w:hAnsi="Times New Roman" w:cs="Times New Roman"/>
                <w:sz w:val="18"/>
                <w:lang w:val="en-US"/>
              </w:rPr>
            </w:pPr>
            <w:r w:rsidRPr="000C146B">
              <w:rPr>
                <w:rFonts w:ascii="Times New Roman" w:hAnsi="Times New Roman" w:cs="Times New Roman"/>
                <w:sz w:val="18"/>
                <w:lang w:val="en-US"/>
              </w:rPr>
              <w:t>Variables</w:t>
            </w:r>
          </w:p>
        </w:tc>
        <w:tc>
          <w:tcPr>
            <w:tcW w:w="737" w:type="pct"/>
            <w:gridSpan w:val="2"/>
            <w:shd w:val="clear" w:color="auto" w:fill="FFFFFF" w:themeFill="background1"/>
          </w:tcPr>
          <w:p w:rsidR="00604291" w:rsidRPr="000C146B" w:rsidRDefault="000C146B">
            <w:pPr>
              <w:spacing w:before="240" w:after="20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ASD</w:t>
            </w:r>
          </w:p>
          <w:p w:rsidR="00604291" w:rsidRPr="000C146B" w:rsidRDefault="000C146B">
            <w:pPr>
              <w:spacing w:before="240" w:after="20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(n=40)</w:t>
            </w:r>
          </w:p>
        </w:tc>
        <w:tc>
          <w:tcPr>
            <w:tcW w:w="943" w:type="pct"/>
            <w:gridSpan w:val="2"/>
            <w:shd w:val="clear" w:color="auto" w:fill="FFFFFF" w:themeFill="background1"/>
          </w:tcPr>
          <w:p w:rsidR="00604291" w:rsidRPr="000C146B" w:rsidRDefault="000C146B">
            <w:pPr>
              <w:spacing w:before="240" w:after="200"/>
              <w:ind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Control</w:t>
            </w:r>
          </w:p>
          <w:p w:rsidR="00604291" w:rsidRPr="000C146B" w:rsidRDefault="000C146B">
            <w:pPr>
              <w:spacing w:before="240" w:after="20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(n=40)</w:t>
            </w:r>
          </w:p>
        </w:tc>
        <w:tc>
          <w:tcPr>
            <w:tcW w:w="940" w:type="pct"/>
            <w:shd w:val="clear" w:color="auto" w:fill="FFFFFF" w:themeFill="background1"/>
          </w:tcPr>
          <w:p w:rsidR="00604291" w:rsidRPr="000C146B" w:rsidRDefault="00604291">
            <w:pPr>
              <w:spacing w:before="240" w:after="200"/>
              <w:ind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p>
        </w:tc>
        <w:tc>
          <w:tcPr>
            <w:tcW w:w="888" w:type="pct"/>
            <w:shd w:val="clear" w:color="auto" w:fill="FFFFFF" w:themeFill="background1"/>
          </w:tcPr>
          <w:p w:rsidR="00604291" w:rsidRPr="000C146B" w:rsidRDefault="00604291">
            <w:pPr>
              <w:spacing w:before="240" w:after="200"/>
              <w:ind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p>
        </w:tc>
      </w:tr>
      <w:tr w:rsidR="00604291" w:rsidRPr="000C146B" w:rsidTr="00524035">
        <w:trPr>
          <w:cnfStyle w:val="000000100000" w:firstRow="0" w:lastRow="0" w:firstColumn="0" w:lastColumn="0" w:oddVBand="0" w:evenVBand="0" w:oddHBand="1" w:evenHBand="0" w:firstRowFirstColumn="0" w:firstRowLastColumn="0" w:lastRowFirstColumn="0" w:lastRowLastColumn="0"/>
          <w:trHeight w:val="614"/>
        </w:trPr>
        <w:tc>
          <w:tcPr>
            <w:cnfStyle w:val="001000000000" w:firstRow="0" w:lastRow="0" w:firstColumn="1" w:lastColumn="0" w:oddVBand="0" w:evenVBand="0" w:oddHBand="0" w:evenHBand="0" w:firstRowFirstColumn="0" w:firstRowLastColumn="0" w:lastRowFirstColumn="0" w:lastRowLastColumn="0"/>
            <w:tcW w:w="1492" w:type="pct"/>
            <w:tcBorders>
              <w:top w:val="single" w:sz="4" w:space="0" w:color="auto"/>
            </w:tcBorders>
            <w:shd w:val="clear" w:color="auto" w:fill="FFFFFF" w:themeFill="background1"/>
          </w:tcPr>
          <w:p w:rsidR="00604291" w:rsidRPr="000C146B" w:rsidRDefault="00604291">
            <w:pPr>
              <w:spacing w:before="240" w:after="200"/>
              <w:jc w:val="both"/>
              <w:rPr>
                <w:rFonts w:ascii="Times New Roman" w:hAnsi="Times New Roman" w:cs="Times New Roman"/>
                <w:sz w:val="18"/>
                <w:lang w:val="en-US"/>
              </w:rPr>
            </w:pPr>
          </w:p>
        </w:tc>
        <w:tc>
          <w:tcPr>
            <w:tcW w:w="351" w:type="pct"/>
            <w:shd w:val="clear" w:color="auto" w:fill="FFFFFF" w:themeFill="background1"/>
          </w:tcPr>
          <w:p w:rsidR="00604291" w:rsidRPr="000C146B" w:rsidRDefault="000C146B">
            <w:pPr>
              <w:spacing w:before="240" w:after="2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8"/>
                <w:lang w:val="en-US"/>
              </w:rPr>
            </w:pPr>
            <w:r w:rsidRPr="000C146B">
              <w:rPr>
                <w:rFonts w:ascii="Times New Roman" w:hAnsi="Times New Roman" w:cs="Times New Roman"/>
                <w:b/>
                <w:sz w:val="18"/>
                <w:lang w:val="en-US"/>
              </w:rPr>
              <w:t>avg.</w:t>
            </w:r>
          </w:p>
        </w:tc>
        <w:tc>
          <w:tcPr>
            <w:tcW w:w="386" w:type="pct"/>
            <w:shd w:val="clear" w:color="auto" w:fill="FFFFFF" w:themeFill="background1"/>
          </w:tcPr>
          <w:p w:rsidR="00604291" w:rsidRPr="000C146B" w:rsidRDefault="000C146B">
            <w:pPr>
              <w:spacing w:before="240" w:after="2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8"/>
                <w:lang w:val="en-US"/>
              </w:rPr>
            </w:pPr>
            <w:proofErr w:type="spellStart"/>
            <w:r w:rsidRPr="000C146B">
              <w:rPr>
                <w:rFonts w:ascii="Times New Roman" w:hAnsi="Times New Roman" w:cs="Times New Roman"/>
                <w:b/>
                <w:sz w:val="18"/>
                <w:lang w:val="en-US"/>
              </w:rPr>
              <w:t>s.s.</w:t>
            </w:r>
            <w:proofErr w:type="spellEnd"/>
          </w:p>
        </w:tc>
        <w:tc>
          <w:tcPr>
            <w:tcW w:w="473" w:type="pct"/>
            <w:shd w:val="clear" w:color="auto" w:fill="FFFFFF" w:themeFill="background1"/>
          </w:tcPr>
          <w:p w:rsidR="00604291" w:rsidRPr="000C146B" w:rsidRDefault="000C146B">
            <w:pPr>
              <w:spacing w:before="240" w:after="2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8"/>
                <w:lang w:val="en-US"/>
              </w:rPr>
            </w:pPr>
            <w:r w:rsidRPr="000C146B">
              <w:rPr>
                <w:rFonts w:ascii="Times New Roman" w:hAnsi="Times New Roman" w:cs="Times New Roman"/>
                <w:b/>
                <w:sz w:val="18"/>
                <w:lang w:val="en-US"/>
              </w:rPr>
              <w:t>avg.</w:t>
            </w:r>
          </w:p>
        </w:tc>
        <w:tc>
          <w:tcPr>
            <w:tcW w:w="470" w:type="pct"/>
            <w:shd w:val="clear" w:color="auto" w:fill="FFFFFF" w:themeFill="background1"/>
          </w:tcPr>
          <w:p w:rsidR="00604291" w:rsidRPr="000C146B" w:rsidRDefault="000C146B">
            <w:pPr>
              <w:spacing w:before="240" w:after="2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8"/>
                <w:lang w:val="en-US"/>
              </w:rPr>
            </w:pPr>
            <w:proofErr w:type="spellStart"/>
            <w:r w:rsidRPr="000C146B">
              <w:rPr>
                <w:rFonts w:ascii="Times New Roman" w:hAnsi="Times New Roman" w:cs="Times New Roman"/>
                <w:b/>
                <w:sz w:val="18"/>
                <w:lang w:val="en-US"/>
              </w:rPr>
              <w:t>s.s.</w:t>
            </w:r>
            <w:proofErr w:type="spellEnd"/>
          </w:p>
        </w:tc>
        <w:tc>
          <w:tcPr>
            <w:tcW w:w="940" w:type="pct"/>
            <w:shd w:val="clear" w:color="auto" w:fill="FFFFFF" w:themeFill="background1"/>
          </w:tcPr>
          <w:p w:rsidR="00604291" w:rsidRPr="000C146B" w:rsidRDefault="000C146B">
            <w:pPr>
              <w:spacing w:before="240" w:after="2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8"/>
                <w:lang w:val="en-US"/>
              </w:rPr>
            </w:pPr>
            <w:r w:rsidRPr="000C146B">
              <w:rPr>
                <w:rFonts w:ascii="Times New Roman" w:hAnsi="Times New Roman" w:cs="Times New Roman"/>
                <w:b/>
                <w:sz w:val="18"/>
                <w:lang w:val="en-US"/>
              </w:rPr>
              <w:t>U</w:t>
            </w:r>
          </w:p>
        </w:tc>
        <w:tc>
          <w:tcPr>
            <w:tcW w:w="888" w:type="pct"/>
            <w:shd w:val="clear" w:color="auto" w:fill="FFFFFF" w:themeFill="background1"/>
          </w:tcPr>
          <w:p w:rsidR="00604291" w:rsidRPr="000C146B" w:rsidRDefault="000C146B">
            <w:pPr>
              <w:spacing w:before="240" w:after="2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iCs/>
                <w:sz w:val="18"/>
                <w:lang w:val="en-US"/>
              </w:rPr>
            </w:pPr>
            <w:r w:rsidRPr="000C146B">
              <w:rPr>
                <w:rFonts w:ascii="Times New Roman" w:hAnsi="Times New Roman" w:cs="Times New Roman"/>
                <w:b/>
                <w:i/>
                <w:iCs/>
                <w:sz w:val="18"/>
                <w:lang w:val="en-US"/>
              </w:rPr>
              <w:t>p</w:t>
            </w:r>
          </w:p>
        </w:tc>
      </w:tr>
      <w:tr w:rsidR="00604291" w:rsidRPr="000C146B" w:rsidTr="00524035">
        <w:trPr>
          <w:trHeight w:val="619"/>
        </w:trPr>
        <w:tc>
          <w:tcPr>
            <w:cnfStyle w:val="001000000000" w:firstRow="0" w:lastRow="0" w:firstColumn="1" w:lastColumn="0" w:oddVBand="0" w:evenVBand="0" w:oddHBand="0" w:evenHBand="0" w:firstRowFirstColumn="0" w:firstRowLastColumn="0" w:lastRowFirstColumn="0" w:lastRowLastColumn="0"/>
            <w:tcW w:w="1492" w:type="pct"/>
            <w:shd w:val="clear" w:color="auto" w:fill="FFFFFF" w:themeFill="background1"/>
          </w:tcPr>
          <w:p w:rsidR="00604291" w:rsidRPr="000C146B" w:rsidRDefault="000C146B">
            <w:pPr>
              <w:spacing w:before="240" w:after="200"/>
              <w:jc w:val="both"/>
              <w:rPr>
                <w:rFonts w:ascii="Times New Roman" w:hAnsi="Times New Roman" w:cs="Times New Roman"/>
                <w:sz w:val="18"/>
                <w:lang w:val="en-US"/>
              </w:rPr>
            </w:pPr>
            <w:r w:rsidRPr="000C146B">
              <w:rPr>
                <w:rFonts w:ascii="Times New Roman" w:hAnsi="Times New Roman" w:cs="Times New Roman"/>
                <w:sz w:val="18"/>
                <w:lang w:val="en-US"/>
              </w:rPr>
              <w:t xml:space="preserve">Mother's Age </w:t>
            </w:r>
          </w:p>
          <w:p w:rsidR="00604291" w:rsidRPr="000C146B" w:rsidRDefault="000C146B">
            <w:pPr>
              <w:spacing w:before="240" w:after="200"/>
              <w:jc w:val="both"/>
              <w:rPr>
                <w:rFonts w:ascii="Times New Roman" w:hAnsi="Times New Roman" w:cs="Times New Roman"/>
                <w:sz w:val="18"/>
                <w:lang w:val="en-US"/>
              </w:rPr>
            </w:pPr>
            <w:r w:rsidRPr="000C146B">
              <w:rPr>
                <w:rFonts w:ascii="Times New Roman" w:hAnsi="Times New Roman" w:cs="Times New Roman"/>
                <w:sz w:val="18"/>
                <w:lang w:val="en-US"/>
              </w:rPr>
              <w:t>(Beginning of Pregnancy)</w:t>
            </w:r>
          </w:p>
        </w:tc>
        <w:tc>
          <w:tcPr>
            <w:tcW w:w="351" w:type="pct"/>
            <w:shd w:val="clear" w:color="auto" w:fill="FFFFFF" w:themeFill="background1"/>
          </w:tcPr>
          <w:p w:rsidR="00604291" w:rsidRPr="000C146B" w:rsidRDefault="000C146B">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30.02</w:t>
            </w:r>
          </w:p>
        </w:tc>
        <w:tc>
          <w:tcPr>
            <w:tcW w:w="386" w:type="pct"/>
            <w:shd w:val="clear" w:color="auto" w:fill="FFFFFF" w:themeFill="background1"/>
          </w:tcPr>
          <w:p w:rsidR="00604291" w:rsidRPr="000C146B" w:rsidRDefault="000C146B">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7.04</w:t>
            </w:r>
          </w:p>
        </w:tc>
        <w:tc>
          <w:tcPr>
            <w:tcW w:w="473" w:type="pct"/>
            <w:shd w:val="clear" w:color="auto" w:fill="FFFFFF" w:themeFill="background1"/>
          </w:tcPr>
          <w:p w:rsidR="00604291" w:rsidRPr="000C146B" w:rsidRDefault="000C146B">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26.95</w:t>
            </w:r>
          </w:p>
        </w:tc>
        <w:tc>
          <w:tcPr>
            <w:tcW w:w="470" w:type="pct"/>
            <w:shd w:val="clear" w:color="auto" w:fill="FFFFFF" w:themeFill="background1"/>
          </w:tcPr>
          <w:p w:rsidR="00604291" w:rsidRPr="000C146B" w:rsidRDefault="000C146B">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6.14</w:t>
            </w:r>
          </w:p>
        </w:tc>
        <w:tc>
          <w:tcPr>
            <w:tcW w:w="940" w:type="pct"/>
            <w:shd w:val="clear" w:color="auto" w:fill="FFFFFF" w:themeFill="background1"/>
          </w:tcPr>
          <w:p w:rsidR="00604291" w:rsidRPr="000C146B" w:rsidRDefault="000C146B">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588.5*</w:t>
            </w:r>
          </w:p>
        </w:tc>
        <w:tc>
          <w:tcPr>
            <w:tcW w:w="888" w:type="pct"/>
            <w:shd w:val="clear" w:color="auto" w:fill="FFFFFF" w:themeFill="background1"/>
          </w:tcPr>
          <w:p w:rsidR="00604291" w:rsidRPr="000C146B" w:rsidRDefault="000C146B">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.041</w:t>
            </w:r>
          </w:p>
        </w:tc>
      </w:tr>
      <w:tr w:rsidR="00604291" w:rsidRPr="000C146B" w:rsidTr="00524035">
        <w:trPr>
          <w:cnfStyle w:val="000000100000" w:firstRow="0" w:lastRow="0" w:firstColumn="0" w:lastColumn="0" w:oddVBand="0" w:evenVBand="0" w:oddHBand="1" w:evenHBand="0" w:firstRowFirstColumn="0" w:firstRowLastColumn="0" w:lastRowFirstColumn="0" w:lastRowLastColumn="0"/>
          <w:trHeight w:val="714"/>
        </w:trPr>
        <w:tc>
          <w:tcPr>
            <w:cnfStyle w:val="001000000000" w:firstRow="0" w:lastRow="0" w:firstColumn="1" w:lastColumn="0" w:oddVBand="0" w:evenVBand="0" w:oddHBand="0" w:evenHBand="0" w:firstRowFirstColumn="0" w:firstRowLastColumn="0" w:lastRowFirstColumn="0" w:lastRowLastColumn="0"/>
            <w:tcW w:w="1492" w:type="pct"/>
            <w:shd w:val="clear" w:color="auto" w:fill="FFFFFF" w:themeFill="background1"/>
          </w:tcPr>
          <w:p w:rsidR="00604291" w:rsidRPr="000C146B" w:rsidRDefault="000C146B">
            <w:pPr>
              <w:spacing w:before="240" w:after="200"/>
              <w:jc w:val="both"/>
              <w:rPr>
                <w:rFonts w:ascii="Times New Roman" w:hAnsi="Times New Roman" w:cs="Times New Roman"/>
                <w:sz w:val="18"/>
                <w:lang w:val="en-US"/>
              </w:rPr>
            </w:pPr>
            <w:r w:rsidRPr="000C146B">
              <w:rPr>
                <w:rFonts w:ascii="Times New Roman" w:hAnsi="Times New Roman" w:cs="Times New Roman"/>
                <w:sz w:val="18"/>
                <w:lang w:val="en-US"/>
              </w:rPr>
              <w:t xml:space="preserve">Father's Age </w:t>
            </w:r>
          </w:p>
          <w:p w:rsidR="00604291" w:rsidRPr="000C146B" w:rsidRDefault="000C146B">
            <w:pPr>
              <w:spacing w:before="240" w:after="200"/>
              <w:jc w:val="both"/>
              <w:rPr>
                <w:rFonts w:ascii="Times New Roman" w:hAnsi="Times New Roman" w:cs="Times New Roman"/>
                <w:sz w:val="18"/>
                <w:lang w:val="en-US"/>
              </w:rPr>
            </w:pPr>
            <w:r w:rsidRPr="000C146B">
              <w:rPr>
                <w:rFonts w:ascii="Times New Roman" w:hAnsi="Times New Roman" w:cs="Times New Roman"/>
                <w:sz w:val="18"/>
                <w:lang w:val="en-US"/>
              </w:rPr>
              <w:t>(Beginning of Pregnancy)</w:t>
            </w:r>
          </w:p>
        </w:tc>
        <w:tc>
          <w:tcPr>
            <w:tcW w:w="351" w:type="pct"/>
            <w:shd w:val="clear" w:color="auto" w:fill="FFFFFF" w:themeFill="background1"/>
          </w:tcPr>
          <w:p w:rsidR="00604291" w:rsidRPr="000C146B" w:rsidRDefault="000C146B">
            <w:pPr>
              <w:spacing w:before="240" w:after="2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34.08</w:t>
            </w:r>
          </w:p>
        </w:tc>
        <w:tc>
          <w:tcPr>
            <w:tcW w:w="386" w:type="pct"/>
            <w:shd w:val="clear" w:color="auto" w:fill="FFFFFF" w:themeFill="background1"/>
          </w:tcPr>
          <w:p w:rsidR="00604291" w:rsidRPr="000C146B" w:rsidRDefault="000C146B">
            <w:pPr>
              <w:spacing w:before="240" w:after="2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7.02</w:t>
            </w:r>
          </w:p>
        </w:tc>
        <w:tc>
          <w:tcPr>
            <w:tcW w:w="473" w:type="pct"/>
            <w:shd w:val="clear" w:color="auto" w:fill="FFFFFF" w:themeFill="background1"/>
          </w:tcPr>
          <w:p w:rsidR="00604291" w:rsidRPr="000C146B" w:rsidRDefault="000C146B">
            <w:pPr>
              <w:spacing w:before="240" w:after="2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31.15</w:t>
            </w:r>
          </w:p>
        </w:tc>
        <w:tc>
          <w:tcPr>
            <w:tcW w:w="470" w:type="pct"/>
            <w:shd w:val="clear" w:color="auto" w:fill="FFFFFF" w:themeFill="background1"/>
          </w:tcPr>
          <w:p w:rsidR="00604291" w:rsidRPr="000C146B" w:rsidRDefault="000C146B">
            <w:pPr>
              <w:spacing w:before="240" w:after="2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6.89</w:t>
            </w:r>
          </w:p>
        </w:tc>
        <w:tc>
          <w:tcPr>
            <w:tcW w:w="940" w:type="pct"/>
            <w:shd w:val="clear" w:color="auto" w:fill="FFFFFF" w:themeFill="background1"/>
          </w:tcPr>
          <w:p w:rsidR="00604291" w:rsidRPr="000C146B" w:rsidRDefault="000C146B">
            <w:pPr>
              <w:spacing w:before="240" w:after="2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571.5*</w:t>
            </w:r>
          </w:p>
        </w:tc>
        <w:tc>
          <w:tcPr>
            <w:tcW w:w="888" w:type="pct"/>
            <w:shd w:val="clear" w:color="auto" w:fill="FFFFFF" w:themeFill="background1"/>
          </w:tcPr>
          <w:p w:rsidR="00604291" w:rsidRPr="000C146B" w:rsidRDefault="000C146B">
            <w:pPr>
              <w:spacing w:before="240" w:after="2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.028</w:t>
            </w:r>
          </w:p>
        </w:tc>
      </w:tr>
      <w:tr w:rsidR="00604291" w:rsidRPr="000C146B" w:rsidTr="00524035">
        <w:trPr>
          <w:trHeight w:val="310"/>
        </w:trPr>
        <w:tc>
          <w:tcPr>
            <w:cnfStyle w:val="001000000000" w:firstRow="0" w:lastRow="0" w:firstColumn="1" w:lastColumn="0" w:oddVBand="0" w:evenVBand="0" w:oddHBand="0" w:evenHBand="0" w:firstRowFirstColumn="0" w:firstRowLastColumn="0" w:lastRowFirstColumn="0" w:lastRowLastColumn="0"/>
            <w:tcW w:w="1492" w:type="pct"/>
            <w:shd w:val="clear" w:color="auto" w:fill="FFFFFF" w:themeFill="background1"/>
          </w:tcPr>
          <w:p w:rsidR="00604291" w:rsidRPr="000C146B" w:rsidRDefault="000C146B">
            <w:pPr>
              <w:spacing w:before="240" w:after="200"/>
              <w:jc w:val="both"/>
              <w:rPr>
                <w:rFonts w:ascii="Times New Roman" w:hAnsi="Times New Roman" w:cs="Times New Roman"/>
                <w:sz w:val="18"/>
                <w:lang w:val="en-US"/>
              </w:rPr>
            </w:pPr>
            <w:r w:rsidRPr="000C146B">
              <w:rPr>
                <w:rFonts w:ascii="Times New Roman" w:hAnsi="Times New Roman" w:cs="Times New Roman"/>
                <w:sz w:val="18"/>
                <w:lang w:val="en-US"/>
              </w:rPr>
              <w:t>Vitamin Use during Pregnancy</w:t>
            </w:r>
          </w:p>
        </w:tc>
        <w:tc>
          <w:tcPr>
            <w:tcW w:w="351" w:type="pct"/>
            <w:shd w:val="clear" w:color="auto" w:fill="FFFFFF" w:themeFill="background1"/>
          </w:tcPr>
          <w:p w:rsidR="00604291" w:rsidRPr="000C146B" w:rsidRDefault="00604291">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p>
        </w:tc>
        <w:tc>
          <w:tcPr>
            <w:tcW w:w="386" w:type="pct"/>
            <w:shd w:val="clear" w:color="auto" w:fill="FFFFFF" w:themeFill="background1"/>
          </w:tcPr>
          <w:p w:rsidR="00604291" w:rsidRPr="000C146B" w:rsidRDefault="00604291">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p>
        </w:tc>
        <w:tc>
          <w:tcPr>
            <w:tcW w:w="473" w:type="pct"/>
            <w:shd w:val="clear" w:color="auto" w:fill="FFFFFF" w:themeFill="background1"/>
          </w:tcPr>
          <w:p w:rsidR="00604291" w:rsidRPr="000C146B" w:rsidRDefault="00604291">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p>
        </w:tc>
        <w:tc>
          <w:tcPr>
            <w:tcW w:w="470" w:type="pct"/>
            <w:shd w:val="clear" w:color="auto" w:fill="FFFFFF" w:themeFill="background1"/>
          </w:tcPr>
          <w:p w:rsidR="00604291" w:rsidRPr="000C146B" w:rsidRDefault="00604291">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p>
        </w:tc>
        <w:tc>
          <w:tcPr>
            <w:tcW w:w="940" w:type="pct"/>
            <w:shd w:val="clear" w:color="auto" w:fill="FFFFFF" w:themeFill="background1"/>
          </w:tcPr>
          <w:p w:rsidR="00604291" w:rsidRPr="000C146B" w:rsidRDefault="00604291">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p>
        </w:tc>
        <w:tc>
          <w:tcPr>
            <w:tcW w:w="888" w:type="pct"/>
            <w:shd w:val="clear" w:color="auto" w:fill="FFFFFF" w:themeFill="background1"/>
          </w:tcPr>
          <w:p w:rsidR="00604291" w:rsidRPr="000C146B" w:rsidRDefault="00604291">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p>
        </w:tc>
      </w:tr>
      <w:tr w:rsidR="00604291" w:rsidRPr="000C146B" w:rsidTr="00524035">
        <w:trPr>
          <w:cnfStyle w:val="000000100000" w:firstRow="0" w:lastRow="0" w:firstColumn="0" w:lastColumn="0" w:oddVBand="0" w:evenVBand="0" w:oddHBand="1" w:evenHBand="0" w:firstRowFirstColumn="0" w:firstRowLastColumn="0" w:lastRowFirstColumn="0" w:lastRowLastColumn="0"/>
          <w:trHeight w:val="645"/>
        </w:trPr>
        <w:tc>
          <w:tcPr>
            <w:cnfStyle w:val="001000000000" w:firstRow="0" w:lastRow="0" w:firstColumn="1" w:lastColumn="0" w:oddVBand="0" w:evenVBand="0" w:oddHBand="0" w:evenHBand="0" w:firstRowFirstColumn="0" w:firstRowLastColumn="0" w:lastRowFirstColumn="0" w:lastRowLastColumn="0"/>
            <w:tcW w:w="1492" w:type="pct"/>
            <w:shd w:val="clear" w:color="auto" w:fill="FFFFFF" w:themeFill="background1"/>
          </w:tcPr>
          <w:p w:rsidR="00604291" w:rsidRPr="000C146B" w:rsidRDefault="000C146B">
            <w:pPr>
              <w:spacing w:before="240" w:after="200"/>
              <w:jc w:val="both"/>
              <w:rPr>
                <w:rFonts w:ascii="Times New Roman" w:hAnsi="Times New Roman" w:cs="Times New Roman"/>
                <w:b w:val="0"/>
                <w:sz w:val="18"/>
                <w:lang w:val="en-US"/>
              </w:rPr>
            </w:pPr>
            <w:r w:rsidRPr="000C146B">
              <w:rPr>
                <w:rFonts w:ascii="Times New Roman" w:hAnsi="Times New Roman" w:cs="Times New Roman"/>
                <w:b w:val="0"/>
                <w:sz w:val="18"/>
                <w:lang w:val="en-US"/>
              </w:rPr>
              <w:t>Folic Acid</w:t>
            </w:r>
          </w:p>
        </w:tc>
        <w:tc>
          <w:tcPr>
            <w:tcW w:w="351" w:type="pct"/>
            <w:shd w:val="clear" w:color="auto" w:fill="FFFFFF" w:themeFill="background1"/>
          </w:tcPr>
          <w:p w:rsidR="00604291" w:rsidRPr="000C146B" w:rsidRDefault="000C146B">
            <w:pPr>
              <w:spacing w:before="240" w:after="2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22</w:t>
            </w:r>
          </w:p>
        </w:tc>
        <w:tc>
          <w:tcPr>
            <w:tcW w:w="386" w:type="pct"/>
            <w:shd w:val="clear" w:color="auto" w:fill="FFFFFF" w:themeFill="background1"/>
          </w:tcPr>
          <w:p w:rsidR="00604291" w:rsidRPr="000C146B" w:rsidRDefault="000C146B">
            <w:pPr>
              <w:spacing w:before="240" w:after="2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55</w:t>
            </w:r>
          </w:p>
        </w:tc>
        <w:tc>
          <w:tcPr>
            <w:tcW w:w="473" w:type="pct"/>
            <w:shd w:val="clear" w:color="auto" w:fill="FFFFFF" w:themeFill="background1"/>
          </w:tcPr>
          <w:p w:rsidR="00604291" w:rsidRPr="000C146B" w:rsidRDefault="000C146B">
            <w:pPr>
              <w:spacing w:before="240" w:after="2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12</w:t>
            </w:r>
          </w:p>
        </w:tc>
        <w:tc>
          <w:tcPr>
            <w:tcW w:w="470" w:type="pct"/>
            <w:shd w:val="clear" w:color="auto" w:fill="FFFFFF" w:themeFill="background1"/>
          </w:tcPr>
          <w:p w:rsidR="00604291" w:rsidRPr="000C146B" w:rsidRDefault="000C146B">
            <w:pPr>
              <w:spacing w:before="240" w:after="2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30</w:t>
            </w:r>
          </w:p>
        </w:tc>
        <w:tc>
          <w:tcPr>
            <w:tcW w:w="940" w:type="pct"/>
            <w:shd w:val="clear" w:color="auto" w:fill="FFFFFF" w:themeFill="background1"/>
          </w:tcPr>
          <w:p w:rsidR="00604291" w:rsidRPr="000C146B" w:rsidRDefault="000C146B">
            <w:pPr>
              <w:spacing w:before="240" w:after="2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5.115*</w:t>
            </w:r>
          </w:p>
        </w:tc>
        <w:tc>
          <w:tcPr>
            <w:tcW w:w="888" w:type="pct"/>
            <w:shd w:val="clear" w:color="auto" w:fill="FFFFFF" w:themeFill="background1"/>
          </w:tcPr>
          <w:p w:rsidR="00604291" w:rsidRPr="000C146B" w:rsidRDefault="000C146B">
            <w:pPr>
              <w:spacing w:before="240" w:after="2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.024</w:t>
            </w:r>
          </w:p>
        </w:tc>
      </w:tr>
      <w:tr w:rsidR="00604291" w:rsidRPr="000C146B" w:rsidTr="00524035">
        <w:trPr>
          <w:trHeight w:val="59"/>
        </w:trPr>
        <w:tc>
          <w:tcPr>
            <w:cnfStyle w:val="001000000000" w:firstRow="0" w:lastRow="0" w:firstColumn="1" w:lastColumn="0" w:oddVBand="0" w:evenVBand="0" w:oddHBand="0" w:evenHBand="0" w:firstRowFirstColumn="0" w:firstRowLastColumn="0" w:lastRowFirstColumn="0" w:lastRowLastColumn="0"/>
            <w:tcW w:w="1492" w:type="pct"/>
            <w:shd w:val="clear" w:color="auto" w:fill="FFFFFF" w:themeFill="background1"/>
          </w:tcPr>
          <w:p w:rsidR="00604291" w:rsidRPr="000C146B" w:rsidRDefault="000C146B">
            <w:pPr>
              <w:spacing w:before="240" w:after="200"/>
              <w:jc w:val="both"/>
              <w:rPr>
                <w:rFonts w:ascii="Times New Roman" w:hAnsi="Times New Roman" w:cs="Times New Roman"/>
                <w:b w:val="0"/>
                <w:sz w:val="18"/>
                <w:lang w:val="en-US"/>
              </w:rPr>
            </w:pPr>
            <w:r w:rsidRPr="000C146B">
              <w:rPr>
                <w:rFonts w:ascii="Times New Roman" w:hAnsi="Times New Roman" w:cs="Times New Roman"/>
                <w:b w:val="0"/>
                <w:sz w:val="18"/>
                <w:lang w:val="en-US"/>
              </w:rPr>
              <w:t>Folic Acid and Vitamin D</w:t>
            </w:r>
          </w:p>
        </w:tc>
        <w:tc>
          <w:tcPr>
            <w:tcW w:w="351" w:type="pct"/>
            <w:shd w:val="clear" w:color="auto" w:fill="FFFFFF" w:themeFill="background1"/>
          </w:tcPr>
          <w:p w:rsidR="00604291" w:rsidRPr="000C146B" w:rsidRDefault="000C146B">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18</w:t>
            </w:r>
          </w:p>
        </w:tc>
        <w:tc>
          <w:tcPr>
            <w:tcW w:w="386" w:type="pct"/>
            <w:shd w:val="clear" w:color="auto" w:fill="FFFFFF" w:themeFill="background1"/>
          </w:tcPr>
          <w:p w:rsidR="00604291" w:rsidRPr="000C146B" w:rsidRDefault="000C146B">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45</w:t>
            </w:r>
          </w:p>
        </w:tc>
        <w:tc>
          <w:tcPr>
            <w:tcW w:w="473" w:type="pct"/>
            <w:shd w:val="clear" w:color="auto" w:fill="FFFFFF" w:themeFill="background1"/>
          </w:tcPr>
          <w:p w:rsidR="00604291" w:rsidRPr="000C146B" w:rsidRDefault="000C146B">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28</w:t>
            </w:r>
          </w:p>
        </w:tc>
        <w:tc>
          <w:tcPr>
            <w:tcW w:w="470" w:type="pct"/>
            <w:shd w:val="clear" w:color="auto" w:fill="FFFFFF" w:themeFill="background1"/>
          </w:tcPr>
          <w:p w:rsidR="00604291" w:rsidRPr="000C146B" w:rsidRDefault="000C146B">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r w:rsidRPr="000C146B">
              <w:rPr>
                <w:rFonts w:ascii="Times New Roman" w:hAnsi="Times New Roman" w:cs="Times New Roman"/>
                <w:sz w:val="18"/>
                <w:lang w:val="en-US"/>
              </w:rPr>
              <w:t>70</w:t>
            </w:r>
          </w:p>
        </w:tc>
        <w:tc>
          <w:tcPr>
            <w:tcW w:w="940" w:type="pct"/>
            <w:shd w:val="clear" w:color="auto" w:fill="FFFFFF" w:themeFill="background1"/>
          </w:tcPr>
          <w:p w:rsidR="00604291" w:rsidRPr="000C146B" w:rsidRDefault="00604291">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p>
        </w:tc>
        <w:tc>
          <w:tcPr>
            <w:tcW w:w="888" w:type="pct"/>
            <w:shd w:val="clear" w:color="auto" w:fill="FFFFFF" w:themeFill="background1"/>
          </w:tcPr>
          <w:p w:rsidR="00604291" w:rsidRPr="000C146B" w:rsidRDefault="00604291">
            <w:pPr>
              <w:spacing w:before="240" w:after="2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lang w:val="en-US"/>
              </w:rPr>
            </w:pPr>
          </w:p>
        </w:tc>
      </w:tr>
    </w:tbl>
    <w:p w:rsidR="00524035" w:rsidRDefault="00524035" w:rsidP="001C1D1C">
      <w:pPr>
        <w:pStyle w:val="Tez2"/>
        <w:outlineLvl w:val="1"/>
        <w:rPr>
          <w:b w:val="0"/>
          <w:i/>
        </w:rPr>
      </w:pPr>
      <w:bookmarkStart w:id="5" w:name="_Toc103689754"/>
      <w:r>
        <w:t xml:space="preserve"> </w:t>
      </w:r>
      <w:bookmarkEnd w:id="5"/>
    </w:p>
    <w:p w:rsidR="00604291" w:rsidRPr="000C146B" w:rsidRDefault="00604291">
      <w:pPr>
        <w:pStyle w:val="Tez3"/>
        <w:outlineLvl w:val="2"/>
        <w:rPr>
          <w:lang w:val="en-US"/>
        </w:rPr>
      </w:pPr>
    </w:p>
    <w:p w:rsidR="00604291" w:rsidRPr="000C146B" w:rsidRDefault="000C146B" w:rsidP="00FD67C1">
      <w:pPr>
        <w:pStyle w:val="Tez3"/>
        <w:outlineLvl w:val="2"/>
        <w:rPr>
          <w:lang w:val="en-US"/>
        </w:rPr>
      </w:pPr>
      <w:r w:rsidRPr="000C146B">
        <w:rPr>
          <w:lang w:val="en-US"/>
        </w:rPr>
        <w:t xml:space="preserve">Relation between the data of ADSI and </w:t>
      </w:r>
      <w:r w:rsidR="00524035">
        <w:rPr>
          <w:lang w:val="en-US"/>
        </w:rPr>
        <w:t>PLS-4</w:t>
      </w:r>
      <w:r w:rsidRPr="000C146B">
        <w:rPr>
          <w:lang w:val="en-US"/>
        </w:rPr>
        <w:t xml:space="preserve"> in the ASD group.</w:t>
      </w:r>
    </w:p>
    <w:p w:rsidR="00604291" w:rsidRPr="000C146B" w:rsidRDefault="000C146B" w:rsidP="00FD67C1">
      <w:pPr>
        <w:spacing w:after="0" w:line="360" w:lineRule="auto"/>
        <w:ind w:firstLine="709"/>
        <w:jc w:val="both"/>
        <w:rPr>
          <w:rFonts w:ascii="Times New Roman" w:hAnsi="Times New Roman" w:cs="Times New Roman"/>
          <w:sz w:val="24"/>
          <w:lang w:val="en-US"/>
        </w:rPr>
      </w:pPr>
      <w:r w:rsidRPr="000C146B">
        <w:rPr>
          <w:rFonts w:ascii="Times New Roman" w:hAnsi="Times New Roman" w:cs="Times New Roman"/>
          <w:sz w:val="24"/>
          <w:lang w:val="en-US"/>
        </w:rPr>
        <w:t xml:space="preserve">The relation between the data of ADSI and </w:t>
      </w:r>
      <w:r w:rsidR="00524035">
        <w:rPr>
          <w:rFonts w:ascii="Times New Roman" w:hAnsi="Times New Roman" w:cs="Times New Roman"/>
          <w:sz w:val="24"/>
          <w:lang w:val="en-US"/>
        </w:rPr>
        <w:t>PLS-4</w:t>
      </w:r>
      <w:r w:rsidRPr="000C146B">
        <w:rPr>
          <w:rFonts w:ascii="Times New Roman" w:hAnsi="Times New Roman" w:cs="Times New Roman"/>
          <w:sz w:val="24"/>
          <w:lang w:val="en-US"/>
        </w:rPr>
        <w:t xml:space="preserve"> which is implemented in the ASD group is examined and the results are shown in Table 3. Accordingly, it is found that between ADSI general development upper value, and </w:t>
      </w:r>
      <w:r w:rsidR="00524035">
        <w:rPr>
          <w:rFonts w:ascii="Times New Roman" w:hAnsi="Times New Roman" w:cs="Times New Roman"/>
          <w:sz w:val="24"/>
          <w:lang w:val="en-US"/>
        </w:rPr>
        <w:t>PLS-4</w:t>
      </w:r>
      <w:r w:rsidRPr="000C146B">
        <w:rPr>
          <w:rFonts w:ascii="Times New Roman" w:hAnsi="Times New Roman" w:cs="Times New Roman"/>
          <w:sz w:val="24"/>
          <w:lang w:val="en-US"/>
        </w:rPr>
        <w:t xml:space="preserve"> receptive language lower value differentials (r=.984, p&lt;.01), </w:t>
      </w:r>
      <w:r w:rsidR="00524035">
        <w:rPr>
          <w:rFonts w:ascii="Times New Roman" w:hAnsi="Times New Roman" w:cs="Times New Roman"/>
          <w:sz w:val="24"/>
          <w:lang w:val="en-US"/>
        </w:rPr>
        <w:t>PLS-4</w:t>
      </w:r>
      <w:r w:rsidRPr="000C146B">
        <w:rPr>
          <w:rFonts w:ascii="Times New Roman" w:hAnsi="Times New Roman" w:cs="Times New Roman"/>
          <w:sz w:val="24"/>
          <w:lang w:val="en-US"/>
        </w:rPr>
        <w:t xml:space="preserve"> receptive language upper values differentials (r=.982, p&lt;.01), </w:t>
      </w:r>
      <w:r w:rsidR="00524035">
        <w:rPr>
          <w:rFonts w:ascii="Times New Roman" w:hAnsi="Times New Roman" w:cs="Times New Roman"/>
          <w:sz w:val="24"/>
          <w:lang w:val="en-US"/>
        </w:rPr>
        <w:t>PLS-4</w:t>
      </w:r>
      <w:r w:rsidRPr="000C146B">
        <w:rPr>
          <w:rFonts w:ascii="Times New Roman" w:hAnsi="Times New Roman" w:cs="Times New Roman"/>
          <w:sz w:val="24"/>
          <w:lang w:val="en-US"/>
        </w:rPr>
        <w:t xml:space="preserve"> expressive language lower value differentials (r=.926, p&lt;.01) and </w:t>
      </w:r>
      <w:r w:rsidR="00524035">
        <w:rPr>
          <w:rFonts w:ascii="Times New Roman" w:hAnsi="Times New Roman" w:cs="Times New Roman"/>
          <w:sz w:val="24"/>
          <w:lang w:val="en-US"/>
        </w:rPr>
        <w:t>PLS-4</w:t>
      </w:r>
      <w:r w:rsidRPr="000C146B">
        <w:rPr>
          <w:rFonts w:ascii="Times New Roman" w:hAnsi="Times New Roman" w:cs="Times New Roman"/>
          <w:sz w:val="24"/>
          <w:lang w:val="en-US"/>
        </w:rPr>
        <w:t xml:space="preserve"> expressive language upper value differentials (r=.945, p&lt;.01), there is a positively significant relation. </w:t>
      </w:r>
    </w:p>
    <w:p w:rsidR="00604291" w:rsidRPr="000C146B" w:rsidRDefault="000C146B" w:rsidP="00FD67C1">
      <w:pPr>
        <w:spacing w:after="0" w:line="360" w:lineRule="auto"/>
        <w:ind w:firstLine="709"/>
        <w:jc w:val="both"/>
        <w:rPr>
          <w:rFonts w:ascii="Times New Roman" w:hAnsi="Times New Roman" w:cs="Times New Roman"/>
          <w:sz w:val="24"/>
          <w:lang w:val="en-US"/>
        </w:rPr>
      </w:pPr>
      <w:r w:rsidRPr="000C146B">
        <w:rPr>
          <w:rFonts w:ascii="Times New Roman" w:hAnsi="Times New Roman" w:cs="Times New Roman"/>
          <w:sz w:val="24"/>
          <w:lang w:val="en-US"/>
        </w:rPr>
        <w:t xml:space="preserve">Similarly, it is found that between ADSI general development lower value, and </w:t>
      </w:r>
      <w:r w:rsidR="00524035">
        <w:rPr>
          <w:rFonts w:ascii="Times New Roman" w:hAnsi="Times New Roman" w:cs="Times New Roman"/>
          <w:sz w:val="24"/>
          <w:lang w:val="en-US"/>
        </w:rPr>
        <w:t>PLS-4</w:t>
      </w:r>
      <w:r w:rsidRPr="000C146B">
        <w:rPr>
          <w:rFonts w:ascii="Times New Roman" w:hAnsi="Times New Roman" w:cs="Times New Roman"/>
          <w:sz w:val="24"/>
          <w:lang w:val="en-US"/>
        </w:rPr>
        <w:t xml:space="preserve"> receptive language lower value differentials (r=.981, p&lt;.01), </w:t>
      </w:r>
      <w:r w:rsidR="00524035">
        <w:rPr>
          <w:rFonts w:ascii="Times New Roman" w:hAnsi="Times New Roman" w:cs="Times New Roman"/>
          <w:sz w:val="24"/>
          <w:lang w:val="en-US"/>
        </w:rPr>
        <w:t>PLS-4</w:t>
      </w:r>
      <w:r w:rsidRPr="000C146B">
        <w:rPr>
          <w:rFonts w:ascii="Times New Roman" w:hAnsi="Times New Roman" w:cs="Times New Roman"/>
          <w:sz w:val="24"/>
          <w:lang w:val="en-US"/>
        </w:rPr>
        <w:t xml:space="preserve"> receptive language upper values differentials (r=.964, p&lt;.01), </w:t>
      </w:r>
      <w:r w:rsidR="00524035">
        <w:rPr>
          <w:rFonts w:ascii="Times New Roman" w:hAnsi="Times New Roman" w:cs="Times New Roman"/>
          <w:sz w:val="24"/>
          <w:lang w:val="en-US"/>
        </w:rPr>
        <w:t>PLS-4</w:t>
      </w:r>
      <w:r w:rsidRPr="000C146B">
        <w:rPr>
          <w:rFonts w:ascii="Times New Roman" w:hAnsi="Times New Roman" w:cs="Times New Roman"/>
          <w:sz w:val="24"/>
          <w:lang w:val="en-US"/>
        </w:rPr>
        <w:t xml:space="preserve"> expressive language lower value differentials (r=.950, p&lt;.01) and </w:t>
      </w:r>
      <w:r w:rsidR="00524035">
        <w:rPr>
          <w:rFonts w:ascii="Times New Roman" w:hAnsi="Times New Roman" w:cs="Times New Roman"/>
          <w:sz w:val="24"/>
          <w:lang w:val="en-US"/>
        </w:rPr>
        <w:t>PLS-4</w:t>
      </w:r>
      <w:r w:rsidRPr="000C146B">
        <w:rPr>
          <w:rFonts w:ascii="Times New Roman" w:hAnsi="Times New Roman" w:cs="Times New Roman"/>
          <w:sz w:val="24"/>
          <w:lang w:val="en-US"/>
        </w:rPr>
        <w:t xml:space="preserve"> expressive language upper value differentials (r=.954, p&lt;.01), there is a positively significant relation. </w:t>
      </w:r>
    </w:p>
    <w:p w:rsidR="00604291" w:rsidRPr="000C146B" w:rsidRDefault="000C146B" w:rsidP="00FD67C1">
      <w:pPr>
        <w:spacing w:after="0" w:line="360" w:lineRule="auto"/>
        <w:ind w:firstLine="709"/>
        <w:jc w:val="both"/>
        <w:rPr>
          <w:rFonts w:ascii="Times New Roman" w:hAnsi="Times New Roman" w:cs="Times New Roman"/>
          <w:sz w:val="24"/>
          <w:lang w:val="en-US"/>
        </w:rPr>
      </w:pPr>
      <w:r w:rsidRPr="000C146B">
        <w:rPr>
          <w:rFonts w:ascii="Times New Roman" w:hAnsi="Times New Roman" w:cs="Times New Roman"/>
          <w:sz w:val="24"/>
          <w:lang w:val="en-US"/>
        </w:rPr>
        <w:lastRenderedPageBreak/>
        <w:t xml:space="preserve">It is detected that between ADSI language cognitive development upper-value differential, and </w:t>
      </w:r>
      <w:r w:rsidR="00524035">
        <w:rPr>
          <w:rFonts w:ascii="Times New Roman" w:hAnsi="Times New Roman" w:cs="Times New Roman"/>
          <w:sz w:val="24"/>
          <w:lang w:val="en-US"/>
        </w:rPr>
        <w:t>PLS-4</w:t>
      </w:r>
      <w:r w:rsidRPr="000C146B">
        <w:rPr>
          <w:rFonts w:ascii="Times New Roman" w:hAnsi="Times New Roman" w:cs="Times New Roman"/>
          <w:sz w:val="24"/>
          <w:lang w:val="en-US"/>
        </w:rPr>
        <w:t xml:space="preserve"> receptive language lower value differentials (r=.982, p&lt;.01), </w:t>
      </w:r>
      <w:r w:rsidR="00524035">
        <w:rPr>
          <w:rFonts w:ascii="Times New Roman" w:hAnsi="Times New Roman" w:cs="Times New Roman"/>
          <w:sz w:val="24"/>
          <w:lang w:val="en-US"/>
        </w:rPr>
        <w:t>PLS-4</w:t>
      </w:r>
      <w:r w:rsidRPr="000C146B">
        <w:rPr>
          <w:rFonts w:ascii="Times New Roman" w:hAnsi="Times New Roman" w:cs="Times New Roman"/>
          <w:sz w:val="24"/>
          <w:lang w:val="en-US"/>
        </w:rPr>
        <w:t xml:space="preserve"> receptive language upper values differentials (r=.975, p&lt;.01), </w:t>
      </w:r>
      <w:r w:rsidR="00524035">
        <w:rPr>
          <w:rFonts w:ascii="Times New Roman" w:hAnsi="Times New Roman" w:cs="Times New Roman"/>
          <w:sz w:val="24"/>
          <w:lang w:val="en-US"/>
        </w:rPr>
        <w:t>PLS-4</w:t>
      </w:r>
      <w:r w:rsidRPr="000C146B">
        <w:rPr>
          <w:rFonts w:ascii="Times New Roman" w:hAnsi="Times New Roman" w:cs="Times New Roman"/>
          <w:sz w:val="24"/>
          <w:lang w:val="en-US"/>
        </w:rPr>
        <w:t xml:space="preserve"> expressive language lower value differentials (r=.925, p&lt;.01) and </w:t>
      </w:r>
      <w:r w:rsidR="00524035">
        <w:rPr>
          <w:rFonts w:ascii="Times New Roman" w:hAnsi="Times New Roman" w:cs="Times New Roman"/>
          <w:sz w:val="24"/>
          <w:lang w:val="en-US"/>
        </w:rPr>
        <w:t>PLS-4</w:t>
      </w:r>
      <w:r w:rsidRPr="000C146B">
        <w:rPr>
          <w:rFonts w:ascii="Times New Roman" w:hAnsi="Times New Roman" w:cs="Times New Roman"/>
          <w:sz w:val="24"/>
          <w:lang w:val="en-US"/>
        </w:rPr>
        <w:t xml:space="preserve"> expressive language upper value differentials (r=.940, p&lt;.01), there is a positively significant relation.</w:t>
      </w:r>
    </w:p>
    <w:p w:rsidR="00604291" w:rsidRDefault="000C146B" w:rsidP="00FD67C1">
      <w:pPr>
        <w:spacing w:after="0" w:line="360" w:lineRule="auto"/>
        <w:ind w:firstLine="709"/>
        <w:jc w:val="both"/>
        <w:rPr>
          <w:rFonts w:ascii="Times New Roman" w:hAnsi="Times New Roman" w:cs="Times New Roman"/>
          <w:sz w:val="24"/>
          <w:lang w:val="en-US"/>
        </w:rPr>
      </w:pPr>
      <w:r w:rsidRPr="000C146B">
        <w:rPr>
          <w:rFonts w:ascii="Times New Roman" w:hAnsi="Times New Roman" w:cs="Times New Roman"/>
          <w:sz w:val="24"/>
          <w:lang w:val="en-US"/>
        </w:rPr>
        <w:t xml:space="preserve">Accordingly, </w:t>
      </w:r>
      <w:proofErr w:type="gramStart"/>
      <w:r w:rsidRPr="000C146B">
        <w:rPr>
          <w:rFonts w:ascii="Times New Roman" w:hAnsi="Times New Roman" w:cs="Times New Roman"/>
          <w:sz w:val="24"/>
          <w:lang w:val="en-US"/>
        </w:rPr>
        <w:t>It</w:t>
      </w:r>
      <w:proofErr w:type="gramEnd"/>
      <w:r w:rsidRPr="000C146B">
        <w:rPr>
          <w:rFonts w:ascii="Times New Roman" w:hAnsi="Times New Roman" w:cs="Times New Roman"/>
          <w:sz w:val="24"/>
          <w:lang w:val="en-US"/>
        </w:rPr>
        <w:t xml:space="preserve"> is determined that between ADSI language cognitive development lower value differentials, and </w:t>
      </w:r>
      <w:r w:rsidR="00524035">
        <w:rPr>
          <w:rFonts w:ascii="Times New Roman" w:hAnsi="Times New Roman" w:cs="Times New Roman"/>
          <w:sz w:val="24"/>
          <w:lang w:val="en-US"/>
        </w:rPr>
        <w:t>PLS-4</w:t>
      </w:r>
      <w:r w:rsidRPr="000C146B">
        <w:rPr>
          <w:rFonts w:ascii="Times New Roman" w:hAnsi="Times New Roman" w:cs="Times New Roman"/>
          <w:sz w:val="24"/>
          <w:lang w:val="en-US"/>
        </w:rPr>
        <w:t xml:space="preserve"> receptive language lower value differentials (r=.963, p&lt;.01), </w:t>
      </w:r>
      <w:r w:rsidR="00524035">
        <w:rPr>
          <w:rFonts w:ascii="Times New Roman" w:hAnsi="Times New Roman" w:cs="Times New Roman"/>
          <w:sz w:val="24"/>
          <w:lang w:val="en-US"/>
        </w:rPr>
        <w:t>PLS-4</w:t>
      </w:r>
      <w:r w:rsidRPr="000C146B">
        <w:rPr>
          <w:rFonts w:ascii="Times New Roman" w:hAnsi="Times New Roman" w:cs="Times New Roman"/>
          <w:sz w:val="24"/>
          <w:lang w:val="en-US"/>
        </w:rPr>
        <w:t xml:space="preserve"> receptive language upper value differentials (r=.938, p&lt;.01), </w:t>
      </w:r>
      <w:r w:rsidR="00524035">
        <w:rPr>
          <w:rFonts w:ascii="Times New Roman" w:hAnsi="Times New Roman" w:cs="Times New Roman"/>
          <w:sz w:val="24"/>
          <w:lang w:val="en-US"/>
        </w:rPr>
        <w:t>PLS-4</w:t>
      </w:r>
      <w:r w:rsidRPr="000C146B">
        <w:rPr>
          <w:rFonts w:ascii="Times New Roman" w:hAnsi="Times New Roman" w:cs="Times New Roman"/>
          <w:sz w:val="24"/>
          <w:lang w:val="en-US"/>
        </w:rPr>
        <w:t xml:space="preserve"> expressive language lower value differentials (r=.948, p&lt;.01) and </w:t>
      </w:r>
      <w:r w:rsidR="00524035">
        <w:rPr>
          <w:rFonts w:ascii="Times New Roman" w:hAnsi="Times New Roman" w:cs="Times New Roman"/>
          <w:sz w:val="24"/>
          <w:lang w:val="en-US"/>
        </w:rPr>
        <w:t>PLS-4</w:t>
      </w:r>
      <w:r w:rsidRPr="000C146B">
        <w:rPr>
          <w:rFonts w:ascii="Times New Roman" w:hAnsi="Times New Roman" w:cs="Times New Roman"/>
          <w:sz w:val="24"/>
          <w:lang w:val="en-US"/>
        </w:rPr>
        <w:t xml:space="preserve"> expressive language upper value differentials (r=.936, p&lt;.01), there is a positively significant relation. </w:t>
      </w:r>
    </w:p>
    <w:p w:rsidR="00C47EA8" w:rsidRPr="000C146B" w:rsidRDefault="00C47EA8" w:rsidP="00FD67C1">
      <w:pPr>
        <w:spacing w:after="0" w:line="360" w:lineRule="auto"/>
        <w:ind w:firstLine="709"/>
        <w:jc w:val="both"/>
        <w:rPr>
          <w:rFonts w:ascii="Times New Roman" w:hAnsi="Times New Roman" w:cs="Times New Roman"/>
          <w:sz w:val="24"/>
          <w:lang w:val="en-US"/>
        </w:rPr>
      </w:pPr>
    </w:p>
    <w:p w:rsidR="00604291" w:rsidRPr="000C146B" w:rsidRDefault="00604291">
      <w:pPr>
        <w:spacing w:after="0" w:line="480" w:lineRule="auto"/>
        <w:ind w:firstLine="709"/>
        <w:jc w:val="both"/>
        <w:rPr>
          <w:rFonts w:ascii="Times New Roman" w:hAnsi="Times New Roman" w:cs="Times New Roman"/>
          <w:sz w:val="24"/>
          <w:lang w:val="en-US"/>
        </w:rPr>
      </w:pPr>
    </w:p>
    <w:p w:rsidR="00604291" w:rsidRPr="000C146B" w:rsidRDefault="00604291">
      <w:pPr>
        <w:pStyle w:val="ResimYazs"/>
        <w:rPr>
          <w:rFonts w:ascii="Times New Roman" w:hAnsi="Times New Roman" w:cs="Times New Roman"/>
          <w:b/>
          <w:i w:val="0"/>
          <w:color w:val="auto"/>
          <w:sz w:val="24"/>
          <w:lang w:val="en-US"/>
        </w:rPr>
      </w:pPr>
      <w:bookmarkStart w:id="6" w:name="_Toc101858111"/>
    </w:p>
    <w:p w:rsidR="00604291" w:rsidRPr="000C146B" w:rsidRDefault="00604291">
      <w:pPr>
        <w:pStyle w:val="ResimYazs"/>
        <w:rPr>
          <w:rFonts w:ascii="Times New Roman" w:hAnsi="Times New Roman" w:cs="Times New Roman"/>
          <w:b/>
          <w:i w:val="0"/>
          <w:color w:val="auto"/>
          <w:sz w:val="24"/>
          <w:lang w:val="en-US"/>
        </w:rPr>
      </w:pPr>
    </w:p>
    <w:p w:rsidR="00604291" w:rsidRPr="000C146B" w:rsidRDefault="00604291">
      <w:pPr>
        <w:pStyle w:val="ResimYazs"/>
        <w:rPr>
          <w:rFonts w:ascii="Times New Roman" w:hAnsi="Times New Roman" w:cs="Times New Roman"/>
          <w:b/>
          <w:i w:val="0"/>
          <w:color w:val="auto"/>
          <w:sz w:val="24"/>
          <w:lang w:val="en-US"/>
        </w:rPr>
      </w:pPr>
    </w:p>
    <w:p w:rsidR="00604291" w:rsidRPr="000C146B" w:rsidRDefault="000C146B">
      <w:pPr>
        <w:pStyle w:val="ResimYazs"/>
        <w:rPr>
          <w:rFonts w:ascii="Times New Roman" w:hAnsi="Times New Roman" w:cs="Times New Roman"/>
          <w:b/>
          <w:i w:val="0"/>
          <w:color w:val="auto"/>
          <w:sz w:val="24"/>
          <w:lang w:val="en-US"/>
        </w:rPr>
      </w:pPr>
      <w:r w:rsidRPr="000C146B">
        <w:rPr>
          <w:rFonts w:ascii="Times New Roman" w:hAnsi="Times New Roman" w:cs="Times New Roman"/>
          <w:b/>
          <w:i w:val="0"/>
          <w:color w:val="auto"/>
          <w:sz w:val="24"/>
          <w:lang w:val="en-US"/>
        </w:rPr>
        <w:t xml:space="preserve">Table 6. The Relation between ADSI and </w:t>
      </w:r>
      <w:r w:rsidR="00524035">
        <w:rPr>
          <w:rFonts w:ascii="Times New Roman" w:hAnsi="Times New Roman" w:cs="Times New Roman"/>
          <w:b/>
          <w:i w:val="0"/>
          <w:color w:val="auto"/>
          <w:sz w:val="24"/>
          <w:lang w:val="en-US"/>
        </w:rPr>
        <w:t>PLS-4</w:t>
      </w:r>
      <w:r w:rsidRPr="000C146B">
        <w:rPr>
          <w:rFonts w:ascii="Times New Roman" w:hAnsi="Times New Roman" w:cs="Times New Roman"/>
          <w:b/>
          <w:i w:val="0"/>
          <w:color w:val="auto"/>
          <w:sz w:val="24"/>
          <w:lang w:val="en-US"/>
        </w:rPr>
        <w:t xml:space="preserve"> Data in the Group with ASD</w:t>
      </w:r>
      <w:bookmarkEnd w:id="6"/>
    </w:p>
    <w:tbl>
      <w:tblPr>
        <w:tblStyle w:val="ListeTablo6Renkli"/>
        <w:tblW w:w="8162" w:type="dxa"/>
        <w:tblLook w:val="04A0" w:firstRow="1" w:lastRow="0" w:firstColumn="1" w:lastColumn="0" w:noHBand="0" w:noVBand="1"/>
      </w:tblPr>
      <w:tblGrid>
        <w:gridCol w:w="1821"/>
        <w:gridCol w:w="1585"/>
        <w:gridCol w:w="1585"/>
        <w:gridCol w:w="1585"/>
        <w:gridCol w:w="1586"/>
      </w:tblGrid>
      <w:tr w:rsidR="00604291" w:rsidRPr="000C146B" w:rsidTr="0060429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1" w:type="dxa"/>
            <w:shd w:val="clear" w:color="auto" w:fill="auto"/>
          </w:tcPr>
          <w:p w:rsidR="00604291" w:rsidRPr="000C146B" w:rsidRDefault="000C146B">
            <w:pPr>
              <w:pStyle w:val="Tez3"/>
              <w:jc w:val="center"/>
              <w:rPr>
                <w:b/>
                <w:sz w:val="20"/>
                <w:lang w:val="en-US"/>
              </w:rPr>
            </w:pPr>
            <w:r w:rsidRPr="000C146B">
              <w:rPr>
                <w:b/>
                <w:sz w:val="20"/>
                <w:lang w:val="en-US"/>
              </w:rPr>
              <w:t>Scales</w:t>
            </w:r>
          </w:p>
        </w:tc>
        <w:tc>
          <w:tcPr>
            <w:tcW w:w="1585" w:type="dxa"/>
            <w:shd w:val="clear" w:color="auto" w:fill="auto"/>
          </w:tcPr>
          <w:p w:rsidR="00604291" w:rsidRPr="000C146B" w:rsidRDefault="000C146B">
            <w:pPr>
              <w:pStyle w:val="Tez3"/>
              <w:spacing w:line="240" w:lineRule="auto"/>
              <w:jc w:val="center"/>
              <w:cnfStyle w:val="100000000000" w:firstRow="1" w:lastRow="0" w:firstColumn="0" w:lastColumn="0" w:oddVBand="0" w:evenVBand="0" w:oddHBand="0" w:evenHBand="0" w:firstRowFirstColumn="0" w:firstRowLastColumn="0" w:lastRowFirstColumn="0" w:lastRowLastColumn="0"/>
              <w:rPr>
                <w:b/>
                <w:sz w:val="20"/>
                <w:lang w:val="en-US"/>
              </w:rPr>
            </w:pPr>
            <w:r w:rsidRPr="000C146B">
              <w:rPr>
                <w:b/>
                <w:sz w:val="20"/>
                <w:lang w:val="en-US"/>
              </w:rPr>
              <w:t>ADSI General Development Upper Value Differential</w:t>
            </w:r>
          </w:p>
        </w:tc>
        <w:tc>
          <w:tcPr>
            <w:tcW w:w="1585" w:type="dxa"/>
            <w:shd w:val="clear" w:color="auto" w:fill="auto"/>
          </w:tcPr>
          <w:p w:rsidR="00604291" w:rsidRPr="000C146B" w:rsidRDefault="000C146B">
            <w:pPr>
              <w:pStyle w:val="Tez3"/>
              <w:spacing w:line="240" w:lineRule="auto"/>
              <w:jc w:val="center"/>
              <w:cnfStyle w:val="100000000000" w:firstRow="1" w:lastRow="0" w:firstColumn="0" w:lastColumn="0" w:oddVBand="0" w:evenVBand="0" w:oddHBand="0" w:evenHBand="0" w:firstRowFirstColumn="0" w:firstRowLastColumn="0" w:lastRowFirstColumn="0" w:lastRowLastColumn="0"/>
              <w:rPr>
                <w:b/>
                <w:sz w:val="20"/>
                <w:lang w:val="en-US"/>
              </w:rPr>
            </w:pPr>
            <w:r w:rsidRPr="000C146B">
              <w:rPr>
                <w:b/>
                <w:sz w:val="20"/>
                <w:lang w:val="en-US"/>
              </w:rPr>
              <w:t>ADSI General Development Lower Value Differential</w:t>
            </w:r>
          </w:p>
        </w:tc>
        <w:tc>
          <w:tcPr>
            <w:tcW w:w="1585" w:type="dxa"/>
            <w:shd w:val="clear" w:color="auto" w:fill="auto"/>
          </w:tcPr>
          <w:p w:rsidR="00604291" w:rsidRPr="000C146B" w:rsidRDefault="000C146B">
            <w:pPr>
              <w:pStyle w:val="Tez3"/>
              <w:spacing w:line="240" w:lineRule="auto"/>
              <w:jc w:val="center"/>
              <w:cnfStyle w:val="100000000000" w:firstRow="1" w:lastRow="0" w:firstColumn="0" w:lastColumn="0" w:oddVBand="0" w:evenVBand="0" w:oddHBand="0" w:evenHBand="0" w:firstRowFirstColumn="0" w:firstRowLastColumn="0" w:lastRowFirstColumn="0" w:lastRowLastColumn="0"/>
              <w:rPr>
                <w:b/>
                <w:sz w:val="20"/>
                <w:lang w:val="en-US"/>
              </w:rPr>
            </w:pPr>
            <w:r w:rsidRPr="000C146B">
              <w:rPr>
                <w:b/>
                <w:sz w:val="20"/>
                <w:lang w:val="en-US"/>
              </w:rPr>
              <w:t>ADSI Language Cognitive Development Upper Value Differential</w:t>
            </w:r>
          </w:p>
        </w:tc>
        <w:tc>
          <w:tcPr>
            <w:tcW w:w="1586" w:type="dxa"/>
            <w:shd w:val="clear" w:color="auto" w:fill="auto"/>
          </w:tcPr>
          <w:p w:rsidR="00604291" w:rsidRPr="000C146B" w:rsidRDefault="000C146B">
            <w:pPr>
              <w:pStyle w:val="Tez3"/>
              <w:spacing w:line="240" w:lineRule="auto"/>
              <w:jc w:val="center"/>
              <w:cnfStyle w:val="100000000000" w:firstRow="1" w:lastRow="0" w:firstColumn="0" w:lastColumn="0" w:oddVBand="0" w:evenVBand="0" w:oddHBand="0" w:evenHBand="0" w:firstRowFirstColumn="0" w:firstRowLastColumn="0" w:lastRowFirstColumn="0" w:lastRowLastColumn="0"/>
              <w:rPr>
                <w:b/>
                <w:sz w:val="20"/>
                <w:lang w:val="en-US"/>
              </w:rPr>
            </w:pPr>
            <w:r w:rsidRPr="000C146B">
              <w:rPr>
                <w:b/>
                <w:sz w:val="20"/>
                <w:lang w:val="en-US"/>
              </w:rPr>
              <w:t>ADSI Language Cognitive Development Lower Value Differential</w:t>
            </w:r>
          </w:p>
        </w:tc>
      </w:tr>
      <w:tr w:rsidR="00604291" w:rsidRPr="000C146B" w:rsidTr="006042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1" w:type="dxa"/>
            <w:shd w:val="clear" w:color="auto" w:fill="auto"/>
          </w:tcPr>
          <w:p w:rsidR="00604291" w:rsidRPr="000C146B" w:rsidRDefault="00524035">
            <w:pPr>
              <w:pStyle w:val="Tez3"/>
              <w:jc w:val="center"/>
              <w:rPr>
                <w:b/>
                <w:lang w:val="en-US"/>
              </w:rPr>
            </w:pPr>
            <w:r>
              <w:rPr>
                <w:b/>
                <w:sz w:val="20"/>
                <w:lang w:val="en-US"/>
              </w:rPr>
              <w:t>PLS-4</w:t>
            </w:r>
            <w:r w:rsidR="000C146B" w:rsidRPr="000C146B">
              <w:rPr>
                <w:b/>
                <w:sz w:val="20"/>
                <w:lang w:val="en-US"/>
              </w:rPr>
              <w:t xml:space="preserve"> Receptive Language Lower Value Differential</w:t>
            </w:r>
          </w:p>
        </w:tc>
        <w:tc>
          <w:tcPr>
            <w:tcW w:w="1585" w:type="dxa"/>
            <w:shd w:val="clear" w:color="auto" w:fill="auto"/>
          </w:tcPr>
          <w:p w:rsidR="00604291" w:rsidRPr="000C146B" w:rsidRDefault="000C146B">
            <w:pPr>
              <w:pStyle w:val="Tez3"/>
              <w:jc w:val="center"/>
              <w:cnfStyle w:val="000000100000" w:firstRow="0" w:lastRow="0" w:firstColumn="0" w:lastColumn="0" w:oddVBand="0" w:evenVBand="0" w:oddHBand="1" w:evenHBand="0" w:firstRowFirstColumn="0" w:firstRowLastColumn="0" w:lastRowFirstColumn="0" w:lastRowLastColumn="0"/>
              <w:rPr>
                <w:b w:val="0"/>
                <w:lang w:val="en-US"/>
              </w:rPr>
            </w:pPr>
            <w:r w:rsidRPr="000C146B">
              <w:rPr>
                <w:b w:val="0"/>
                <w:lang w:val="en-US"/>
              </w:rPr>
              <w:t>.984*</w:t>
            </w:r>
          </w:p>
        </w:tc>
        <w:tc>
          <w:tcPr>
            <w:tcW w:w="1585" w:type="dxa"/>
            <w:shd w:val="clear" w:color="auto" w:fill="auto"/>
          </w:tcPr>
          <w:p w:rsidR="00604291" w:rsidRPr="000C146B" w:rsidRDefault="000C146B">
            <w:pPr>
              <w:pStyle w:val="Tez3"/>
              <w:jc w:val="center"/>
              <w:cnfStyle w:val="000000100000" w:firstRow="0" w:lastRow="0" w:firstColumn="0" w:lastColumn="0" w:oddVBand="0" w:evenVBand="0" w:oddHBand="1" w:evenHBand="0" w:firstRowFirstColumn="0" w:firstRowLastColumn="0" w:lastRowFirstColumn="0" w:lastRowLastColumn="0"/>
              <w:rPr>
                <w:b w:val="0"/>
                <w:lang w:val="en-US"/>
              </w:rPr>
            </w:pPr>
            <w:r w:rsidRPr="000C146B">
              <w:rPr>
                <w:b w:val="0"/>
                <w:lang w:val="en-US"/>
              </w:rPr>
              <w:t>.981*</w:t>
            </w:r>
          </w:p>
        </w:tc>
        <w:tc>
          <w:tcPr>
            <w:tcW w:w="1585" w:type="dxa"/>
            <w:shd w:val="clear" w:color="auto" w:fill="auto"/>
          </w:tcPr>
          <w:p w:rsidR="00604291" w:rsidRPr="000C146B" w:rsidRDefault="000C146B">
            <w:pPr>
              <w:pStyle w:val="Tez3"/>
              <w:jc w:val="center"/>
              <w:cnfStyle w:val="000000100000" w:firstRow="0" w:lastRow="0" w:firstColumn="0" w:lastColumn="0" w:oddVBand="0" w:evenVBand="0" w:oddHBand="1" w:evenHBand="0" w:firstRowFirstColumn="0" w:firstRowLastColumn="0" w:lastRowFirstColumn="0" w:lastRowLastColumn="0"/>
              <w:rPr>
                <w:b w:val="0"/>
                <w:lang w:val="en-US"/>
              </w:rPr>
            </w:pPr>
            <w:r w:rsidRPr="000C146B">
              <w:rPr>
                <w:b w:val="0"/>
                <w:lang w:val="en-US"/>
              </w:rPr>
              <w:t>.982*</w:t>
            </w:r>
          </w:p>
        </w:tc>
        <w:tc>
          <w:tcPr>
            <w:tcW w:w="1586" w:type="dxa"/>
            <w:shd w:val="clear" w:color="auto" w:fill="auto"/>
          </w:tcPr>
          <w:p w:rsidR="00604291" w:rsidRPr="000C146B" w:rsidRDefault="000C146B">
            <w:pPr>
              <w:pStyle w:val="Tez3"/>
              <w:jc w:val="center"/>
              <w:cnfStyle w:val="000000100000" w:firstRow="0" w:lastRow="0" w:firstColumn="0" w:lastColumn="0" w:oddVBand="0" w:evenVBand="0" w:oddHBand="1" w:evenHBand="0" w:firstRowFirstColumn="0" w:firstRowLastColumn="0" w:lastRowFirstColumn="0" w:lastRowLastColumn="0"/>
              <w:rPr>
                <w:b w:val="0"/>
                <w:lang w:val="en-US"/>
              </w:rPr>
            </w:pPr>
            <w:r w:rsidRPr="000C146B">
              <w:rPr>
                <w:b w:val="0"/>
                <w:lang w:val="en-US"/>
              </w:rPr>
              <w:t>.963*</w:t>
            </w:r>
          </w:p>
        </w:tc>
      </w:tr>
      <w:tr w:rsidR="00604291" w:rsidRPr="000C146B" w:rsidTr="00604291">
        <w:tc>
          <w:tcPr>
            <w:cnfStyle w:val="001000000000" w:firstRow="0" w:lastRow="0" w:firstColumn="1" w:lastColumn="0" w:oddVBand="0" w:evenVBand="0" w:oddHBand="0" w:evenHBand="0" w:firstRowFirstColumn="0" w:firstRowLastColumn="0" w:lastRowFirstColumn="0" w:lastRowLastColumn="0"/>
            <w:tcW w:w="1821" w:type="dxa"/>
            <w:shd w:val="clear" w:color="auto" w:fill="auto"/>
          </w:tcPr>
          <w:p w:rsidR="00604291" w:rsidRPr="000C146B" w:rsidRDefault="00524035">
            <w:pPr>
              <w:pStyle w:val="Tez3"/>
              <w:jc w:val="center"/>
              <w:rPr>
                <w:b/>
                <w:lang w:val="en-US"/>
              </w:rPr>
            </w:pPr>
            <w:r>
              <w:rPr>
                <w:b/>
                <w:sz w:val="20"/>
                <w:lang w:val="en-US"/>
              </w:rPr>
              <w:t>PLS-4</w:t>
            </w:r>
            <w:r w:rsidR="000C146B" w:rsidRPr="000C146B">
              <w:rPr>
                <w:b/>
                <w:sz w:val="20"/>
                <w:lang w:val="en-US"/>
              </w:rPr>
              <w:t xml:space="preserve"> Receptive Language Upper Value Differential</w:t>
            </w:r>
          </w:p>
        </w:tc>
        <w:tc>
          <w:tcPr>
            <w:tcW w:w="1585" w:type="dxa"/>
            <w:shd w:val="clear" w:color="auto" w:fill="auto"/>
          </w:tcPr>
          <w:p w:rsidR="00604291" w:rsidRPr="000C146B" w:rsidRDefault="000C146B">
            <w:pPr>
              <w:pStyle w:val="Tez3"/>
              <w:jc w:val="center"/>
              <w:cnfStyle w:val="000000000000" w:firstRow="0" w:lastRow="0" w:firstColumn="0" w:lastColumn="0" w:oddVBand="0" w:evenVBand="0" w:oddHBand="0" w:evenHBand="0" w:firstRowFirstColumn="0" w:firstRowLastColumn="0" w:lastRowFirstColumn="0" w:lastRowLastColumn="0"/>
              <w:rPr>
                <w:b w:val="0"/>
                <w:lang w:val="en-US"/>
              </w:rPr>
            </w:pPr>
            <w:r w:rsidRPr="000C146B">
              <w:rPr>
                <w:b w:val="0"/>
                <w:lang w:val="en-US"/>
              </w:rPr>
              <w:t>.982*</w:t>
            </w:r>
          </w:p>
        </w:tc>
        <w:tc>
          <w:tcPr>
            <w:tcW w:w="1585" w:type="dxa"/>
            <w:shd w:val="clear" w:color="auto" w:fill="auto"/>
          </w:tcPr>
          <w:p w:rsidR="00604291" w:rsidRPr="000C146B" w:rsidRDefault="000C146B">
            <w:pPr>
              <w:pStyle w:val="Tez3"/>
              <w:jc w:val="center"/>
              <w:cnfStyle w:val="000000000000" w:firstRow="0" w:lastRow="0" w:firstColumn="0" w:lastColumn="0" w:oddVBand="0" w:evenVBand="0" w:oddHBand="0" w:evenHBand="0" w:firstRowFirstColumn="0" w:firstRowLastColumn="0" w:lastRowFirstColumn="0" w:lastRowLastColumn="0"/>
              <w:rPr>
                <w:b w:val="0"/>
                <w:lang w:val="en-US"/>
              </w:rPr>
            </w:pPr>
            <w:r w:rsidRPr="000C146B">
              <w:rPr>
                <w:b w:val="0"/>
                <w:lang w:val="en-US"/>
              </w:rPr>
              <w:t>.964*</w:t>
            </w:r>
          </w:p>
        </w:tc>
        <w:tc>
          <w:tcPr>
            <w:tcW w:w="1585" w:type="dxa"/>
            <w:shd w:val="clear" w:color="auto" w:fill="auto"/>
          </w:tcPr>
          <w:p w:rsidR="00604291" w:rsidRPr="000C146B" w:rsidRDefault="000C146B">
            <w:pPr>
              <w:pStyle w:val="Tez3"/>
              <w:jc w:val="center"/>
              <w:cnfStyle w:val="000000000000" w:firstRow="0" w:lastRow="0" w:firstColumn="0" w:lastColumn="0" w:oddVBand="0" w:evenVBand="0" w:oddHBand="0" w:evenHBand="0" w:firstRowFirstColumn="0" w:firstRowLastColumn="0" w:lastRowFirstColumn="0" w:lastRowLastColumn="0"/>
              <w:rPr>
                <w:b w:val="0"/>
                <w:lang w:val="en-US"/>
              </w:rPr>
            </w:pPr>
            <w:r w:rsidRPr="000C146B">
              <w:rPr>
                <w:b w:val="0"/>
                <w:lang w:val="en-US"/>
              </w:rPr>
              <w:t>.975*</w:t>
            </w:r>
          </w:p>
        </w:tc>
        <w:tc>
          <w:tcPr>
            <w:tcW w:w="1586" w:type="dxa"/>
            <w:shd w:val="clear" w:color="auto" w:fill="auto"/>
          </w:tcPr>
          <w:p w:rsidR="00604291" w:rsidRPr="000C146B" w:rsidRDefault="000C146B">
            <w:pPr>
              <w:pStyle w:val="Tez3"/>
              <w:jc w:val="center"/>
              <w:cnfStyle w:val="000000000000" w:firstRow="0" w:lastRow="0" w:firstColumn="0" w:lastColumn="0" w:oddVBand="0" w:evenVBand="0" w:oddHBand="0" w:evenHBand="0" w:firstRowFirstColumn="0" w:firstRowLastColumn="0" w:lastRowFirstColumn="0" w:lastRowLastColumn="0"/>
              <w:rPr>
                <w:b w:val="0"/>
                <w:lang w:val="en-US"/>
              </w:rPr>
            </w:pPr>
            <w:r w:rsidRPr="000C146B">
              <w:rPr>
                <w:b w:val="0"/>
                <w:lang w:val="en-US"/>
              </w:rPr>
              <w:t>.938*</w:t>
            </w:r>
          </w:p>
        </w:tc>
      </w:tr>
      <w:tr w:rsidR="00604291" w:rsidRPr="000C146B" w:rsidTr="006042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1" w:type="dxa"/>
            <w:shd w:val="clear" w:color="auto" w:fill="auto"/>
          </w:tcPr>
          <w:p w:rsidR="00604291" w:rsidRPr="000C146B" w:rsidRDefault="00524035">
            <w:pPr>
              <w:pStyle w:val="Tez3"/>
              <w:jc w:val="center"/>
              <w:rPr>
                <w:b/>
                <w:lang w:val="en-US"/>
              </w:rPr>
            </w:pPr>
            <w:r>
              <w:rPr>
                <w:b/>
                <w:sz w:val="20"/>
                <w:lang w:val="en-US"/>
              </w:rPr>
              <w:t>PLS-4</w:t>
            </w:r>
            <w:r w:rsidR="000C146B" w:rsidRPr="000C146B">
              <w:rPr>
                <w:b/>
                <w:sz w:val="20"/>
                <w:lang w:val="en-US"/>
              </w:rPr>
              <w:t xml:space="preserve"> Expressive Language Lower Value Differential</w:t>
            </w:r>
          </w:p>
        </w:tc>
        <w:tc>
          <w:tcPr>
            <w:tcW w:w="1585" w:type="dxa"/>
            <w:shd w:val="clear" w:color="auto" w:fill="auto"/>
          </w:tcPr>
          <w:p w:rsidR="00604291" w:rsidRPr="000C146B" w:rsidRDefault="000C146B">
            <w:pPr>
              <w:pStyle w:val="Tez3"/>
              <w:jc w:val="center"/>
              <w:cnfStyle w:val="000000100000" w:firstRow="0" w:lastRow="0" w:firstColumn="0" w:lastColumn="0" w:oddVBand="0" w:evenVBand="0" w:oddHBand="1" w:evenHBand="0" w:firstRowFirstColumn="0" w:firstRowLastColumn="0" w:lastRowFirstColumn="0" w:lastRowLastColumn="0"/>
              <w:rPr>
                <w:b w:val="0"/>
                <w:lang w:val="en-US"/>
              </w:rPr>
            </w:pPr>
            <w:r w:rsidRPr="000C146B">
              <w:rPr>
                <w:b w:val="0"/>
                <w:lang w:val="en-US"/>
              </w:rPr>
              <w:t>.926*</w:t>
            </w:r>
          </w:p>
        </w:tc>
        <w:tc>
          <w:tcPr>
            <w:tcW w:w="1585" w:type="dxa"/>
            <w:shd w:val="clear" w:color="auto" w:fill="auto"/>
          </w:tcPr>
          <w:p w:rsidR="00604291" w:rsidRPr="000C146B" w:rsidRDefault="000C146B">
            <w:pPr>
              <w:pStyle w:val="Tez3"/>
              <w:jc w:val="center"/>
              <w:cnfStyle w:val="000000100000" w:firstRow="0" w:lastRow="0" w:firstColumn="0" w:lastColumn="0" w:oddVBand="0" w:evenVBand="0" w:oddHBand="1" w:evenHBand="0" w:firstRowFirstColumn="0" w:firstRowLastColumn="0" w:lastRowFirstColumn="0" w:lastRowLastColumn="0"/>
              <w:rPr>
                <w:b w:val="0"/>
                <w:lang w:val="en-US"/>
              </w:rPr>
            </w:pPr>
            <w:r w:rsidRPr="000C146B">
              <w:rPr>
                <w:b w:val="0"/>
                <w:lang w:val="en-US"/>
              </w:rPr>
              <w:t>.950*</w:t>
            </w:r>
          </w:p>
        </w:tc>
        <w:tc>
          <w:tcPr>
            <w:tcW w:w="1585" w:type="dxa"/>
            <w:shd w:val="clear" w:color="auto" w:fill="auto"/>
          </w:tcPr>
          <w:p w:rsidR="00604291" w:rsidRPr="000C146B" w:rsidRDefault="000C146B">
            <w:pPr>
              <w:pStyle w:val="Tez3"/>
              <w:jc w:val="center"/>
              <w:cnfStyle w:val="000000100000" w:firstRow="0" w:lastRow="0" w:firstColumn="0" w:lastColumn="0" w:oddVBand="0" w:evenVBand="0" w:oddHBand="1" w:evenHBand="0" w:firstRowFirstColumn="0" w:firstRowLastColumn="0" w:lastRowFirstColumn="0" w:lastRowLastColumn="0"/>
              <w:rPr>
                <w:b w:val="0"/>
                <w:lang w:val="en-US"/>
              </w:rPr>
            </w:pPr>
            <w:r w:rsidRPr="000C146B">
              <w:rPr>
                <w:b w:val="0"/>
                <w:lang w:val="en-US"/>
              </w:rPr>
              <w:t>.925*</w:t>
            </w:r>
          </w:p>
        </w:tc>
        <w:tc>
          <w:tcPr>
            <w:tcW w:w="1586" w:type="dxa"/>
            <w:shd w:val="clear" w:color="auto" w:fill="auto"/>
          </w:tcPr>
          <w:p w:rsidR="00604291" w:rsidRPr="000C146B" w:rsidRDefault="000C146B">
            <w:pPr>
              <w:pStyle w:val="Tez3"/>
              <w:jc w:val="center"/>
              <w:cnfStyle w:val="000000100000" w:firstRow="0" w:lastRow="0" w:firstColumn="0" w:lastColumn="0" w:oddVBand="0" w:evenVBand="0" w:oddHBand="1" w:evenHBand="0" w:firstRowFirstColumn="0" w:firstRowLastColumn="0" w:lastRowFirstColumn="0" w:lastRowLastColumn="0"/>
              <w:rPr>
                <w:b w:val="0"/>
                <w:lang w:val="en-US"/>
              </w:rPr>
            </w:pPr>
            <w:r w:rsidRPr="000C146B">
              <w:rPr>
                <w:b w:val="0"/>
                <w:lang w:val="en-US"/>
              </w:rPr>
              <w:t>.948*</w:t>
            </w:r>
          </w:p>
        </w:tc>
      </w:tr>
      <w:tr w:rsidR="00604291" w:rsidRPr="000C146B" w:rsidTr="00604291">
        <w:tc>
          <w:tcPr>
            <w:cnfStyle w:val="001000000000" w:firstRow="0" w:lastRow="0" w:firstColumn="1" w:lastColumn="0" w:oddVBand="0" w:evenVBand="0" w:oddHBand="0" w:evenHBand="0" w:firstRowFirstColumn="0" w:firstRowLastColumn="0" w:lastRowFirstColumn="0" w:lastRowLastColumn="0"/>
            <w:tcW w:w="1821" w:type="dxa"/>
            <w:shd w:val="clear" w:color="auto" w:fill="auto"/>
          </w:tcPr>
          <w:p w:rsidR="00604291" w:rsidRPr="000C146B" w:rsidRDefault="00524035">
            <w:pPr>
              <w:pStyle w:val="Tez3"/>
              <w:jc w:val="center"/>
              <w:rPr>
                <w:b/>
                <w:lang w:val="en-US"/>
              </w:rPr>
            </w:pPr>
            <w:r>
              <w:rPr>
                <w:b/>
                <w:sz w:val="20"/>
                <w:lang w:val="en-US"/>
              </w:rPr>
              <w:t>PLS-4</w:t>
            </w:r>
            <w:r w:rsidR="000C146B" w:rsidRPr="000C146B">
              <w:rPr>
                <w:b/>
                <w:sz w:val="20"/>
                <w:lang w:val="en-US"/>
              </w:rPr>
              <w:t xml:space="preserve"> Expressive Language Upper Value Differential</w:t>
            </w:r>
          </w:p>
        </w:tc>
        <w:tc>
          <w:tcPr>
            <w:tcW w:w="1585" w:type="dxa"/>
            <w:shd w:val="clear" w:color="auto" w:fill="auto"/>
          </w:tcPr>
          <w:p w:rsidR="00604291" w:rsidRPr="000C146B" w:rsidRDefault="000C146B">
            <w:pPr>
              <w:pStyle w:val="Tez3"/>
              <w:jc w:val="center"/>
              <w:cnfStyle w:val="000000000000" w:firstRow="0" w:lastRow="0" w:firstColumn="0" w:lastColumn="0" w:oddVBand="0" w:evenVBand="0" w:oddHBand="0" w:evenHBand="0" w:firstRowFirstColumn="0" w:firstRowLastColumn="0" w:lastRowFirstColumn="0" w:lastRowLastColumn="0"/>
              <w:rPr>
                <w:b w:val="0"/>
                <w:lang w:val="en-US"/>
              </w:rPr>
            </w:pPr>
            <w:r w:rsidRPr="000C146B">
              <w:rPr>
                <w:b w:val="0"/>
                <w:lang w:val="en-US"/>
              </w:rPr>
              <w:t>.945*</w:t>
            </w:r>
          </w:p>
        </w:tc>
        <w:tc>
          <w:tcPr>
            <w:tcW w:w="1585" w:type="dxa"/>
            <w:shd w:val="clear" w:color="auto" w:fill="auto"/>
          </w:tcPr>
          <w:p w:rsidR="00604291" w:rsidRPr="000C146B" w:rsidRDefault="000C146B">
            <w:pPr>
              <w:pStyle w:val="Tez3"/>
              <w:jc w:val="center"/>
              <w:cnfStyle w:val="000000000000" w:firstRow="0" w:lastRow="0" w:firstColumn="0" w:lastColumn="0" w:oddVBand="0" w:evenVBand="0" w:oddHBand="0" w:evenHBand="0" w:firstRowFirstColumn="0" w:firstRowLastColumn="0" w:lastRowFirstColumn="0" w:lastRowLastColumn="0"/>
              <w:rPr>
                <w:b w:val="0"/>
                <w:lang w:val="en-US"/>
              </w:rPr>
            </w:pPr>
            <w:r w:rsidRPr="000C146B">
              <w:rPr>
                <w:b w:val="0"/>
                <w:lang w:val="en-US"/>
              </w:rPr>
              <w:t>.954*</w:t>
            </w:r>
          </w:p>
        </w:tc>
        <w:tc>
          <w:tcPr>
            <w:tcW w:w="1585" w:type="dxa"/>
            <w:shd w:val="clear" w:color="auto" w:fill="auto"/>
          </w:tcPr>
          <w:p w:rsidR="00604291" w:rsidRPr="000C146B" w:rsidRDefault="000C146B">
            <w:pPr>
              <w:pStyle w:val="Tez3"/>
              <w:jc w:val="center"/>
              <w:cnfStyle w:val="000000000000" w:firstRow="0" w:lastRow="0" w:firstColumn="0" w:lastColumn="0" w:oddVBand="0" w:evenVBand="0" w:oddHBand="0" w:evenHBand="0" w:firstRowFirstColumn="0" w:firstRowLastColumn="0" w:lastRowFirstColumn="0" w:lastRowLastColumn="0"/>
              <w:rPr>
                <w:b w:val="0"/>
                <w:lang w:val="en-US"/>
              </w:rPr>
            </w:pPr>
            <w:r w:rsidRPr="000C146B">
              <w:rPr>
                <w:b w:val="0"/>
                <w:lang w:val="en-US"/>
              </w:rPr>
              <w:t>.940*</w:t>
            </w:r>
          </w:p>
        </w:tc>
        <w:tc>
          <w:tcPr>
            <w:tcW w:w="1586" w:type="dxa"/>
            <w:shd w:val="clear" w:color="auto" w:fill="auto"/>
          </w:tcPr>
          <w:p w:rsidR="00604291" w:rsidRPr="000C146B" w:rsidRDefault="000C146B">
            <w:pPr>
              <w:pStyle w:val="Tez3"/>
              <w:jc w:val="center"/>
              <w:cnfStyle w:val="000000000000" w:firstRow="0" w:lastRow="0" w:firstColumn="0" w:lastColumn="0" w:oddVBand="0" w:evenVBand="0" w:oddHBand="0" w:evenHBand="0" w:firstRowFirstColumn="0" w:firstRowLastColumn="0" w:lastRowFirstColumn="0" w:lastRowLastColumn="0"/>
              <w:rPr>
                <w:b w:val="0"/>
                <w:lang w:val="en-US"/>
              </w:rPr>
            </w:pPr>
            <w:r w:rsidRPr="000C146B">
              <w:rPr>
                <w:b w:val="0"/>
                <w:lang w:val="en-US"/>
              </w:rPr>
              <w:t>.936*</w:t>
            </w:r>
          </w:p>
        </w:tc>
      </w:tr>
    </w:tbl>
    <w:p w:rsidR="00604291" w:rsidRPr="000C146B" w:rsidRDefault="000C146B">
      <w:pPr>
        <w:pStyle w:val="Tez3"/>
        <w:rPr>
          <w:b w:val="0"/>
          <w:i/>
          <w:iCs/>
          <w:lang w:val="en-US"/>
        </w:rPr>
      </w:pPr>
      <w:r w:rsidRPr="000C146B">
        <w:rPr>
          <w:b w:val="0"/>
          <w:i/>
          <w:iCs/>
          <w:lang w:val="en-US"/>
        </w:rPr>
        <w:lastRenderedPageBreak/>
        <w:t>*p&lt;.01</w:t>
      </w:r>
    </w:p>
    <w:p w:rsidR="00604291" w:rsidRPr="000C146B" w:rsidRDefault="000C146B">
      <w:pPr>
        <w:spacing w:before="240" w:after="200" w:line="240" w:lineRule="auto"/>
        <w:jc w:val="both"/>
        <w:rPr>
          <w:rFonts w:ascii="Times New Roman" w:hAnsi="Times New Roman" w:cs="Times New Roman"/>
          <w:sz w:val="16"/>
          <w:lang w:val="en-US"/>
        </w:rPr>
      </w:pPr>
      <w:r w:rsidRPr="000C146B">
        <w:rPr>
          <w:rFonts w:ascii="Tahoma" w:hAnsi="Tahoma" w:cs="Tahoma"/>
          <w:lang w:val="en-US"/>
        </w:rPr>
        <w:t>⁕</w:t>
      </w:r>
      <w:r w:rsidRPr="000C146B">
        <w:rPr>
          <w:rFonts w:ascii="Times New Roman" w:hAnsi="Times New Roman" w:cs="Times New Roman"/>
          <w:sz w:val="16"/>
          <w:lang w:val="en-US"/>
        </w:rPr>
        <w:t xml:space="preserve">Explanation of the table: since the results of the </w:t>
      </w:r>
      <w:r w:rsidR="00524035">
        <w:rPr>
          <w:rFonts w:ascii="Times New Roman" w:hAnsi="Times New Roman" w:cs="Times New Roman"/>
          <w:sz w:val="16"/>
          <w:lang w:val="en-US"/>
        </w:rPr>
        <w:t>PLS-4</w:t>
      </w:r>
      <w:r w:rsidRPr="000C146B">
        <w:rPr>
          <w:rFonts w:ascii="Times New Roman" w:hAnsi="Times New Roman" w:cs="Times New Roman"/>
          <w:sz w:val="16"/>
          <w:lang w:val="en-US"/>
        </w:rPr>
        <w:t xml:space="preserve"> are in the form of months as indicated in the materials (e.g., "9-11" months, "12-17"), the difference obtained by subtracting the minimum and maximum values of age was recorded. Receptive and expressive language scores obtained as a result of the </w:t>
      </w:r>
      <w:r w:rsidR="00524035">
        <w:rPr>
          <w:rFonts w:ascii="Times New Roman" w:hAnsi="Times New Roman" w:cs="Times New Roman"/>
          <w:sz w:val="16"/>
          <w:lang w:val="en-US"/>
        </w:rPr>
        <w:t>PLS-4</w:t>
      </w:r>
      <w:r w:rsidRPr="000C146B">
        <w:rPr>
          <w:rFonts w:ascii="Times New Roman" w:hAnsi="Times New Roman" w:cs="Times New Roman"/>
          <w:sz w:val="16"/>
          <w:lang w:val="en-US"/>
        </w:rPr>
        <w:t xml:space="preserve"> were subtracted from the child's calendar age (value in months) to determine the degree of deficit in cognitive language development. For example, while a 72-month-old infant's receptive language age on the </w:t>
      </w:r>
      <w:r w:rsidR="00524035">
        <w:rPr>
          <w:rFonts w:ascii="Times New Roman" w:hAnsi="Times New Roman" w:cs="Times New Roman"/>
          <w:sz w:val="16"/>
          <w:lang w:val="en-US"/>
        </w:rPr>
        <w:t>PLS-4</w:t>
      </w:r>
      <w:r w:rsidRPr="000C146B">
        <w:rPr>
          <w:rFonts w:ascii="Times New Roman" w:hAnsi="Times New Roman" w:cs="Times New Roman"/>
          <w:sz w:val="16"/>
          <w:lang w:val="en-US"/>
        </w:rPr>
        <w:t xml:space="preserve"> was measured between 18 and 23 months and expressive language age between 12 and 17 months, a 36-month-old infant's receptive language age can also be measured between 18-23 months and expressive language age between 12-17 months. Hence, the degree of impairment of language development in months was determined by taking the difference so as not to assess whether the 72-month-old and the 36-month-old had the same cognitive development of language.</w:t>
      </w:r>
    </w:p>
    <w:p w:rsidR="00604291" w:rsidRPr="000C146B" w:rsidRDefault="000C146B">
      <w:pPr>
        <w:spacing w:before="240" w:after="200" w:line="240" w:lineRule="auto"/>
        <w:jc w:val="both"/>
        <w:rPr>
          <w:rFonts w:ascii="Times New Roman" w:hAnsi="Times New Roman" w:cs="Times New Roman"/>
          <w:sz w:val="16"/>
          <w:lang w:val="en-US"/>
        </w:rPr>
      </w:pPr>
      <w:r w:rsidRPr="000C146B">
        <w:rPr>
          <w:rFonts w:ascii="Times New Roman" w:hAnsi="Times New Roman" w:cs="Times New Roman"/>
          <w:sz w:val="16"/>
          <w:lang w:val="en-US"/>
        </w:rPr>
        <w:t>**Table Explanation: Because ADSI scores are reported in monthly intervals after month 13 (e.g., "45-47 months," '48-54' months) to determine the degree of deficits in general development and cognitive language development, the difference resulting from subtracting the minimum and maximum ADSI-determined ages for general development and cognitive language development (value in months) from the child's chronological age (value in months) was recorded. For instance, based on the ADSI result, a 72-month-old child's age can be measured to be between 45 and 47 months, whereas a 60-month-old child's age can be measured to be between 45 and 47 months based on the general development score. In order to avoid evaluating the general development and language cognitive development of a child who is 72 months old to one who is 60 months old, the degree of general development and language cognitive development deficiencies in months was calculated by taking the difference.</w:t>
      </w:r>
    </w:p>
    <w:p w:rsidR="00604291" w:rsidRPr="000C146B" w:rsidRDefault="00604291">
      <w:pPr>
        <w:rPr>
          <w:lang w:val="en-US"/>
        </w:rPr>
      </w:pPr>
    </w:p>
    <w:p w:rsidR="00604291" w:rsidRPr="000C146B" w:rsidRDefault="00604291">
      <w:pPr>
        <w:rPr>
          <w:lang w:val="en-US"/>
        </w:rPr>
      </w:pPr>
    </w:p>
    <w:sectPr w:rsidR="00604291" w:rsidRPr="000C146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A2"/>
    <w:family w:val="swiss"/>
    <w:pitch w:val="variable"/>
    <w:sig w:usb0="E1002EFF" w:usb1="C000605B" w:usb2="00000029" w:usb3="00000000" w:csb0="000101FF" w:csb1="00000000"/>
  </w:font>
  <w:font w:name="DengXian Light">
    <w:altName w:val="等线 Light"/>
    <w:panose1 w:val="00000000000000000000"/>
    <w:charset w:val="86"/>
    <w:family w:val="roman"/>
    <w:notTrueType/>
    <w:pitch w:val="default"/>
  </w:font>
  <w:font w:name="Calibri Light">
    <w:panose1 w:val="020F0302020204030204"/>
    <w:charset w:val="A2"/>
    <w:family w:val="swiss"/>
    <w:pitch w:val="variable"/>
    <w:sig w:usb0="E4002E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B58"/>
    <w:rsid w:val="00055D68"/>
    <w:rsid w:val="000B70AA"/>
    <w:rsid w:val="000C146B"/>
    <w:rsid w:val="001C1D1C"/>
    <w:rsid w:val="00390B72"/>
    <w:rsid w:val="0052063E"/>
    <w:rsid w:val="00524035"/>
    <w:rsid w:val="00604291"/>
    <w:rsid w:val="00C47EA8"/>
    <w:rsid w:val="00E33B58"/>
    <w:rsid w:val="00FD67C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043A1"/>
  <w15:chartTrackingRefBased/>
  <w15:docId w15:val="{37ADF9D1-BAF2-497F-9F26-2BB8B5ACA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3B58"/>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ListeTablo6Renkli">
    <w:name w:val="List Table 6 Colorful"/>
    <w:basedOn w:val="NormalTablo"/>
    <w:uiPriority w:val="51"/>
    <w:rsid w:val="00E33B58"/>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ResimYazs">
    <w:name w:val="caption"/>
    <w:basedOn w:val="Normal"/>
    <w:next w:val="Normal"/>
    <w:uiPriority w:val="35"/>
    <w:unhideWhenUsed/>
    <w:qFormat/>
    <w:rsid w:val="00E33B58"/>
    <w:pPr>
      <w:spacing w:after="200" w:line="240" w:lineRule="auto"/>
    </w:pPr>
    <w:rPr>
      <w:i/>
      <w:iCs/>
      <w:color w:val="44546A" w:themeColor="text2"/>
      <w:sz w:val="18"/>
      <w:szCs w:val="18"/>
    </w:rPr>
  </w:style>
  <w:style w:type="paragraph" w:customStyle="1" w:styleId="Tez2">
    <w:name w:val="Tez 2"/>
    <w:basedOn w:val="Normal"/>
    <w:qFormat/>
    <w:rsid w:val="00E33B58"/>
    <w:pPr>
      <w:autoSpaceDE w:val="0"/>
      <w:autoSpaceDN w:val="0"/>
      <w:adjustRightInd w:val="0"/>
      <w:spacing w:before="240" w:line="360" w:lineRule="auto"/>
      <w:jc w:val="both"/>
    </w:pPr>
    <w:rPr>
      <w:rFonts w:ascii="Times New Roman" w:hAnsi="Times New Roman" w:cs="Times New Roman"/>
      <w:b/>
      <w:sz w:val="24"/>
      <w:szCs w:val="24"/>
    </w:rPr>
  </w:style>
  <w:style w:type="paragraph" w:customStyle="1" w:styleId="Tez3">
    <w:name w:val="Tez 3"/>
    <w:basedOn w:val="Normal"/>
    <w:qFormat/>
    <w:rsid w:val="00055D68"/>
    <w:pPr>
      <w:autoSpaceDE w:val="0"/>
      <w:autoSpaceDN w:val="0"/>
      <w:adjustRightInd w:val="0"/>
      <w:spacing w:before="240" w:line="360" w:lineRule="auto"/>
      <w:jc w:val="both"/>
    </w:pPr>
    <w:rPr>
      <w:rFonts w:ascii="Times New Roman" w:hAnsi="Times New Roman" w:cs="Times New Roman"/>
      <w:b/>
      <w:sz w:val="24"/>
      <w:szCs w:val="24"/>
    </w:rPr>
  </w:style>
  <w:style w:type="character" w:styleId="AklamaBavurusu">
    <w:name w:val="annotation reference"/>
    <w:basedOn w:val="VarsaylanParagrafYazTipi"/>
    <w:uiPriority w:val="99"/>
    <w:semiHidden/>
    <w:unhideWhenUsed/>
    <w:rsid w:val="00524035"/>
    <w:rPr>
      <w:sz w:val="16"/>
      <w:szCs w:val="16"/>
    </w:rPr>
  </w:style>
  <w:style w:type="paragraph" w:styleId="AklamaMetni">
    <w:name w:val="annotation text"/>
    <w:basedOn w:val="Normal"/>
    <w:link w:val="AklamaMetniChar"/>
    <w:uiPriority w:val="99"/>
    <w:semiHidden/>
    <w:unhideWhenUsed/>
    <w:rsid w:val="00524035"/>
    <w:pPr>
      <w:spacing w:line="240" w:lineRule="auto"/>
    </w:pPr>
    <w:rPr>
      <w:sz w:val="20"/>
      <w:szCs w:val="20"/>
    </w:rPr>
  </w:style>
  <w:style w:type="character" w:customStyle="1" w:styleId="AklamaMetniChar">
    <w:name w:val="Açıklama Metni Char"/>
    <w:basedOn w:val="VarsaylanParagrafYazTipi"/>
    <w:link w:val="AklamaMetni"/>
    <w:uiPriority w:val="99"/>
    <w:semiHidden/>
    <w:rsid w:val="0052403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1805</Words>
  <Characters>10295</Characters>
  <Application>Microsoft Office Word</Application>
  <DocSecurity>0</DocSecurity>
  <Lines>85</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2</cp:revision>
  <dcterms:created xsi:type="dcterms:W3CDTF">2023-09-04T16:23:00Z</dcterms:created>
  <dcterms:modified xsi:type="dcterms:W3CDTF">2023-09-04T16:23:00Z</dcterms:modified>
</cp:coreProperties>
</file>