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D749A" w:rsidRPr="00C410E0" w:rsidRDefault="00CD749A" w:rsidP="00CD749A">
      <w:pPr>
        <w:jc w:val="center"/>
        <w:rPr>
          <w:b/>
          <w:lang w:val="en-US"/>
        </w:rPr>
      </w:pPr>
      <w:r w:rsidRPr="00C410E0">
        <w:rPr>
          <w:b/>
          <w:lang w:val="en-US"/>
        </w:rPr>
        <w:t>Supplementary Material</w:t>
      </w:r>
    </w:p>
    <w:p w:rsidR="00CD749A" w:rsidRPr="00C410E0" w:rsidRDefault="00CD749A" w:rsidP="00CD749A">
      <w:pPr>
        <w:rPr>
          <w:b/>
          <w:lang w:val="en-US"/>
        </w:rPr>
      </w:pPr>
    </w:p>
    <w:p w:rsidR="00CD749A" w:rsidRPr="00C410E0" w:rsidRDefault="00CD749A" w:rsidP="00CD749A">
      <w:pPr>
        <w:rPr>
          <w:lang w:val="en-US"/>
        </w:rPr>
      </w:pPr>
      <w:r w:rsidRPr="00C410E0">
        <w:rPr>
          <w:b/>
          <w:lang w:val="en-US"/>
        </w:rPr>
        <w:t xml:space="preserve">Table 1:  </w:t>
      </w:r>
      <w:r w:rsidRPr="00C410E0">
        <w:rPr>
          <w:lang w:val="en-US"/>
        </w:rPr>
        <w:t>Information on the used datasets</w:t>
      </w:r>
    </w:p>
    <w:tbl>
      <w:tblPr>
        <w:tblW w:w="9075" w:type="dxa"/>
        <w:tblInd w:w="-7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70"/>
        <w:gridCol w:w="1605"/>
        <w:gridCol w:w="1800"/>
        <w:gridCol w:w="1800"/>
        <w:gridCol w:w="1800"/>
      </w:tblGrid>
      <w:tr w:rsidR="00CD749A" w:rsidRPr="00C410E0" w:rsidTr="00524018">
        <w:tc>
          <w:tcPr>
            <w:tcW w:w="2070" w:type="dxa"/>
            <w:shd w:val="clear" w:color="auto" w:fill="D9D9D9"/>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p>
        </w:tc>
        <w:tc>
          <w:tcPr>
            <w:tcW w:w="1605" w:type="dxa"/>
            <w:shd w:val="clear" w:color="auto" w:fill="D9D9D9"/>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lang w:val="en-US"/>
              </w:rPr>
              <w:t>Dataset 1</w:t>
            </w:r>
          </w:p>
        </w:tc>
        <w:tc>
          <w:tcPr>
            <w:tcW w:w="1800" w:type="dxa"/>
            <w:shd w:val="clear" w:color="auto" w:fill="D9D9D9"/>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lang w:val="en-US"/>
              </w:rPr>
              <w:t>Dataset 2</w:t>
            </w:r>
          </w:p>
        </w:tc>
        <w:tc>
          <w:tcPr>
            <w:tcW w:w="1800" w:type="dxa"/>
            <w:shd w:val="clear" w:color="auto" w:fill="D9D9D9"/>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lang w:val="en-US"/>
              </w:rPr>
              <w:t>Dataset 3</w:t>
            </w:r>
          </w:p>
        </w:tc>
        <w:tc>
          <w:tcPr>
            <w:tcW w:w="1800" w:type="dxa"/>
            <w:shd w:val="clear" w:color="auto" w:fill="D9D9D9"/>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lang w:val="en-US"/>
              </w:rPr>
              <w:t>Dataset 4</w:t>
            </w:r>
          </w:p>
        </w:tc>
      </w:tr>
      <w:tr w:rsidR="00CD749A" w:rsidRPr="00C410E0" w:rsidTr="00524018">
        <w:tc>
          <w:tcPr>
            <w:tcW w:w="207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color w:val="2A2A2A"/>
                <w:highlight w:val="white"/>
                <w:lang w:val="en-US"/>
              </w:rPr>
              <w:t xml:space="preserve">Recruitment site </w:t>
            </w:r>
          </w:p>
        </w:tc>
        <w:tc>
          <w:tcPr>
            <w:tcW w:w="1605"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lang w:val="en-US"/>
              </w:rPr>
              <w:t>Synthetically produced (</w:t>
            </w:r>
            <w:proofErr w:type="spellStart"/>
            <w:r w:rsidRPr="00C410E0">
              <w:rPr>
                <w:lang w:val="en-US"/>
              </w:rPr>
              <w:t>Thiebaut</w:t>
            </w:r>
            <w:proofErr w:type="spellEnd"/>
            <w:r w:rsidRPr="00C410E0">
              <w:rPr>
                <w:lang w:val="en-US"/>
              </w:rPr>
              <w:t xml:space="preserve"> de </w:t>
            </w:r>
            <w:proofErr w:type="spellStart"/>
            <w:r w:rsidRPr="00C410E0">
              <w:rPr>
                <w:lang w:val="en-US"/>
              </w:rPr>
              <w:t>Schotten</w:t>
            </w:r>
            <w:proofErr w:type="spellEnd"/>
            <w:r w:rsidRPr="00C410E0">
              <w:rPr>
                <w:lang w:val="en-US"/>
              </w:rPr>
              <w:t xml:space="preserve">, </w:t>
            </w:r>
            <w:proofErr w:type="spellStart"/>
            <w:r w:rsidRPr="00C410E0">
              <w:rPr>
                <w:lang w:val="en-US"/>
              </w:rPr>
              <w:t>Foulon</w:t>
            </w:r>
            <w:proofErr w:type="spellEnd"/>
            <w:r w:rsidRPr="00C410E0">
              <w:rPr>
                <w:lang w:val="en-US"/>
              </w:rPr>
              <w:t xml:space="preserve">, and </w:t>
            </w:r>
            <w:proofErr w:type="spellStart"/>
            <w:r w:rsidRPr="00C410E0">
              <w:rPr>
                <w:lang w:val="en-US"/>
              </w:rPr>
              <w:t>Nachev</w:t>
            </w:r>
            <w:proofErr w:type="spellEnd"/>
            <w:r w:rsidRPr="00C410E0">
              <w:rPr>
                <w:lang w:val="en-US"/>
              </w:rPr>
              <w:t xml:space="preserve"> (2020))</w:t>
            </w:r>
          </w:p>
        </w:tc>
        <w:tc>
          <w:tcPr>
            <w:tcW w:w="180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color w:val="2A2A2A"/>
                <w:highlight w:val="white"/>
                <w:lang w:val="en-US"/>
              </w:rPr>
              <w:t xml:space="preserve">University College London Hospitals, London (UK) </w:t>
            </w:r>
          </w:p>
        </w:tc>
        <w:tc>
          <w:tcPr>
            <w:tcW w:w="180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color w:val="2A2A2A"/>
                <w:highlight w:val="white"/>
                <w:lang w:val="en-US"/>
              </w:rPr>
              <w:t xml:space="preserve">School of Medicine of the Washington University, St. Louis (USA) </w:t>
            </w:r>
          </w:p>
        </w:tc>
        <w:tc>
          <w:tcPr>
            <w:tcW w:w="180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color w:val="2A2A2A"/>
                <w:highlight w:val="white"/>
                <w:lang w:val="en-US"/>
              </w:rPr>
              <w:t xml:space="preserve">School of Medicine of the Washington University, St. Louis (USA) </w:t>
            </w:r>
          </w:p>
        </w:tc>
      </w:tr>
      <w:tr w:rsidR="00CD749A" w:rsidRPr="00C410E0" w:rsidTr="00524018">
        <w:tc>
          <w:tcPr>
            <w:tcW w:w="207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color w:val="2A2A2A"/>
                <w:highlight w:val="white"/>
                <w:lang w:val="en-US"/>
              </w:rPr>
              <w:t>Conducted analyses</w:t>
            </w:r>
          </w:p>
        </w:tc>
        <w:tc>
          <w:tcPr>
            <w:tcW w:w="1605"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lang w:val="en-US"/>
              </w:rPr>
              <w:t>3D U-Net training</w:t>
            </w:r>
          </w:p>
        </w:tc>
        <w:tc>
          <w:tcPr>
            <w:tcW w:w="1800" w:type="dxa"/>
            <w:shd w:val="clear" w:color="auto" w:fill="auto"/>
            <w:tcMar>
              <w:top w:w="100" w:type="dxa"/>
              <w:left w:w="100" w:type="dxa"/>
              <w:bottom w:w="100" w:type="dxa"/>
              <w:right w:w="100" w:type="dxa"/>
            </w:tcMar>
          </w:tcPr>
          <w:p w:rsidR="00CD749A" w:rsidRPr="00C410E0" w:rsidRDefault="00CD749A" w:rsidP="00524018">
            <w:pPr>
              <w:widowControl w:val="0"/>
              <w:spacing w:line="240" w:lineRule="auto"/>
              <w:rPr>
                <w:lang w:val="en-US"/>
              </w:rPr>
            </w:pPr>
            <w:r w:rsidRPr="00C410E0">
              <w:rPr>
                <w:lang w:val="en-US"/>
              </w:rPr>
              <w:t>3D U-Net testing, deep-disconnectome production, and UMAP space creation</w:t>
            </w:r>
          </w:p>
        </w:tc>
        <w:tc>
          <w:tcPr>
            <w:tcW w:w="180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lang w:val="en-US"/>
              </w:rPr>
              <w:t>UMAP training</w:t>
            </w:r>
            <w:r w:rsidRPr="00C410E0">
              <w:rPr>
                <w:color w:val="2A2A2A"/>
                <w:highlight w:val="white"/>
                <w:lang w:val="en-US"/>
              </w:rPr>
              <w:t xml:space="preserve">, 86 neuropsychological scores </w:t>
            </w:r>
            <w:r w:rsidRPr="00C410E0">
              <w:rPr>
                <w:lang w:val="en-US"/>
              </w:rPr>
              <w:t xml:space="preserve"> </w:t>
            </w:r>
          </w:p>
        </w:tc>
        <w:tc>
          <w:tcPr>
            <w:tcW w:w="180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color w:val="2A2A2A"/>
                <w:highlight w:val="white"/>
                <w:lang w:val="en-US"/>
              </w:rPr>
              <w:t xml:space="preserve">out-of-sample testing of predictions, 86 neuropsychological scores </w:t>
            </w:r>
          </w:p>
        </w:tc>
      </w:tr>
      <w:tr w:rsidR="00CD749A" w:rsidRPr="00C410E0" w:rsidTr="00524018">
        <w:tc>
          <w:tcPr>
            <w:tcW w:w="207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color w:val="2A2A2A"/>
                <w:highlight w:val="white"/>
                <w:lang w:val="en-US"/>
              </w:rPr>
            </w:pPr>
            <w:r w:rsidRPr="00C410E0">
              <w:rPr>
                <w:b/>
                <w:color w:val="2A2A2A"/>
                <w:highlight w:val="white"/>
                <w:lang w:val="en-US"/>
              </w:rPr>
              <w:t>Demographics</w:t>
            </w:r>
          </w:p>
        </w:tc>
        <w:tc>
          <w:tcPr>
            <w:tcW w:w="1605"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p>
        </w:tc>
        <w:tc>
          <w:tcPr>
            <w:tcW w:w="1800" w:type="dxa"/>
            <w:shd w:val="clear" w:color="auto" w:fill="auto"/>
            <w:tcMar>
              <w:top w:w="100" w:type="dxa"/>
              <w:left w:w="100" w:type="dxa"/>
              <w:bottom w:w="100" w:type="dxa"/>
              <w:right w:w="100" w:type="dxa"/>
            </w:tcMar>
          </w:tcPr>
          <w:p w:rsidR="00CD749A" w:rsidRPr="00C410E0" w:rsidRDefault="00CD749A" w:rsidP="00524018">
            <w:pPr>
              <w:widowControl w:val="0"/>
              <w:spacing w:line="240" w:lineRule="auto"/>
              <w:rPr>
                <w:lang w:val="en-US"/>
              </w:rPr>
            </w:pPr>
          </w:p>
        </w:tc>
        <w:tc>
          <w:tcPr>
            <w:tcW w:w="180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p>
        </w:tc>
        <w:tc>
          <w:tcPr>
            <w:tcW w:w="180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p>
        </w:tc>
      </w:tr>
      <w:tr w:rsidR="00CD749A" w:rsidRPr="00C410E0" w:rsidTr="00524018">
        <w:tc>
          <w:tcPr>
            <w:tcW w:w="207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lang w:val="en-US"/>
              </w:rPr>
              <w:t>N</w:t>
            </w:r>
          </w:p>
        </w:tc>
        <w:tc>
          <w:tcPr>
            <w:tcW w:w="1605"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lang w:val="en-US"/>
              </w:rPr>
              <w:t>1333 synthetic lesions</w:t>
            </w:r>
          </w:p>
        </w:tc>
        <w:tc>
          <w:tcPr>
            <w:tcW w:w="1800" w:type="dxa"/>
            <w:shd w:val="clear" w:color="auto" w:fill="auto"/>
            <w:tcMar>
              <w:top w:w="100" w:type="dxa"/>
              <w:left w:w="100" w:type="dxa"/>
              <w:bottom w:w="100" w:type="dxa"/>
              <w:right w:w="100" w:type="dxa"/>
            </w:tcMar>
          </w:tcPr>
          <w:p w:rsidR="00CD749A" w:rsidRPr="00C410E0" w:rsidRDefault="00CD749A" w:rsidP="00524018">
            <w:pPr>
              <w:widowControl w:val="0"/>
              <w:spacing w:line="240" w:lineRule="auto"/>
              <w:rPr>
                <w:lang w:val="en-US"/>
              </w:rPr>
            </w:pPr>
            <w:r w:rsidRPr="00C410E0">
              <w:rPr>
                <w:lang w:val="en-US"/>
              </w:rPr>
              <w:t>1333 real lesions</w:t>
            </w:r>
          </w:p>
        </w:tc>
        <w:tc>
          <w:tcPr>
            <w:tcW w:w="180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lang w:val="en-US"/>
              </w:rPr>
              <w:t>119</w:t>
            </w:r>
          </w:p>
        </w:tc>
        <w:tc>
          <w:tcPr>
            <w:tcW w:w="180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lang w:val="en-US"/>
              </w:rPr>
              <w:t>20</w:t>
            </w:r>
          </w:p>
        </w:tc>
      </w:tr>
      <w:tr w:rsidR="00CD749A" w:rsidRPr="00C410E0" w:rsidTr="00524018">
        <w:tc>
          <w:tcPr>
            <w:tcW w:w="207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color w:val="2A2A2A"/>
                <w:highlight w:val="white"/>
                <w:lang w:val="en-US"/>
              </w:rPr>
              <w:t xml:space="preserve">Males/females, </w:t>
            </w:r>
            <w:r w:rsidRPr="00C410E0">
              <w:rPr>
                <w:i/>
                <w:color w:val="2A2A2A"/>
                <w:lang w:val="en-US"/>
              </w:rPr>
              <w:t>n</w:t>
            </w:r>
            <w:r w:rsidRPr="00C410E0">
              <w:rPr>
                <w:color w:val="2A2A2A"/>
                <w:highlight w:val="white"/>
                <w:lang w:val="en-US"/>
              </w:rPr>
              <w:t xml:space="preserve"> </w:t>
            </w:r>
          </w:p>
        </w:tc>
        <w:tc>
          <w:tcPr>
            <w:tcW w:w="1605" w:type="dxa"/>
            <w:shd w:val="clear" w:color="auto" w:fill="auto"/>
            <w:tcMar>
              <w:top w:w="100" w:type="dxa"/>
              <w:left w:w="100" w:type="dxa"/>
              <w:bottom w:w="100" w:type="dxa"/>
              <w:right w:w="100" w:type="dxa"/>
            </w:tcMar>
          </w:tcPr>
          <w:p w:rsidR="00CD749A" w:rsidRPr="00C410E0" w:rsidRDefault="00CD749A" w:rsidP="00524018">
            <w:pPr>
              <w:widowControl w:val="0"/>
              <w:spacing w:line="240" w:lineRule="auto"/>
              <w:rPr>
                <w:lang w:val="en-US"/>
              </w:rPr>
            </w:pPr>
            <w:r w:rsidRPr="00C410E0">
              <w:rPr>
                <w:lang w:val="en-US"/>
              </w:rPr>
              <w:t>NA</w:t>
            </w:r>
          </w:p>
        </w:tc>
        <w:tc>
          <w:tcPr>
            <w:tcW w:w="1800" w:type="dxa"/>
            <w:shd w:val="clear" w:color="auto" w:fill="auto"/>
            <w:tcMar>
              <w:top w:w="100" w:type="dxa"/>
              <w:left w:w="100" w:type="dxa"/>
              <w:bottom w:w="100" w:type="dxa"/>
              <w:right w:w="100" w:type="dxa"/>
            </w:tcMar>
          </w:tcPr>
          <w:p w:rsidR="00CD749A" w:rsidRPr="00C410E0" w:rsidRDefault="00CD749A" w:rsidP="00524018">
            <w:pPr>
              <w:widowControl w:val="0"/>
              <w:spacing w:line="240" w:lineRule="auto"/>
              <w:rPr>
                <w:lang w:val="en-US"/>
              </w:rPr>
            </w:pPr>
            <w:r w:rsidRPr="00C410E0">
              <w:rPr>
                <w:color w:val="2A2A2A"/>
                <w:highlight w:val="white"/>
                <w:lang w:val="en-US"/>
              </w:rPr>
              <w:t xml:space="preserve">748/585 </w:t>
            </w:r>
          </w:p>
        </w:tc>
        <w:tc>
          <w:tcPr>
            <w:tcW w:w="180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color w:val="2A2A2A"/>
                <w:highlight w:val="white"/>
                <w:lang w:val="en-US"/>
              </w:rPr>
              <w:t xml:space="preserve">65/54 </w:t>
            </w:r>
          </w:p>
        </w:tc>
        <w:tc>
          <w:tcPr>
            <w:tcW w:w="180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color w:val="2A2A2A"/>
                <w:highlight w:val="white"/>
                <w:lang w:val="en-US"/>
              </w:rPr>
              <w:t xml:space="preserve">12/8 </w:t>
            </w:r>
          </w:p>
        </w:tc>
      </w:tr>
      <w:tr w:rsidR="00CD749A" w:rsidRPr="00C410E0" w:rsidTr="00524018">
        <w:tc>
          <w:tcPr>
            <w:tcW w:w="207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color w:val="2A2A2A"/>
                <w:highlight w:val="white"/>
                <w:lang w:val="en-US"/>
              </w:rPr>
              <w:t xml:space="preserve">Age, years </w:t>
            </w:r>
          </w:p>
        </w:tc>
        <w:tc>
          <w:tcPr>
            <w:tcW w:w="1605" w:type="dxa"/>
            <w:shd w:val="clear" w:color="auto" w:fill="auto"/>
            <w:tcMar>
              <w:top w:w="100" w:type="dxa"/>
              <w:left w:w="100" w:type="dxa"/>
              <w:bottom w:w="100" w:type="dxa"/>
              <w:right w:w="100" w:type="dxa"/>
            </w:tcMar>
          </w:tcPr>
          <w:p w:rsidR="00CD749A" w:rsidRPr="00C410E0" w:rsidRDefault="00CD749A" w:rsidP="00524018">
            <w:pPr>
              <w:widowControl w:val="0"/>
              <w:spacing w:line="240" w:lineRule="auto"/>
              <w:rPr>
                <w:lang w:val="en-US"/>
              </w:rPr>
            </w:pPr>
            <w:r w:rsidRPr="00C410E0">
              <w:rPr>
                <w:lang w:val="en-US"/>
              </w:rPr>
              <w:t>NA</w:t>
            </w:r>
          </w:p>
        </w:tc>
        <w:tc>
          <w:tcPr>
            <w:tcW w:w="180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color w:val="2A2A2A"/>
                <w:highlight w:val="white"/>
                <w:lang w:val="en-US"/>
              </w:rPr>
              <w:t>64 ± 16 (18–97)</w:t>
            </w:r>
          </w:p>
        </w:tc>
        <w:tc>
          <w:tcPr>
            <w:tcW w:w="180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color w:val="2A2A2A"/>
                <w:highlight w:val="white"/>
                <w:lang w:val="en-US"/>
              </w:rPr>
              <w:t>54 ± 11 (19–83)</w:t>
            </w:r>
          </w:p>
        </w:tc>
        <w:tc>
          <w:tcPr>
            <w:tcW w:w="180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color w:val="2A2A2A"/>
                <w:highlight w:val="white"/>
                <w:lang w:val="en-US"/>
              </w:rPr>
              <w:t xml:space="preserve">58 ± 12 (34–95) </w:t>
            </w:r>
          </w:p>
        </w:tc>
      </w:tr>
      <w:tr w:rsidR="00CD749A" w:rsidRPr="00C410E0" w:rsidTr="00524018">
        <w:tc>
          <w:tcPr>
            <w:tcW w:w="207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color w:val="2A2A2A"/>
                <w:highlight w:val="white"/>
                <w:lang w:val="en-US"/>
              </w:rPr>
              <w:t xml:space="preserve">Education, years </w:t>
            </w:r>
          </w:p>
        </w:tc>
        <w:tc>
          <w:tcPr>
            <w:tcW w:w="1605" w:type="dxa"/>
            <w:shd w:val="clear" w:color="auto" w:fill="auto"/>
            <w:tcMar>
              <w:top w:w="100" w:type="dxa"/>
              <w:left w:w="100" w:type="dxa"/>
              <w:bottom w:w="100" w:type="dxa"/>
              <w:right w:w="100" w:type="dxa"/>
            </w:tcMar>
          </w:tcPr>
          <w:p w:rsidR="00CD749A" w:rsidRPr="00C410E0" w:rsidRDefault="00CD749A" w:rsidP="00524018">
            <w:pPr>
              <w:widowControl w:val="0"/>
              <w:spacing w:line="240" w:lineRule="auto"/>
              <w:rPr>
                <w:lang w:val="en-US"/>
              </w:rPr>
            </w:pPr>
            <w:r w:rsidRPr="00C410E0">
              <w:rPr>
                <w:lang w:val="en-US"/>
              </w:rPr>
              <w:t>NA</w:t>
            </w:r>
          </w:p>
        </w:tc>
        <w:tc>
          <w:tcPr>
            <w:tcW w:w="180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color w:val="2A2A2A"/>
                <w:highlight w:val="white"/>
                <w:lang w:val="en-US"/>
              </w:rPr>
              <w:t>NA</w:t>
            </w:r>
          </w:p>
        </w:tc>
        <w:tc>
          <w:tcPr>
            <w:tcW w:w="1800" w:type="dxa"/>
            <w:shd w:val="clear" w:color="auto" w:fill="auto"/>
            <w:tcMar>
              <w:top w:w="100" w:type="dxa"/>
              <w:left w:w="100" w:type="dxa"/>
              <w:bottom w:w="100" w:type="dxa"/>
              <w:right w:w="100" w:type="dxa"/>
            </w:tcMar>
          </w:tcPr>
          <w:p w:rsidR="00CD749A" w:rsidRPr="00C410E0" w:rsidRDefault="00CD749A" w:rsidP="00524018">
            <w:pPr>
              <w:widowControl w:val="0"/>
              <w:spacing w:line="240" w:lineRule="auto"/>
              <w:rPr>
                <w:lang w:val="en-US"/>
              </w:rPr>
            </w:pPr>
            <w:r w:rsidRPr="00C410E0">
              <w:rPr>
                <w:color w:val="2A2A2A"/>
                <w:highlight w:val="white"/>
                <w:lang w:val="en-US"/>
              </w:rPr>
              <w:t xml:space="preserve">13.2 ± 2.5 (5–20) </w:t>
            </w:r>
          </w:p>
        </w:tc>
        <w:tc>
          <w:tcPr>
            <w:tcW w:w="180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color w:val="2A2A2A"/>
                <w:highlight w:val="white"/>
                <w:lang w:val="en-US"/>
              </w:rPr>
              <w:t>13.7 ± 2.6 (9–19)</w:t>
            </w:r>
          </w:p>
        </w:tc>
      </w:tr>
      <w:tr w:rsidR="00CD749A" w:rsidRPr="00C410E0" w:rsidTr="00524018">
        <w:tc>
          <w:tcPr>
            <w:tcW w:w="207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color w:val="2A2A2A"/>
                <w:highlight w:val="white"/>
                <w:lang w:val="en-US"/>
              </w:rPr>
              <w:t xml:space="preserve">Right-handed/left-handed, </w:t>
            </w:r>
            <w:r w:rsidRPr="00C410E0">
              <w:rPr>
                <w:i/>
                <w:color w:val="2A2A2A"/>
                <w:lang w:val="en-US"/>
              </w:rPr>
              <w:t>n</w:t>
            </w:r>
            <w:r w:rsidRPr="00C410E0">
              <w:rPr>
                <w:color w:val="2A2A2A"/>
                <w:highlight w:val="white"/>
                <w:lang w:val="en-US"/>
              </w:rPr>
              <w:t xml:space="preserve"> </w:t>
            </w:r>
          </w:p>
        </w:tc>
        <w:tc>
          <w:tcPr>
            <w:tcW w:w="1605" w:type="dxa"/>
            <w:shd w:val="clear" w:color="auto" w:fill="auto"/>
            <w:tcMar>
              <w:top w:w="100" w:type="dxa"/>
              <w:left w:w="100" w:type="dxa"/>
              <w:bottom w:w="100" w:type="dxa"/>
              <w:right w:w="100" w:type="dxa"/>
            </w:tcMar>
          </w:tcPr>
          <w:p w:rsidR="00CD749A" w:rsidRPr="00C410E0" w:rsidRDefault="00CD749A" w:rsidP="00524018">
            <w:pPr>
              <w:widowControl w:val="0"/>
              <w:spacing w:line="240" w:lineRule="auto"/>
              <w:rPr>
                <w:lang w:val="en-US"/>
              </w:rPr>
            </w:pPr>
            <w:r w:rsidRPr="00C410E0">
              <w:rPr>
                <w:lang w:val="en-US"/>
              </w:rPr>
              <w:t>NA</w:t>
            </w:r>
          </w:p>
        </w:tc>
        <w:tc>
          <w:tcPr>
            <w:tcW w:w="180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lang w:val="en-US"/>
              </w:rPr>
              <w:t>NA</w:t>
            </w:r>
          </w:p>
        </w:tc>
        <w:tc>
          <w:tcPr>
            <w:tcW w:w="180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color w:val="2A2A2A"/>
                <w:highlight w:val="white"/>
                <w:lang w:val="en-US"/>
              </w:rPr>
              <w:t xml:space="preserve">109/10 </w:t>
            </w:r>
          </w:p>
        </w:tc>
        <w:tc>
          <w:tcPr>
            <w:tcW w:w="180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color w:val="2A2A2A"/>
                <w:highlight w:val="white"/>
                <w:lang w:val="en-US"/>
              </w:rPr>
              <w:t>17/3</w:t>
            </w:r>
          </w:p>
        </w:tc>
      </w:tr>
      <w:tr w:rsidR="00CD749A" w:rsidRPr="00C410E0" w:rsidTr="00524018">
        <w:tc>
          <w:tcPr>
            <w:tcW w:w="207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b/>
                <w:color w:val="2A2A2A"/>
                <w:lang w:val="en-US"/>
              </w:rPr>
              <w:t>MRI</w:t>
            </w:r>
          </w:p>
        </w:tc>
        <w:tc>
          <w:tcPr>
            <w:tcW w:w="1605"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p>
        </w:tc>
        <w:tc>
          <w:tcPr>
            <w:tcW w:w="180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p>
        </w:tc>
        <w:tc>
          <w:tcPr>
            <w:tcW w:w="180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p>
        </w:tc>
        <w:tc>
          <w:tcPr>
            <w:tcW w:w="180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p>
        </w:tc>
      </w:tr>
      <w:tr w:rsidR="00CD749A" w:rsidRPr="00C410E0" w:rsidTr="00524018">
        <w:tc>
          <w:tcPr>
            <w:tcW w:w="207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color w:val="2A2A2A"/>
                <w:highlight w:val="white"/>
                <w:lang w:val="en-US"/>
              </w:rPr>
              <w:t>Chronology</w:t>
            </w:r>
          </w:p>
        </w:tc>
        <w:tc>
          <w:tcPr>
            <w:tcW w:w="1605"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lang w:val="en-US"/>
              </w:rPr>
              <w:t>NA</w:t>
            </w:r>
          </w:p>
        </w:tc>
        <w:tc>
          <w:tcPr>
            <w:tcW w:w="180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color w:val="2A2A2A"/>
                <w:highlight w:val="white"/>
                <w:lang w:val="en-US"/>
              </w:rPr>
              <w:t>1–2 weeks after stroke</w:t>
            </w:r>
          </w:p>
        </w:tc>
        <w:tc>
          <w:tcPr>
            <w:tcW w:w="180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color w:val="2A2A2A"/>
                <w:highlight w:val="white"/>
                <w:lang w:val="en-US"/>
              </w:rPr>
              <w:t xml:space="preserve">14 ± 8 days after stroke </w:t>
            </w:r>
          </w:p>
        </w:tc>
        <w:tc>
          <w:tcPr>
            <w:tcW w:w="180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color w:val="2A2A2A"/>
                <w:highlight w:val="white"/>
                <w:lang w:val="en-US"/>
              </w:rPr>
              <w:t xml:space="preserve">13 ± 4 days after stroke </w:t>
            </w:r>
          </w:p>
        </w:tc>
      </w:tr>
      <w:tr w:rsidR="00CD749A" w:rsidRPr="00C410E0" w:rsidTr="00524018">
        <w:tc>
          <w:tcPr>
            <w:tcW w:w="207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color w:val="2A2A2A"/>
                <w:highlight w:val="white"/>
                <w:lang w:val="en-US"/>
              </w:rPr>
              <w:t xml:space="preserve">Dominant lesion site </w:t>
            </w:r>
          </w:p>
        </w:tc>
        <w:tc>
          <w:tcPr>
            <w:tcW w:w="1605"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color w:val="2A2A2A"/>
                <w:highlight w:val="white"/>
                <w:lang w:val="en-US"/>
              </w:rPr>
            </w:pPr>
            <w:r w:rsidRPr="00C410E0">
              <w:rPr>
                <w:color w:val="2A2A2A"/>
                <w:highlight w:val="white"/>
                <w:lang w:val="en-US"/>
              </w:rPr>
              <w:t>44% right hemisphere</w:t>
            </w:r>
          </w:p>
          <w:p w:rsidR="00CD749A" w:rsidRPr="00C410E0" w:rsidRDefault="00CD749A" w:rsidP="00524018">
            <w:pPr>
              <w:widowControl w:val="0"/>
              <w:pBdr>
                <w:top w:val="nil"/>
                <w:left w:val="nil"/>
                <w:bottom w:val="nil"/>
                <w:right w:val="nil"/>
                <w:between w:val="nil"/>
              </w:pBdr>
              <w:spacing w:line="240" w:lineRule="auto"/>
              <w:rPr>
                <w:lang w:val="en-US"/>
              </w:rPr>
            </w:pPr>
            <w:r w:rsidRPr="00C410E0">
              <w:rPr>
                <w:color w:val="2A2A2A"/>
                <w:highlight w:val="white"/>
                <w:lang w:val="en-US"/>
              </w:rPr>
              <w:t xml:space="preserve">56% left hemisphere </w:t>
            </w:r>
          </w:p>
        </w:tc>
        <w:tc>
          <w:tcPr>
            <w:tcW w:w="1800" w:type="dxa"/>
            <w:shd w:val="clear" w:color="auto" w:fill="auto"/>
            <w:tcMar>
              <w:top w:w="100" w:type="dxa"/>
              <w:left w:w="100" w:type="dxa"/>
              <w:bottom w:w="100" w:type="dxa"/>
              <w:right w:w="100" w:type="dxa"/>
            </w:tcMar>
          </w:tcPr>
          <w:p w:rsidR="00CD749A" w:rsidRPr="00C410E0" w:rsidRDefault="00CD749A" w:rsidP="00524018">
            <w:pPr>
              <w:widowControl w:val="0"/>
              <w:spacing w:line="240" w:lineRule="auto"/>
              <w:rPr>
                <w:color w:val="2A2A2A"/>
                <w:highlight w:val="white"/>
                <w:lang w:val="en-US"/>
              </w:rPr>
            </w:pPr>
            <w:r w:rsidRPr="00C410E0">
              <w:rPr>
                <w:color w:val="2A2A2A"/>
                <w:highlight w:val="white"/>
                <w:lang w:val="en-US"/>
              </w:rPr>
              <w:t>44% right hemisphere</w:t>
            </w:r>
          </w:p>
          <w:p w:rsidR="00CD749A" w:rsidRPr="00C410E0" w:rsidRDefault="00CD749A" w:rsidP="00524018">
            <w:pPr>
              <w:widowControl w:val="0"/>
              <w:spacing w:line="240" w:lineRule="auto"/>
              <w:rPr>
                <w:color w:val="2A2A2A"/>
                <w:highlight w:val="white"/>
                <w:lang w:val="en-US"/>
              </w:rPr>
            </w:pPr>
            <w:r w:rsidRPr="00C410E0">
              <w:rPr>
                <w:color w:val="2A2A2A"/>
                <w:highlight w:val="white"/>
                <w:lang w:val="en-US"/>
              </w:rPr>
              <w:t xml:space="preserve">56% left hemisphere </w:t>
            </w:r>
          </w:p>
        </w:tc>
        <w:tc>
          <w:tcPr>
            <w:tcW w:w="1800" w:type="dxa"/>
            <w:shd w:val="clear" w:color="auto" w:fill="auto"/>
            <w:tcMar>
              <w:top w:w="100" w:type="dxa"/>
              <w:left w:w="100" w:type="dxa"/>
              <w:bottom w:w="100" w:type="dxa"/>
              <w:right w:w="100" w:type="dxa"/>
            </w:tcMar>
          </w:tcPr>
          <w:p w:rsidR="00CD749A" w:rsidRPr="00C410E0" w:rsidRDefault="00CD749A" w:rsidP="00524018">
            <w:pPr>
              <w:widowControl w:val="0"/>
              <w:spacing w:line="240" w:lineRule="auto"/>
              <w:rPr>
                <w:color w:val="2A2A2A"/>
                <w:highlight w:val="white"/>
                <w:lang w:val="en-US"/>
              </w:rPr>
            </w:pPr>
            <w:r w:rsidRPr="00C410E0">
              <w:rPr>
                <w:color w:val="2A2A2A"/>
                <w:highlight w:val="white"/>
                <w:lang w:val="en-US"/>
              </w:rPr>
              <w:t>46% right hemisphere</w:t>
            </w:r>
          </w:p>
          <w:p w:rsidR="00CD749A" w:rsidRPr="00C410E0" w:rsidRDefault="00CD749A" w:rsidP="00524018">
            <w:pPr>
              <w:widowControl w:val="0"/>
              <w:spacing w:line="240" w:lineRule="auto"/>
              <w:rPr>
                <w:color w:val="2A2A2A"/>
                <w:highlight w:val="white"/>
                <w:lang w:val="en-US"/>
              </w:rPr>
            </w:pPr>
            <w:r w:rsidRPr="00C410E0">
              <w:rPr>
                <w:color w:val="2A2A2A"/>
                <w:highlight w:val="white"/>
                <w:lang w:val="en-US"/>
              </w:rPr>
              <w:t xml:space="preserve">54% left hemisphere </w:t>
            </w:r>
          </w:p>
        </w:tc>
        <w:tc>
          <w:tcPr>
            <w:tcW w:w="1800" w:type="dxa"/>
            <w:shd w:val="clear" w:color="auto" w:fill="auto"/>
            <w:tcMar>
              <w:top w:w="100" w:type="dxa"/>
              <w:left w:w="100" w:type="dxa"/>
              <w:bottom w:w="100" w:type="dxa"/>
              <w:right w:w="100" w:type="dxa"/>
            </w:tcMar>
          </w:tcPr>
          <w:p w:rsidR="00CD749A" w:rsidRPr="00C410E0" w:rsidRDefault="00CD749A" w:rsidP="00524018">
            <w:pPr>
              <w:widowControl w:val="0"/>
              <w:spacing w:line="240" w:lineRule="auto"/>
              <w:rPr>
                <w:color w:val="2A2A2A"/>
                <w:highlight w:val="white"/>
                <w:lang w:val="en-US"/>
              </w:rPr>
            </w:pPr>
            <w:r w:rsidRPr="00C410E0">
              <w:rPr>
                <w:color w:val="2A2A2A"/>
                <w:highlight w:val="white"/>
                <w:lang w:val="en-US"/>
              </w:rPr>
              <w:t>40% right hemisphere</w:t>
            </w:r>
          </w:p>
          <w:p w:rsidR="00CD749A" w:rsidRPr="00C410E0" w:rsidRDefault="00CD749A" w:rsidP="00524018">
            <w:pPr>
              <w:widowControl w:val="0"/>
              <w:spacing w:line="240" w:lineRule="auto"/>
              <w:rPr>
                <w:lang w:val="en-US"/>
              </w:rPr>
            </w:pPr>
            <w:r w:rsidRPr="00C410E0">
              <w:rPr>
                <w:color w:val="2A2A2A"/>
                <w:highlight w:val="white"/>
                <w:lang w:val="en-US"/>
              </w:rPr>
              <w:t xml:space="preserve">60% left hemisphere </w:t>
            </w:r>
          </w:p>
        </w:tc>
      </w:tr>
      <w:tr w:rsidR="00CD749A" w:rsidRPr="00C410E0" w:rsidTr="00524018">
        <w:tc>
          <w:tcPr>
            <w:tcW w:w="2070" w:type="dxa"/>
            <w:shd w:val="clear" w:color="auto" w:fill="auto"/>
            <w:tcMar>
              <w:top w:w="100" w:type="dxa"/>
              <w:left w:w="100" w:type="dxa"/>
              <w:bottom w:w="100" w:type="dxa"/>
              <w:right w:w="100" w:type="dxa"/>
            </w:tcMar>
          </w:tcPr>
          <w:p w:rsidR="00CD749A" w:rsidRPr="00C410E0" w:rsidRDefault="00CD749A" w:rsidP="00524018">
            <w:pPr>
              <w:widowControl w:val="0"/>
              <w:spacing w:line="240" w:lineRule="auto"/>
              <w:rPr>
                <w:lang w:val="en-US"/>
              </w:rPr>
            </w:pPr>
            <w:r w:rsidRPr="00C410E0">
              <w:rPr>
                <w:b/>
                <w:color w:val="2A2A2A"/>
                <w:lang w:val="en-US"/>
              </w:rPr>
              <w:t>Neuropsychological assessment</w:t>
            </w:r>
          </w:p>
        </w:tc>
        <w:tc>
          <w:tcPr>
            <w:tcW w:w="1605"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p>
        </w:tc>
        <w:tc>
          <w:tcPr>
            <w:tcW w:w="180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p>
        </w:tc>
        <w:tc>
          <w:tcPr>
            <w:tcW w:w="180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p>
        </w:tc>
        <w:tc>
          <w:tcPr>
            <w:tcW w:w="180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p>
        </w:tc>
      </w:tr>
      <w:tr w:rsidR="00CD749A" w:rsidRPr="00C410E0" w:rsidTr="00524018">
        <w:tc>
          <w:tcPr>
            <w:tcW w:w="207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color w:val="2A2A2A"/>
                <w:highlight w:val="white"/>
                <w:lang w:val="en-US"/>
              </w:rPr>
              <w:t xml:space="preserve">Delay after stroke onset, days </w:t>
            </w:r>
          </w:p>
        </w:tc>
        <w:tc>
          <w:tcPr>
            <w:tcW w:w="1605"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lang w:val="en-US"/>
              </w:rPr>
              <w:t>NA</w:t>
            </w:r>
          </w:p>
        </w:tc>
        <w:tc>
          <w:tcPr>
            <w:tcW w:w="180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lang w:val="en-US"/>
              </w:rPr>
              <w:t>NA</w:t>
            </w:r>
          </w:p>
        </w:tc>
        <w:tc>
          <w:tcPr>
            <w:tcW w:w="180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color w:val="2A2A2A"/>
                <w:highlight w:val="white"/>
                <w:lang w:val="en-US"/>
              </w:rPr>
              <w:t xml:space="preserve">393 ± 56 </w:t>
            </w:r>
          </w:p>
        </w:tc>
        <w:tc>
          <w:tcPr>
            <w:tcW w:w="180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color w:val="2A2A2A"/>
                <w:highlight w:val="white"/>
                <w:lang w:val="en-US"/>
              </w:rPr>
              <w:t xml:space="preserve">385 ± 22 </w:t>
            </w:r>
          </w:p>
        </w:tc>
      </w:tr>
      <w:tr w:rsidR="00CD749A" w:rsidRPr="00C410E0" w:rsidTr="00524018">
        <w:tc>
          <w:tcPr>
            <w:tcW w:w="207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color w:val="2A2A2A"/>
                <w:highlight w:val="white"/>
                <w:lang w:val="en-US"/>
              </w:rPr>
              <w:t xml:space="preserve">Delay after MRI scan, days </w:t>
            </w:r>
          </w:p>
        </w:tc>
        <w:tc>
          <w:tcPr>
            <w:tcW w:w="1605"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lang w:val="en-US"/>
              </w:rPr>
              <w:t>NA</w:t>
            </w:r>
          </w:p>
        </w:tc>
        <w:tc>
          <w:tcPr>
            <w:tcW w:w="180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lang w:val="en-US"/>
              </w:rPr>
              <w:t>NA</w:t>
            </w:r>
          </w:p>
        </w:tc>
        <w:tc>
          <w:tcPr>
            <w:tcW w:w="180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color w:val="2A2A2A"/>
                <w:highlight w:val="white"/>
                <w:lang w:val="en-US"/>
              </w:rPr>
              <w:t>379 ± 57</w:t>
            </w:r>
          </w:p>
        </w:tc>
        <w:tc>
          <w:tcPr>
            <w:tcW w:w="1800" w:type="dxa"/>
            <w:shd w:val="clear" w:color="auto" w:fill="auto"/>
            <w:tcMar>
              <w:top w:w="100" w:type="dxa"/>
              <w:left w:w="100" w:type="dxa"/>
              <w:bottom w:w="100" w:type="dxa"/>
              <w:right w:w="100" w:type="dxa"/>
            </w:tcMar>
          </w:tcPr>
          <w:p w:rsidR="00CD749A" w:rsidRPr="00C410E0" w:rsidRDefault="00CD749A" w:rsidP="00524018">
            <w:pPr>
              <w:widowControl w:val="0"/>
              <w:pBdr>
                <w:top w:val="nil"/>
                <w:left w:val="nil"/>
                <w:bottom w:val="nil"/>
                <w:right w:val="nil"/>
                <w:between w:val="nil"/>
              </w:pBdr>
              <w:spacing w:line="240" w:lineRule="auto"/>
              <w:rPr>
                <w:lang w:val="en-US"/>
              </w:rPr>
            </w:pPr>
            <w:r w:rsidRPr="00C410E0">
              <w:rPr>
                <w:color w:val="2A2A2A"/>
                <w:highlight w:val="white"/>
                <w:lang w:val="en-US"/>
              </w:rPr>
              <w:t>373 ± 22</w:t>
            </w:r>
          </w:p>
        </w:tc>
      </w:tr>
    </w:tbl>
    <w:p w:rsidR="00CD749A" w:rsidRPr="00C410E0" w:rsidRDefault="00CD749A" w:rsidP="00CD749A">
      <w:pPr>
        <w:rPr>
          <w:lang w:val="en-US"/>
        </w:rPr>
      </w:pPr>
    </w:p>
    <w:p w:rsidR="00CD749A" w:rsidRPr="00C410E0" w:rsidRDefault="00CD749A" w:rsidP="00CD749A">
      <w:pPr>
        <w:rPr>
          <w:lang w:val="en-US"/>
        </w:rPr>
      </w:pPr>
      <w:r w:rsidRPr="00C410E0">
        <w:rPr>
          <w:noProof/>
          <w:lang w:val="en-US"/>
        </w:rPr>
        <w:lastRenderedPageBreak/>
        <w:drawing>
          <wp:inline distT="114300" distB="114300" distL="114300" distR="114300" wp14:anchorId="09DA01A6" wp14:editId="0B7DF820">
            <wp:extent cx="4769810" cy="3208925"/>
            <wp:effectExtent l="0" t="0" r="0" b="0"/>
            <wp:docPr id="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4"/>
                    <a:srcRect/>
                    <a:stretch>
                      <a:fillRect/>
                    </a:stretch>
                  </pic:blipFill>
                  <pic:spPr>
                    <a:xfrm>
                      <a:off x="0" y="0"/>
                      <a:ext cx="4769810" cy="3208925"/>
                    </a:xfrm>
                    <a:prstGeom prst="rect">
                      <a:avLst/>
                    </a:prstGeom>
                    <a:ln/>
                  </pic:spPr>
                </pic:pic>
              </a:graphicData>
            </a:graphic>
          </wp:inline>
        </w:drawing>
      </w:r>
    </w:p>
    <w:p w:rsidR="00CD749A" w:rsidRPr="00C410E0" w:rsidRDefault="00CD749A" w:rsidP="00CD749A">
      <w:pPr>
        <w:spacing w:line="360" w:lineRule="auto"/>
        <w:rPr>
          <w:b/>
          <w:lang w:val="en-US"/>
        </w:rPr>
      </w:pPr>
      <w:r w:rsidRPr="00C410E0">
        <w:rPr>
          <w:b/>
          <w:lang w:val="en-US"/>
        </w:rPr>
        <w:t xml:space="preserve">Figure 1: </w:t>
      </w:r>
      <w:r w:rsidRPr="00C410E0">
        <w:rPr>
          <w:lang w:val="en-US"/>
        </w:rPr>
        <w:t xml:space="preserve">The boxplot shows all the R² for the predictions of the validation set (N=20) across N=86 neuropsychological scores for the framework using deep-disconnectomes compared to the framework using disconnectomes obtained by BCBToolkit. The boxes represent the quartiles, the whiskers indicate the distribution, and the outliers are marked as white dots. Inside the boxes, the median is visualized by the red line. </w:t>
      </w:r>
      <w:r w:rsidRPr="00C410E0">
        <w:rPr>
          <w:sz w:val="23"/>
          <w:szCs w:val="23"/>
          <w:highlight w:val="white"/>
          <w:lang w:val="en-US"/>
        </w:rPr>
        <w:t xml:space="preserve">The </w:t>
      </w:r>
      <w:r w:rsidRPr="00C410E0">
        <w:rPr>
          <w:i/>
          <w:sz w:val="23"/>
          <w:szCs w:val="23"/>
          <w:highlight w:val="white"/>
          <w:lang w:val="en-US"/>
        </w:rPr>
        <w:t>P</w:t>
      </w:r>
      <w:r w:rsidRPr="00C410E0">
        <w:rPr>
          <w:sz w:val="23"/>
          <w:szCs w:val="23"/>
          <w:highlight w:val="white"/>
          <w:lang w:val="en-US"/>
        </w:rPr>
        <w:t xml:space="preserve">-value obtained from a paired </w:t>
      </w:r>
      <w:r w:rsidRPr="00C410E0">
        <w:rPr>
          <w:i/>
          <w:sz w:val="23"/>
          <w:szCs w:val="23"/>
          <w:highlight w:val="white"/>
          <w:lang w:val="en-US"/>
        </w:rPr>
        <w:t>t</w:t>
      </w:r>
      <w:r w:rsidRPr="00C410E0">
        <w:rPr>
          <w:sz w:val="23"/>
          <w:szCs w:val="23"/>
          <w:highlight w:val="white"/>
          <w:lang w:val="en-US"/>
        </w:rPr>
        <w:t xml:space="preserve">-test (2-tails): </w:t>
      </w:r>
      <w:r w:rsidRPr="00C410E0">
        <w:rPr>
          <w:i/>
          <w:sz w:val="23"/>
          <w:szCs w:val="23"/>
          <w:highlight w:val="white"/>
          <w:lang w:val="en-US"/>
        </w:rPr>
        <w:t>P</w:t>
      </w:r>
      <w:r w:rsidRPr="00C410E0">
        <w:rPr>
          <w:sz w:val="23"/>
          <w:szCs w:val="23"/>
          <w:highlight w:val="white"/>
          <w:lang w:val="en-US"/>
        </w:rPr>
        <w:t>=0.241 shows no significant difference in the prediction power</w:t>
      </w:r>
      <w:r w:rsidRPr="00C410E0">
        <w:rPr>
          <w:lang w:val="en-US"/>
        </w:rPr>
        <w:t xml:space="preserve"> for this out-of-sample cohort. </w:t>
      </w:r>
    </w:p>
    <w:p w:rsidR="00CD749A" w:rsidRPr="00C410E0" w:rsidRDefault="00CD749A" w:rsidP="00CD749A">
      <w:pPr>
        <w:rPr>
          <w:lang w:val="en-US"/>
        </w:rPr>
      </w:pPr>
      <w:r w:rsidRPr="00C410E0">
        <w:rPr>
          <w:noProof/>
          <w:lang w:val="en-US"/>
        </w:rPr>
        <w:drawing>
          <wp:anchor distT="114300" distB="114300" distL="114300" distR="114300" simplePos="0" relativeHeight="251659264" behindDoc="0" locked="0" layoutInCell="1" hidden="0" allowOverlap="1" wp14:anchorId="7AA4ADA7" wp14:editId="1AA6CB31">
            <wp:simplePos x="0" y="0"/>
            <wp:positionH relativeFrom="column">
              <wp:posOffset>-600074</wp:posOffset>
            </wp:positionH>
            <wp:positionV relativeFrom="paragraph">
              <wp:posOffset>285750</wp:posOffset>
            </wp:positionV>
            <wp:extent cx="6659081" cy="2610537"/>
            <wp:effectExtent l="0" t="0" r="0" b="0"/>
            <wp:wrapTopAndBottom distT="114300" distB="114300"/>
            <wp:docPr id="4"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5"/>
                    <a:srcRect/>
                    <a:stretch>
                      <a:fillRect/>
                    </a:stretch>
                  </pic:blipFill>
                  <pic:spPr>
                    <a:xfrm>
                      <a:off x="0" y="0"/>
                      <a:ext cx="6659081" cy="2610537"/>
                    </a:xfrm>
                    <a:prstGeom prst="rect">
                      <a:avLst/>
                    </a:prstGeom>
                    <a:ln/>
                  </pic:spPr>
                </pic:pic>
              </a:graphicData>
            </a:graphic>
          </wp:anchor>
        </w:drawing>
      </w:r>
    </w:p>
    <w:p w:rsidR="00CD749A" w:rsidRPr="00C410E0" w:rsidRDefault="00CD749A" w:rsidP="00CD749A">
      <w:pPr>
        <w:spacing w:line="360" w:lineRule="auto"/>
        <w:rPr>
          <w:lang w:val="en-US"/>
        </w:rPr>
      </w:pPr>
      <w:r w:rsidRPr="00C410E0">
        <w:rPr>
          <w:b/>
          <w:lang w:val="en-US"/>
        </w:rPr>
        <w:t xml:space="preserve">Figure 2: </w:t>
      </w:r>
      <w:r w:rsidRPr="00C410E0">
        <w:rPr>
          <w:lang w:val="en-US"/>
        </w:rPr>
        <w:t xml:space="preserve">Comparison of the </w:t>
      </w:r>
      <w:proofErr w:type="spellStart"/>
      <w:r w:rsidRPr="00C410E0">
        <w:rPr>
          <w:lang w:val="en-US"/>
        </w:rPr>
        <w:t>morphospaces</w:t>
      </w:r>
      <w:proofErr w:type="spellEnd"/>
      <w:r w:rsidRPr="00C410E0">
        <w:rPr>
          <w:lang w:val="en-US"/>
        </w:rPr>
        <w:t xml:space="preserve"> obtained using different disconnectomes. (a) Deep-disconnectome </w:t>
      </w:r>
      <w:proofErr w:type="spellStart"/>
      <w:r w:rsidRPr="00C410E0">
        <w:rPr>
          <w:lang w:val="en-US"/>
        </w:rPr>
        <w:t>morphospace</w:t>
      </w:r>
      <w:proofErr w:type="spellEnd"/>
      <w:r w:rsidRPr="00C410E0">
        <w:rPr>
          <w:lang w:val="en-US"/>
        </w:rPr>
        <w:t xml:space="preserve">. (b) Conventional disconnectome </w:t>
      </w:r>
      <w:proofErr w:type="spellStart"/>
      <w:r w:rsidRPr="00C410E0">
        <w:rPr>
          <w:lang w:val="en-US"/>
        </w:rPr>
        <w:t>morphospace</w:t>
      </w:r>
      <w:proofErr w:type="spellEnd"/>
    </w:p>
    <w:p w:rsidR="00681180" w:rsidRDefault="00681180"/>
    <w:sectPr w:rsidR="00681180">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749A"/>
    <w:rsid w:val="004278C7"/>
    <w:rsid w:val="00681180"/>
    <w:rsid w:val="00CD749A"/>
    <w:rsid w:val="00D37D03"/>
    <w:rsid w:val="00D408C0"/>
  </w:rsids>
  <m:mathPr>
    <m:mathFont m:val="Cambria Math"/>
    <m:brkBin m:val="before"/>
    <m:brkBinSub m:val="--"/>
    <m:smallFrac m:val="0"/>
    <m:dispDef/>
    <m:lMargin m:val="0"/>
    <m:rMargin m:val="0"/>
    <m:defJc m:val="centerGroup"/>
    <m:wrapIndent m:val="1440"/>
    <m:intLim m:val="subSup"/>
    <m:naryLim m:val="undOvr"/>
  </m:mathPr>
  <w:themeFontLang w:val="en-FR"/>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B1C6E9C6-4797-E54C-A12A-25F34B97E1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749A"/>
    <w:pPr>
      <w:spacing w:line="276" w:lineRule="auto"/>
    </w:pPr>
    <w:rPr>
      <w:rFonts w:ascii="Arial" w:eastAsia="Arial" w:hAnsi="Arial" w:cs="Arial"/>
      <w:kern w:val="0"/>
      <w:sz w:val="22"/>
      <w:szCs w:val="22"/>
      <w:lang w:val="de"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308</Words>
  <Characters>1761</Characters>
  <Application>Microsoft Office Word</Application>
  <DocSecurity>0</DocSecurity>
  <Lines>14</Lines>
  <Paragraphs>4</Paragraphs>
  <ScaleCrop>false</ScaleCrop>
  <Company/>
  <LinksUpToDate>false</LinksUpToDate>
  <CharactersWithSpaces>2065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2023-07-11T10:48:00Z</dcterms:created>
  <dcterms:modified xsi:type="dcterms:W3CDTF">2023-07-11T10:48:00Z</dcterms:modified>
</cp:coreProperties>
</file>