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outlineLvl w:val="0"/>
        <w:rPr>
          <w:rFonts w:ascii="Times New Roman" w:hAnsi="Times New Roman" w:cs="Times New Roman"/>
          <w:b/>
          <w:bCs/>
          <w:sz w:val="20"/>
          <w:szCs w:val="20"/>
        </w:rPr>
      </w:pPr>
      <w:r>
        <w:rPr>
          <w:rFonts w:ascii="Times New Roman" w:hAnsi="Times New Roman" w:cs="Times New Roman"/>
          <w:b/>
          <w:bCs/>
          <w:sz w:val="20"/>
          <w:szCs w:val="20"/>
        </w:rPr>
        <w:t>2. Materials and methods</w:t>
      </w:r>
    </w:p>
    <w:p>
      <w:pPr>
        <w:adjustRightInd w:val="0"/>
        <w:snapToGrid w:val="0"/>
        <w:spacing w:line="480" w:lineRule="auto"/>
        <w:outlineLvl w:val="1"/>
        <w:rPr>
          <w:rFonts w:ascii="Times New Roman" w:hAnsi="Times New Roman" w:eastAsia="Consolas" w:cs="Times New Roman"/>
          <w:i/>
          <w:iCs/>
          <w:sz w:val="20"/>
          <w:szCs w:val="20"/>
        </w:rPr>
      </w:pPr>
      <w:r>
        <w:rPr>
          <w:rFonts w:ascii="Times New Roman" w:hAnsi="Times New Roman" w:eastAsia="Consolas" w:cs="Times New Roman"/>
          <w:i/>
          <w:iCs/>
          <w:sz w:val="20"/>
          <w:szCs w:val="20"/>
        </w:rPr>
        <w:t>2.1 Screening of prognostic LncRNAs associated with autophagy differences</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We downloaded transcriptomic data and corresponding clinical information, for 375 gastric cancer tissues and 32 adjacent non-cancerous tissues from the TCGA database (https://portal.gdc.cancer.gov/) (</w:t>
      </w:r>
      <w:r>
        <w:rPr>
          <w:rFonts w:ascii="Times New Roman" w:hAnsi="Times New Roman" w:cs="Times New Roman"/>
          <w:sz w:val="20"/>
          <w:szCs w:val="20"/>
        </w:rPr>
        <w:t>Tomczak et al. 2015</w:t>
      </w:r>
      <w:r>
        <w:rPr>
          <w:rFonts w:ascii="Times New Roman" w:hAnsi="Times New Roman" w:eastAsia="Consolas" w:cs="Times New Roman"/>
          <w:sz w:val="20"/>
          <w:szCs w:val="20"/>
        </w:rPr>
        <w:t>). The transcriptomic data were annotated and categorized into mRNA and LncRNA sections. Subsequently, we extracted autophagy-related gene expression data from the mRNA section, using the Human Autophagy Database (http://www.autophagy.lu/) (Li CX et al. 2022). To identify autophagy-related LncRNAs, a Pearson correlation analysis (Pearson correlation coefficient &gt; 0.4, P &lt; 0.001) was conducted. Subsequently, we merged the expression levels of these identified autophagy-related LncRNAs with the patients' clinical prognosis information. Single-factor Cox regression analysis, LASSO, and multivariate Cox regression analyses were performed using the 'survival' and 'glmnet' packages to identify autophagy-related LncRNAs associated with gastric cancer prognosis. Additionally, the "limma" package was used to analyze the differential expression of autophagy-related LncRNAs between cancer tissues and adjacent non-cancerous tissues. The selection criteria for these differentially expressed autophagy-related LncRNAs were LogFoldchange &gt; 2 or &lt; -1, and P &lt; 0.05. The intersection of these differentially expressed LncRNAs with prognostic LncRNAs identified the differentially expressed LncRNAs relevant to gastric cancer and its prognosis. Subsequently, Kaplan-Meier survival analysis was performed on these prognostic-related differentially expressed LncRNAs, with a special focus on LncRNAHAGLR, exhibiting the lowest P-value in the univariate Cox regression analysis and the Kaplan-Meier analysis.</w:t>
      </w:r>
    </w:p>
    <w:p>
      <w:pPr>
        <w:adjustRightInd w:val="0"/>
        <w:snapToGrid w:val="0"/>
        <w:spacing w:line="480" w:lineRule="auto"/>
        <w:outlineLvl w:val="1"/>
        <w:rPr>
          <w:rFonts w:ascii="Times New Roman" w:hAnsi="Times New Roman" w:cs="Times New Roman"/>
          <w:bCs/>
          <w:i/>
          <w:iCs/>
          <w:sz w:val="20"/>
          <w:szCs w:val="20"/>
        </w:rPr>
      </w:pPr>
      <w:r>
        <w:rPr>
          <w:rFonts w:ascii="Times New Roman" w:hAnsi="Times New Roman" w:cs="Times New Roman"/>
          <w:bCs/>
          <w:i/>
          <w:iCs/>
          <w:sz w:val="20"/>
          <w:szCs w:val="20"/>
        </w:rPr>
        <w:t>2.2 Expression analysis of HAGLR</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We obtained the pan-cancer dataset (GTEx, PANCAN, N=19131, G=60499) from the UCSC database (GTEx Consortium. Human genomics 2015;</w:t>
      </w:r>
      <w:r>
        <w:rPr>
          <w:rFonts w:ascii="Times New Roman" w:hAnsi="Times New Roman" w:cs="Times New Roman"/>
          <w:sz w:val="20"/>
          <w:szCs w:val="20"/>
        </w:rPr>
        <w:t xml:space="preserve"> Navarro Gonzalez et al. 2021</w:t>
      </w:r>
      <w:r>
        <w:rPr>
          <w:rFonts w:ascii="Times New Roman" w:hAnsi="Times New Roman" w:eastAsia="Consolas" w:cs="Times New Roman"/>
          <w:sz w:val="20"/>
          <w:szCs w:val="20"/>
        </w:rPr>
        <w:t>), which had undergone uniform normalization. From this dataset, we extracted the expression data of the HAGLR gene</w:t>
      </w:r>
      <w:r>
        <w:rPr>
          <w:rFonts w:ascii="Times New Roman" w:hAnsi="Times New Roman" w:cs="Times New Roman"/>
          <w:sz w:val="20"/>
          <w:szCs w:val="20"/>
        </w:rPr>
        <w:t xml:space="preserve"> </w:t>
      </w:r>
      <w:r>
        <w:rPr>
          <w:rFonts w:ascii="Times New Roman" w:hAnsi="Times New Roman" w:eastAsia="Consolas" w:cs="Times New Roman"/>
          <w:sz w:val="20"/>
          <w:szCs w:val="20"/>
        </w:rPr>
        <w:t>across 34 different types of cancer. A subsequent differential analysis was carried out. Furthermore, we selected two datasets (GSE54129 (</w:t>
      </w:r>
      <w:r>
        <w:rPr>
          <w:rFonts w:ascii="Times New Roman" w:hAnsi="Times New Roman" w:cs="Times New Roman"/>
          <w:sz w:val="20"/>
          <w:szCs w:val="20"/>
        </w:rPr>
        <w:t>Hippo et al. 2002</w:t>
      </w:r>
      <w:r>
        <w:rPr>
          <w:rFonts w:ascii="Times New Roman" w:hAnsi="Times New Roman" w:eastAsia="Consolas" w:cs="Times New Roman"/>
          <w:sz w:val="20"/>
          <w:szCs w:val="20"/>
        </w:rPr>
        <w:t>) and GSE13911 (</w:t>
      </w:r>
      <w:r>
        <w:rPr>
          <w:rFonts w:ascii="Times New Roman" w:hAnsi="Times New Roman" w:cs="Times New Roman"/>
          <w:sz w:val="20"/>
          <w:szCs w:val="20"/>
        </w:rPr>
        <w:t>D'Errico et al. 2009</w:t>
      </w:r>
      <w:r>
        <w:rPr>
          <w:rFonts w:ascii="Times New Roman" w:hAnsi="Times New Roman" w:eastAsia="Consolas" w:cs="Times New Roman"/>
          <w:sz w:val="20"/>
          <w:szCs w:val="20"/>
        </w:rPr>
        <w:t>)) from the Gene Expression Omnibus (GEO) database (https://www.ncbi.nlm.nih.gov/geo/) containing both gastric cancer tissue and normal gastric tissue samples to validate the differential expression of HAGLR in gastric cancer.</w:t>
      </w:r>
    </w:p>
    <w:p>
      <w:pPr>
        <w:adjustRightInd w:val="0"/>
        <w:snapToGrid w:val="0"/>
        <w:spacing w:line="480" w:lineRule="auto"/>
        <w:outlineLvl w:val="1"/>
        <w:rPr>
          <w:rFonts w:ascii="Times New Roman" w:hAnsi="Times New Roman" w:cs="Times New Roman"/>
          <w:bCs/>
          <w:i/>
          <w:iCs/>
          <w:sz w:val="20"/>
          <w:szCs w:val="20"/>
        </w:rPr>
      </w:pPr>
      <w:r>
        <w:rPr>
          <w:rFonts w:ascii="Times New Roman" w:hAnsi="Times New Roman" w:cs="Times New Roman"/>
          <w:bCs/>
          <w:i/>
          <w:iCs/>
          <w:sz w:val="20"/>
          <w:szCs w:val="20"/>
        </w:rPr>
        <w:t>2.3 Correlation analysis between HAGLR and clinicopathological features</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We downloaded the clinical-pathological data of primary gastric cancer (GC) patients from The Cancer Genome Atlas (TCGA), encompassing 115 clinical parameters. Specifically, gastric cancer tissue samples with available clinical pathological information, including age, gender, grade, TNM staging, depth of invasion, lymph node metastasis, distant metastasis, and H. pylori infection, were selected for further analysis. Next, we classified the 375 patients into high and low-expression groups based on the median expression value of HAGLR. The Chi-square test was used to analyze the correlation between HAGLR expression levels and clinicopathological parameters.</w:t>
      </w:r>
    </w:p>
    <w:p>
      <w:pPr>
        <w:adjustRightInd w:val="0"/>
        <w:snapToGrid w:val="0"/>
        <w:spacing w:line="480" w:lineRule="auto"/>
        <w:outlineLvl w:val="1"/>
        <w:rPr>
          <w:rFonts w:ascii="Times New Roman" w:hAnsi="Times New Roman" w:cs="Times New Roman"/>
          <w:bCs/>
          <w:i/>
          <w:iCs/>
          <w:sz w:val="20"/>
          <w:szCs w:val="20"/>
        </w:rPr>
      </w:pPr>
      <w:r>
        <w:rPr>
          <w:rFonts w:ascii="Times New Roman" w:hAnsi="Times New Roman" w:cs="Times New Roman"/>
          <w:bCs/>
          <w:i/>
          <w:iCs/>
          <w:sz w:val="20"/>
          <w:szCs w:val="20"/>
        </w:rPr>
        <w:t>2.4 Independent prognostic analysis</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We obtained survival data for primary gastric cancer (GC) patients from the TCGA. Statistical analyses were conducted using R software version 4.1.1, along with the "survival" package in R. We employed both univariate and multivariate Cox regression analyses to identify independent prognostic factors. The "timeROC" package was used to generate time-dependent ROC curves and compute the area under the curve (AUC) for 1-year, 3-year, and 5-year overall survival (OS) of the samples. The AUC values served as a measure of the predictive capability of the model, with higher AUC values indicating superior model performance. The "rms" package in R was used to create column line graphs predicting 1-year, 3-year, and 5-year OS for gastric cancer patients. Calibration curves were used to evaluate the model's goodness of fit.</w:t>
      </w:r>
    </w:p>
    <w:p>
      <w:pPr>
        <w:adjustRightInd w:val="0"/>
        <w:snapToGrid w:val="0"/>
        <w:spacing w:line="480" w:lineRule="auto"/>
        <w:outlineLvl w:val="1"/>
        <w:rPr>
          <w:rFonts w:ascii="Times New Roman" w:hAnsi="Times New Roman" w:cs="Times New Roman"/>
          <w:bCs/>
          <w:i/>
          <w:iCs/>
          <w:sz w:val="20"/>
          <w:szCs w:val="20"/>
        </w:rPr>
      </w:pPr>
      <w:r>
        <w:rPr>
          <w:rFonts w:ascii="Times New Roman" w:hAnsi="Times New Roman" w:cs="Times New Roman"/>
          <w:bCs/>
          <w:i/>
          <w:iCs/>
          <w:sz w:val="20"/>
          <w:szCs w:val="20"/>
        </w:rPr>
        <w:t>2.5 Identification and functional enrichment of HAGLR-associated genes</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 xml:space="preserve">The 'limma' package in R-4.1.1 software was used to identify differentially expressed genes between the high- and low-expression groups of HAGLR. Expression profile data were normalized using the "edgeR" package. Criteria for selecting differentially expressed genes included a false discovery rate (FDR) </w:t>
      </w:r>
      <w:r>
        <w:rPr>
          <w:rFonts w:ascii="Times New Roman" w:hAnsi="Times New Roman" w:eastAsia="宋体" w:cs="Times New Roman"/>
          <w:sz w:val="20"/>
          <w:szCs w:val="20"/>
        </w:rPr>
        <w:t>&lt;</w:t>
      </w:r>
      <w:r>
        <w:rPr>
          <w:rFonts w:ascii="Times New Roman" w:hAnsi="Times New Roman" w:eastAsia="Consolas" w:cs="Times New Roman"/>
          <w:sz w:val="20"/>
          <w:szCs w:val="20"/>
        </w:rPr>
        <w:t xml:space="preserve">0.05 and an absolute log2(Fold Change) </w:t>
      </w:r>
      <w:r>
        <w:rPr>
          <w:rFonts w:ascii="Times New Roman" w:hAnsi="Times New Roman" w:eastAsia="宋体" w:cs="Times New Roman"/>
          <w:sz w:val="20"/>
          <w:szCs w:val="20"/>
        </w:rPr>
        <w:t>&gt;</w:t>
      </w:r>
      <w:r>
        <w:rPr>
          <w:rFonts w:ascii="Times New Roman" w:hAnsi="Times New Roman" w:eastAsia="Consolas" w:cs="Times New Roman"/>
          <w:sz w:val="20"/>
          <w:szCs w:val="20"/>
        </w:rPr>
        <w:t xml:space="preserve"> 2. A heatmap for visualizing these differentially expressed genes was generated using the "pheatmap" package.</w:t>
      </w:r>
    </w:p>
    <w:p>
      <w:pPr>
        <w:adjustRightInd w:val="0"/>
        <w:snapToGrid w:val="0"/>
        <w:spacing w:line="480" w:lineRule="auto"/>
        <w:ind w:firstLine="400" w:firstLineChars="200"/>
        <w:rPr>
          <w:rStyle w:val="4"/>
          <w:rFonts w:ascii="Times New Roman" w:hAnsi="Times New Roman" w:eastAsia="Consolas" w:cs="Times New Roman"/>
          <w:szCs w:val="20"/>
        </w:rPr>
      </w:pPr>
      <w:r>
        <w:rPr>
          <w:rStyle w:val="4"/>
          <w:rFonts w:ascii="Times New Roman" w:hAnsi="Times New Roman" w:eastAsia="Consolas" w:cs="Times New Roman"/>
          <w:szCs w:val="20"/>
        </w:rPr>
        <w:t>To further explore the molecular mechanisms associated with HAGLR, we used the cBioPortal database (https://www.cbioportal.org/) (</w:t>
      </w:r>
      <w:r>
        <w:rPr>
          <w:rFonts w:ascii="Times New Roman" w:hAnsi="Times New Roman" w:cs="Times New Roman"/>
          <w:sz w:val="20"/>
          <w:szCs w:val="20"/>
        </w:rPr>
        <w:t>Gao et al. 2013</w:t>
      </w:r>
      <w:r>
        <w:rPr>
          <w:rStyle w:val="4"/>
          <w:rFonts w:ascii="Times New Roman" w:hAnsi="Times New Roman" w:eastAsia="Consolas" w:cs="Times New Roman"/>
          <w:szCs w:val="20"/>
        </w:rPr>
        <w:t>) to identify genes co-expressed with HAGLR and those interacting with it. Subsequently, we</w:t>
      </w:r>
      <w:r>
        <w:rPr>
          <w:rStyle w:val="4"/>
          <w:rFonts w:ascii="Times New Roman" w:hAnsi="Times New Roman" w:cs="Times New Roman"/>
          <w:szCs w:val="20"/>
        </w:rPr>
        <w:t xml:space="preserve"> </w:t>
      </w:r>
      <w:r>
        <w:rPr>
          <w:rFonts w:ascii="Times New Roman" w:hAnsi="Times New Roman" w:eastAsia="Consolas" w:cs="Times New Roman"/>
          <w:sz w:val="20"/>
          <w:szCs w:val="20"/>
        </w:rPr>
        <w:t>utilized the "clusterProfiler" and "enrichplot" packages in R to perform Gene Ontology (GO) enrichment analysis and Kyoto Encyclopedia of Genes and Genomes (KEGG) pathway analysis, as well as to visualize the co-expressed genes.</w:t>
      </w:r>
      <w:r>
        <w:rPr>
          <w:rStyle w:val="4"/>
          <w:rFonts w:ascii="Times New Roman" w:hAnsi="Times New Roman" w:eastAsia="Consolas" w:cs="Times New Roman"/>
          <w:szCs w:val="20"/>
        </w:rPr>
        <w:t xml:space="preserve"> A significance level of P &lt; 0.05 was considered statistically significant for exploring potential molecular mechanisms (Wang Z et al. 2022).</w:t>
      </w:r>
    </w:p>
    <w:p>
      <w:pPr>
        <w:adjustRightInd w:val="0"/>
        <w:snapToGrid w:val="0"/>
        <w:spacing w:line="480" w:lineRule="auto"/>
        <w:outlineLvl w:val="1"/>
        <w:rPr>
          <w:rFonts w:ascii="Times New Roman" w:hAnsi="Times New Roman" w:cs="Times New Roman"/>
          <w:bCs/>
          <w:i/>
          <w:iCs/>
          <w:sz w:val="20"/>
          <w:szCs w:val="20"/>
        </w:rPr>
      </w:pPr>
      <w:r>
        <w:rPr>
          <w:rFonts w:ascii="Times New Roman" w:hAnsi="Times New Roman" w:cs="Times New Roman"/>
          <w:bCs/>
          <w:i/>
          <w:iCs/>
          <w:sz w:val="20"/>
          <w:szCs w:val="20"/>
        </w:rPr>
        <w:t>2.6 Prediction of drug sensitivity</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The "oncoPredict" package was employed to estimate the 50% inhibitory concentration (IC50) values of various anti-tumor drugs for gastric cancer samples in the Cancer Therapeutics Response Portal (CTRP) (Li LR et al. 2022). Differential analysis was performed on the IC50 values between the groups with high and low expression of HAGLR.</w:t>
      </w:r>
    </w:p>
    <w:p>
      <w:pPr>
        <w:adjustRightInd w:val="0"/>
        <w:snapToGrid w:val="0"/>
        <w:spacing w:line="480" w:lineRule="auto"/>
        <w:outlineLvl w:val="1"/>
        <w:rPr>
          <w:rFonts w:ascii="Times New Roman" w:hAnsi="Times New Roman" w:cs="Times New Roman"/>
          <w:bCs/>
          <w:i/>
          <w:iCs/>
          <w:sz w:val="20"/>
          <w:szCs w:val="20"/>
        </w:rPr>
      </w:pPr>
      <w:r>
        <w:rPr>
          <w:rFonts w:ascii="Times New Roman" w:hAnsi="Times New Roman" w:cs="Times New Roman"/>
          <w:bCs/>
          <w:i/>
          <w:iCs/>
          <w:sz w:val="20"/>
          <w:szCs w:val="20"/>
        </w:rPr>
        <w:t>2.7 Key materials</w:t>
      </w:r>
    </w:p>
    <w:p>
      <w:pPr>
        <w:adjustRightInd w:val="0"/>
        <w:snapToGrid w:val="0"/>
        <w:spacing w:line="480" w:lineRule="auto"/>
        <w:ind w:firstLine="400" w:firstLineChars="200"/>
        <w:rPr>
          <w:rFonts w:ascii="Times New Roman" w:hAnsi="Times New Roman" w:cs="Times New Roman"/>
          <w:sz w:val="20"/>
          <w:szCs w:val="20"/>
        </w:rPr>
      </w:pPr>
      <w:r>
        <w:rPr>
          <w:rFonts w:ascii="Times New Roman" w:hAnsi="Times New Roman" w:cs="Times New Roman"/>
          <w:sz w:val="20"/>
          <w:szCs w:val="20"/>
        </w:rPr>
        <w:t>The AGS gastric cancer cell line was purchased from GenoDynamics in Shanghai, China. The DMEM culture medium was purchased from Shanghai Shanran Biotech, also in Shanghai, China. The CCK8 assay kit and apoptosis assay kit were purchased from SinoBiological in Wuhan, China. The fluorescent quantitative PCR reagent kit was purchased from Jiangsu Kangwei Century in China, and the RIPA protein lysis buffer was purchased from Beijing Boruide Biological in China. The LC3 II and p622 antibodies were purchased from Bioss and Proteintech, respectively.</w:t>
      </w:r>
    </w:p>
    <w:p>
      <w:pPr>
        <w:adjustRightInd w:val="0"/>
        <w:snapToGrid w:val="0"/>
        <w:spacing w:line="480" w:lineRule="auto"/>
        <w:outlineLvl w:val="2"/>
        <w:rPr>
          <w:rFonts w:ascii="Times New Roman" w:hAnsi="Times New Roman" w:cs="Times New Roman"/>
          <w:iCs/>
          <w:sz w:val="20"/>
          <w:szCs w:val="20"/>
        </w:rPr>
      </w:pPr>
      <w:r>
        <w:rPr>
          <w:rFonts w:ascii="Times New Roman" w:hAnsi="Times New Roman" w:cs="Times New Roman"/>
          <w:iCs/>
          <w:sz w:val="20"/>
          <w:szCs w:val="20"/>
        </w:rPr>
        <w:t>2.7.1 Cell culture and transfection</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The AGS gastric cancer cell line was cultured in RPMI 1640 medium, supplemented with 10% fetal bovine serum, penicillin (100 U/mL), and streptomycin (100 U/mL). The cells were maintained in an incubator set at 37°C with 5% CO2. Once the cells reached 80%-90% confluency, they were passaged using 1x trypsin-EDTA digestion. All cell lines were tested for mycoplasma contamination. Primers were custom-synthesized by Shanghai Biotech, using the established HAGLR sequence available in the NCBI database as a reference. An optimal number of cells were seeded in a 24-well plate to reach a cell density of 50%-60% suitable for transfection. The transfection of AGS cells was carried out following the instructions for the LipofectamineTM 2000 reagent, resulting in either overexpression or knockdown of HAGLR.</w:t>
      </w:r>
    </w:p>
    <w:p>
      <w:pPr>
        <w:adjustRightInd w:val="0"/>
        <w:snapToGrid w:val="0"/>
        <w:spacing w:line="480" w:lineRule="auto"/>
        <w:outlineLvl w:val="2"/>
        <w:rPr>
          <w:rFonts w:ascii="Times New Roman" w:hAnsi="Times New Roman" w:cs="Times New Roman"/>
          <w:iCs/>
          <w:sz w:val="20"/>
          <w:szCs w:val="20"/>
        </w:rPr>
      </w:pPr>
      <w:r>
        <w:rPr>
          <w:rFonts w:ascii="Times New Roman" w:hAnsi="Times New Roman" w:cs="Times New Roman"/>
          <w:iCs/>
          <w:sz w:val="20"/>
          <w:szCs w:val="20"/>
        </w:rPr>
        <w:t>2.7.2 RNA extraction and real-time fluorescent quantitative PCR</w:t>
      </w:r>
    </w:p>
    <w:p>
      <w:pPr>
        <w:adjustRightInd w:val="0"/>
        <w:snapToGrid w:val="0"/>
        <w:spacing w:line="480" w:lineRule="auto"/>
        <w:ind w:firstLine="400" w:firstLineChars="200"/>
        <w:rPr>
          <w:rStyle w:val="4"/>
          <w:rFonts w:ascii="Times New Roman" w:hAnsi="Times New Roman" w:eastAsia="Consolas" w:cs="Times New Roman"/>
          <w:szCs w:val="20"/>
        </w:rPr>
      </w:pPr>
      <w:r>
        <w:rPr>
          <w:rStyle w:val="4"/>
          <w:rFonts w:ascii="Times New Roman" w:hAnsi="Times New Roman" w:eastAsia="Consolas" w:cs="Times New Roman"/>
          <w:szCs w:val="20"/>
        </w:rPr>
        <w:t xml:space="preserve">Total RNA was extracted from the transfected cells using a Trizol reagent. Primers for HAGLR were designed and synthesized by Takara. Subsequently, the RNA was reverse transcribed into cDNA using the PrimeScript RT and One Step PrimeScript </w:t>
      </w:r>
      <w:r>
        <w:rPr>
          <w:rStyle w:val="4"/>
          <w:rFonts w:ascii="Times New Roman" w:hAnsi="Times New Roman" w:eastAsia="宋体" w:cs="Times New Roman"/>
          <w:szCs w:val="20"/>
        </w:rPr>
        <w:t>Lnc</w:t>
      </w:r>
      <w:r>
        <w:rPr>
          <w:rStyle w:val="4"/>
          <w:rFonts w:ascii="Times New Roman" w:hAnsi="Times New Roman" w:eastAsia="Consolas" w:cs="Times New Roman"/>
          <w:szCs w:val="20"/>
        </w:rPr>
        <w:t>RNA cDNA Synthesis kit, following the manufacturer’s instructions. This cDNA was used for fluorescent quantitative PCR, in line with the instructions on the SYBR® Premix Ex TaqTM II reagent kit.</w:t>
      </w:r>
    </w:p>
    <w:p>
      <w:pPr>
        <w:adjustRightInd w:val="0"/>
        <w:snapToGrid w:val="0"/>
        <w:spacing w:line="480" w:lineRule="auto"/>
        <w:outlineLvl w:val="2"/>
        <w:rPr>
          <w:rFonts w:ascii="Times New Roman" w:hAnsi="Times New Roman" w:cs="Times New Roman"/>
          <w:iCs/>
          <w:sz w:val="20"/>
          <w:szCs w:val="20"/>
        </w:rPr>
      </w:pPr>
      <w:r>
        <w:rPr>
          <w:rFonts w:ascii="Times New Roman" w:hAnsi="Times New Roman" w:cs="Times New Roman"/>
          <w:iCs/>
          <w:sz w:val="20"/>
          <w:szCs w:val="20"/>
        </w:rPr>
        <w:t>2.7.3 Western blotting</w:t>
      </w:r>
    </w:p>
    <w:p>
      <w:pPr>
        <w:adjustRightInd w:val="0"/>
        <w:snapToGrid w:val="0"/>
        <w:spacing w:line="480" w:lineRule="auto"/>
        <w:ind w:firstLine="400" w:firstLineChars="200"/>
        <w:rPr>
          <w:rStyle w:val="4"/>
          <w:rFonts w:ascii="Times New Roman" w:hAnsi="Times New Roman" w:eastAsia="Consolas" w:cs="Times New Roman"/>
          <w:szCs w:val="20"/>
        </w:rPr>
      </w:pPr>
      <w:r>
        <w:rPr>
          <w:rStyle w:val="4"/>
          <w:rFonts w:ascii="Times New Roman" w:hAnsi="Times New Roman" w:eastAsia="Consolas" w:cs="Times New Roman"/>
          <w:szCs w:val="20"/>
        </w:rPr>
        <w:t>Total protein was extracted from AGS cells using a RIPA protein lysis buffer kit. The concentration of the protein was determined using a BCA assay kit after which they were separated through polyacrylamide gel electrophoresis, and transferred to a nitrocellulose (NC) membrane using the wet transfer method. The membrane was blocked with 5% BSA and then incubated with a diluted primary antibody overnight at 4°C. The membrane was washed with PBS, and further incubated with an HRP-conjugated goat anti-rabbit IgG antibody at room temperature. Finally, it was treated with an ECL solution,  covered with plastic wrap, and exposed to X-ray film for visualization. The relative expression of proteins was calculated by comparing the intensity of the target band to that of the reference band (β-actin) using the grayscale value.</w:t>
      </w:r>
    </w:p>
    <w:p>
      <w:pPr>
        <w:adjustRightInd w:val="0"/>
        <w:snapToGrid w:val="0"/>
        <w:spacing w:line="480" w:lineRule="auto"/>
        <w:outlineLvl w:val="2"/>
        <w:rPr>
          <w:rFonts w:ascii="Times New Roman" w:hAnsi="Times New Roman" w:cs="Times New Roman"/>
          <w:iCs/>
          <w:sz w:val="20"/>
          <w:szCs w:val="20"/>
        </w:rPr>
      </w:pPr>
      <w:r>
        <w:rPr>
          <w:rFonts w:ascii="Times New Roman" w:hAnsi="Times New Roman" w:cs="Times New Roman"/>
          <w:iCs/>
          <w:sz w:val="20"/>
          <w:szCs w:val="20"/>
        </w:rPr>
        <w:t>2.7.4 Cell viability assay using CCK-8</w:t>
      </w:r>
    </w:p>
    <w:p>
      <w:pPr>
        <w:adjustRightInd w:val="0"/>
        <w:snapToGrid w:val="0"/>
        <w:spacing w:line="480" w:lineRule="auto"/>
        <w:ind w:firstLine="400" w:firstLineChars="200"/>
        <w:rPr>
          <w:rFonts w:ascii="Times New Roman" w:hAnsi="Times New Roman" w:eastAsia="Consolas" w:cs="Times New Roman"/>
          <w:sz w:val="20"/>
          <w:szCs w:val="20"/>
        </w:rPr>
      </w:pPr>
      <w:r>
        <w:rPr>
          <w:rFonts w:ascii="Times New Roman" w:hAnsi="Times New Roman" w:eastAsia="Consolas" w:cs="Times New Roman"/>
          <w:sz w:val="20"/>
          <w:szCs w:val="20"/>
        </w:rPr>
        <w:t>Cell proliferation was assessed indirectly through the use of the Cell Counting Kit-8 (CCK-8) and a colony formation assay. For the CCK-8 assay, we added 10 mL of CCK-8 solution to each well of a 96-well plate, with each well containing 2500 cancer cells. After incubation at 37°C for 1 h, we measured the absorbance at 450 nm.</w:t>
      </w:r>
    </w:p>
    <w:p>
      <w:pPr>
        <w:adjustRightInd w:val="0"/>
        <w:snapToGrid w:val="0"/>
        <w:spacing w:line="480" w:lineRule="auto"/>
        <w:outlineLvl w:val="2"/>
        <w:rPr>
          <w:rFonts w:ascii="Times New Roman" w:hAnsi="Times New Roman" w:cs="Times New Roman"/>
          <w:iCs/>
          <w:sz w:val="20"/>
          <w:szCs w:val="20"/>
        </w:rPr>
      </w:pPr>
      <w:r>
        <w:rPr>
          <w:rFonts w:ascii="Times New Roman" w:hAnsi="Times New Roman" w:cs="Times New Roman"/>
          <w:iCs/>
          <w:sz w:val="20"/>
          <w:szCs w:val="20"/>
        </w:rPr>
        <w:t>2.7.5 Flow cytometry for cell apoptosis detection</w:t>
      </w:r>
    </w:p>
    <w:p>
      <w:pPr>
        <w:adjustRightInd w:val="0"/>
        <w:snapToGrid w:val="0"/>
        <w:spacing w:line="480" w:lineRule="auto"/>
        <w:outlineLvl w:val="2"/>
        <w:rPr>
          <w:rFonts w:ascii="Times New Roman" w:hAnsi="Times New Roman" w:cs="Times New Roman"/>
          <w:iCs/>
          <w:sz w:val="20"/>
          <w:szCs w:val="20"/>
        </w:rPr>
      </w:pPr>
      <w:r>
        <w:rPr>
          <w:rFonts w:ascii="Times New Roman" w:hAnsi="Times New Roman" w:eastAsia="Consolas" w:cs="Times New Roman"/>
          <w:sz w:val="20"/>
          <w:szCs w:val="20"/>
        </w:rPr>
        <w:t>After incubating cells in various groups for 48 h, they were rinsed with phosphate-buffered saline (PBS) following the instructions on the kit. Finally, flow cytometry was conducted to measure the level of cellular apoptosis.</w:t>
      </w:r>
      <w:r>
        <w:rPr>
          <w:rFonts w:ascii="Times New Roman" w:hAnsi="Times New Roman" w:cs="Times New Roman"/>
          <w:iCs/>
          <w:sz w:val="20"/>
          <w:szCs w:val="20"/>
        </w:rPr>
        <w:t>2.7.6 Transwell assay for cell migration and invasion</w:t>
      </w:r>
    </w:p>
    <w:p>
      <w:pPr>
        <w:adjustRightInd w:val="0"/>
        <w:snapToGrid w:val="0"/>
        <w:spacing w:line="480" w:lineRule="auto"/>
        <w:ind w:firstLine="400" w:firstLineChars="200"/>
        <w:rPr>
          <w:rStyle w:val="4"/>
          <w:rFonts w:ascii="Times New Roman" w:hAnsi="Times New Roman" w:eastAsia="Consolas" w:cs="Times New Roman"/>
          <w:szCs w:val="20"/>
        </w:rPr>
      </w:pPr>
      <w:r>
        <w:rPr>
          <w:rStyle w:val="4"/>
          <w:rFonts w:ascii="Times New Roman" w:hAnsi="Times New Roman" w:eastAsia="Consolas" w:cs="Times New Roman"/>
          <w:szCs w:val="20"/>
        </w:rPr>
        <w:t>Cells in each group were processed into a cell suspension with a concentration of 1×104 cells/ml. 100 μl of this cell suspension was then added to the upper chamber of the transwell inserts. After culturing for 24 h, cells were fixed with formaldehyde and stained with crystal violet. Subsequently, the cells were observed and counted under a microscope. For the cell invasion experiment, Matrigel was applied to the upper chamber of the transwell inserts, allowing it to solidify before seeding the cells. The procedure was then carried out as described for the cell migration assay.</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0YTc0NzZlODI1NTYzNjRkZmMzNGRmNDA2OWYwNjgifQ=="/>
  </w:docVars>
  <w:rsids>
    <w:rsidRoot w:val="0A103FAE"/>
    <w:rsid w:val="0A103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TML Code"/>
    <w:basedOn w:val="3"/>
    <w:qFormat/>
    <w:uiPriority w:val="0"/>
    <w:rPr>
      <w:rFonts w:ascii="Courier New" w:hAnsi="Courier New"/>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2023-09-04T09:18:00Z</dcterms:created>
  <dc:creator>小朋友</dc:creator>
  <cp:lastModifiedBy>小朋友</cp:lastModifiedBy>
  <dcterms:modified xsi:type="dcterms:W3CDTF">2023-09-04T09:19:00Z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ACBDAC59034843B9ACE632B5E477F334_11</vt:lpwstr>
  </property>
</Properties>
</file>