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宋体" w:cs="Times New Roman"/>
          <w:b/>
          <w:bCs/>
          <w:i/>
          <w:iCs/>
          <w:color w:val="000000"/>
          <w:kern w:val="0"/>
          <w:sz w:val="31"/>
          <w:szCs w:val="31"/>
          <w:lang w:val="en-US" w:eastAsia="zh-CN" w:bidi="ar"/>
        </w:rPr>
        <w:t>Supplementary Material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Supplementary Figures</w:t>
      </w: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>
      <w:pPr>
        <w:jc w:val="center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 w:eastAsiaTheme="minorEastAsia"/>
          <w:lang w:val="en-US" w:eastAsia="zh-CN"/>
        </w:rPr>
        <w:drawing>
          <wp:inline distT="0" distB="0" distL="114300" distR="114300">
            <wp:extent cx="4651375" cy="1981200"/>
            <wp:effectExtent l="0" t="0" r="12065" b="0"/>
            <wp:docPr id="2" name="图片 2" descr="Ven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Venn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51375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Supplementary Figure 1</w:t>
      </w:r>
      <w:r>
        <w:rPr>
          <w:rFonts w:hint="default" w:ascii="Times New Roman" w:hAnsi="Times New Roman" w:cs="Times New Roman" w:eastAsiaTheme="minorEastAsia"/>
          <w:lang w:val="en-US" w:eastAsia="zh-CN"/>
        </w:rPr>
        <w:t>.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The detected metabolites in each group.</w:t>
      </w:r>
    </w:p>
    <w:p>
      <w:pPr>
        <w:jc w:val="center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5267325" cy="2245995"/>
            <wp:effectExtent l="0" t="0" r="5715" b="9525"/>
            <wp:docPr id="3" name="图片 3" descr="粪便QC样本检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粪便QC样本检测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24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Supplementary Figure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 w:eastAsiaTheme="minorEastAsia"/>
          <w:lang w:val="en-US" w:eastAsia="zh-CN"/>
        </w:rPr>
        <w:t>.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QC sample evaluation chart under positive and negative ion modes.</w:t>
      </w:r>
    </w:p>
    <w:p>
      <w:pPr>
        <w:jc w:val="center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5273040" cy="3895090"/>
            <wp:effectExtent l="0" t="0" r="0" b="6350"/>
            <wp:docPr id="5" name="图片 5" descr="Fig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895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Supplementary Figure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 xml:space="preserve">(A) </w:t>
      </w:r>
      <w:r>
        <w:rPr>
          <w:rFonts w:hint="default" w:ascii="Times New Roman" w:hAnsi="Times New Roman" w:cs="Times New Roman"/>
          <w:sz w:val="24"/>
          <w:szCs w:val="24"/>
        </w:rPr>
        <w:t>OPLS-DA,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and </w:t>
      </w:r>
      <w:r>
        <w:rPr>
          <w:rFonts w:hint="default" w:ascii="Times New Roman" w:hAnsi="Times New Roman" w:cs="Times New Roman"/>
          <w:sz w:val="24"/>
          <w:szCs w:val="24"/>
        </w:rPr>
        <w:t xml:space="preserve">S-plot under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positive ion</w:t>
      </w:r>
      <w:r>
        <w:rPr>
          <w:rFonts w:hint="default" w:ascii="Times New Roman" w:hAnsi="Times New Roman" w:cs="Times New Roman"/>
          <w:sz w:val="24"/>
          <w:szCs w:val="24"/>
        </w:rPr>
        <w:t xml:space="preserve"> mode obtained by comparing the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CIA</w:t>
      </w:r>
      <w:r>
        <w:rPr>
          <w:rFonts w:hint="default" w:ascii="Times New Roman" w:hAnsi="Times New Roman" w:cs="Times New Roman"/>
          <w:sz w:val="24"/>
          <w:szCs w:val="24"/>
        </w:rPr>
        <w:t xml:space="preserve"> group with the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N</w:t>
      </w:r>
      <w:r>
        <w:rPr>
          <w:rFonts w:hint="default" w:ascii="Times New Roman" w:hAnsi="Times New Roman" w:cs="Times New Roman"/>
          <w:sz w:val="24"/>
          <w:szCs w:val="24"/>
        </w:rPr>
        <w:t xml:space="preserve"> group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</w:p>
    <w:p>
      <w:pPr>
        <w:numPr>
          <w:ilvl w:val="0"/>
          <w:numId w:val="2"/>
        </w:num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OPLS-DA,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and </w:t>
      </w:r>
      <w:r>
        <w:rPr>
          <w:rFonts w:hint="default" w:ascii="Times New Roman" w:hAnsi="Times New Roman" w:cs="Times New Roman"/>
          <w:sz w:val="24"/>
          <w:szCs w:val="24"/>
        </w:rPr>
        <w:t xml:space="preserve">S-plot under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positive ion</w:t>
      </w:r>
      <w:r>
        <w:rPr>
          <w:rFonts w:hint="default" w:ascii="Times New Roman" w:hAnsi="Times New Roman" w:cs="Times New Roman"/>
          <w:sz w:val="24"/>
          <w:szCs w:val="24"/>
        </w:rPr>
        <w:t xml:space="preserve"> mode obtained by comparing the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CIA</w:t>
      </w:r>
      <w:r>
        <w:rPr>
          <w:rFonts w:hint="default" w:ascii="Times New Roman" w:hAnsi="Times New Roman" w:cs="Times New Roman"/>
          <w:sz w:val="24"/>
          <w:szCs w:val="24"/>
        </w:rPr>
        <w:t xml:space="preserve"> group with the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Mel</w:t>
      </w:r>
      <w:r>
        <w:rPr>
          <w:rFonts w:hint="default" w:ascii="Times New Roman" w:hAnsi="Times New Roman" w:cs="Times New Roman"/>
          <w:sz w:val="24"/>
          <w:szCs w:val="24"/>
        </w:rPr>
        <w:t xml:space="preserve"> group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</w:p>
    <w:p>
      <w:pPr>
        <w:widowControl w:val="0"/>
        <w:numPr>
          <w:numId w:val="0"/>
        </w:num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numPr>
          <w:numId w:val="0"/>
        </w:num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5267325" cy="2947035"/>
            <wp:effectExtent l="0" t="0" r="5715" b="9525"/>
            <wp:docPr id="6" name="图片 6" descr="Fig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S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947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Supplementary Figure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D</w:t>
      </w:r>
      <w:r>
        <w:rPr>
          <w:rFonts w:hint="default" w:ascii="Times New Roman" w:hAnsi="Times New Roman" w:cs="Times New Roman"/>
          <w:sz w:val="24"/>
          <w:szCs w:val="24"/>
        </w:rPr>
        <w:t xml:space="preserve">ifferential metabolites by comparing the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CIA</w:t>
      </w:r>
      <w:r>
        <w:rPr>
          <w:rFonts w:hint="default" w:ascii="Times New Roman" w:hAnsi="Times New Roman" w:cs="Times New Roman"/>
          <w:sz w:val="24"/>
          <w:szCs w:val="24"/>
        </w:rPr>
        <w:t xml:space="preserve"> group with the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N</w:t>
      </w:r>
      <w:r>
        <w:rPr>
          <w:rFonts w:hint="default" w:ascii="Times New Roman" w:hAnsi="Times New Roman" w:cs="Times New Roman"/>
          <w:sz w:val="24"/>
          <w:szCs w:val="24"/>
        </w:rPr>
        <w:t xml:space="preserve"> group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</w:p>
    <w:p>
      <w:pPr>
        <w:numPr>
          <w:numId w:val="0"/>
        </w:num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numPr>
          <w:numId w:val="0"/>
        </w:num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5273040" cy="1527810"/>
            <wp:effectExtent l="0" t="0" r="0" b="11430"/>
            <wp:docPr id="7" name="图片 7" descr="Fig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S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52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Supplementary Figure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D</w:t>
      </w:r>
      <w:r>
        <w:rPr>
          <w:rFonts w:hint="default" w:ascii="Times New Roman" w:hAnsi="Times New Roman" w:cs="Times New Roman"/>
          <w:sz w:val="24"/>
          <w:szCs w:val="24"/>
        </w:rPr>
        <w:t xml:space="preserve">ifferential metabolites by comparing the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CIA</w:t>
      </w:r>
      <w:r>
        <w:rPr>
          <w:rFonts w:hint="default" w:ascii="Times New Roman" w:hAnsi="Times New Roman" w:cs="Times New Roman"/>
          <w:sz w:val="24"/>
          <w:szCs w:val="24"/>
        </w:rPr>
        <w:t xml:space="preserve"> group with the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Mel</w:t>
      </w:r>
      <w:r>
        <w:rPr>
          <w:rFonts w:hint="default" w:ascii="Times New Roman" w:hAnsi="Times New Roman" w:cs="Times New Roman"/>
          <w:sz w:val="24"/>
          <w:szCs w:val="24"/>
        </w:rPr>
        <w:t xml:space="preserve"> group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</w:p>
    <w:p>
      <w:pPr>
        <w:jc w:val="both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2.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Supplementary Table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s</w:t>
      </w:r>
    </w:p>
    <w:p>
      <w:pPr>
        <w:jc w:val="both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both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Supplementary Table1. The 9 metabolites identified that can discriminate CIA from N group.</w:t>
      </w:r>
    </w:p>
    <w:tbl>
      <w:tblPr>
        <w:tblStyle w:val="2"/>
        <w:tblW w:w="984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64"/>
        <w:gridCol w:w="996"/>
        <w:gridCol w:w="924"/>
        <w:gridCol w:w="1164"/>
        <w:gridCol w:w="924"/>
        <w:gridCol w:w="1104"/>
        <w:gridCol w:w="9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19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19"/>
                <w:szCs w:val="24"/>
              </w:rPr>
              <w:t>Metabolite/pathway</w:t>
            </w:r>
          </w:p>
        </w:tc>
        <w:tc>
          <w:tcPr>
            <w:tcW w:w="9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19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19"/>
                <w:szCs w:val="24"/>
              </w:rPr>
              <w:t>Ion mode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2"/>
                <w:szCs w:val="24"/>
              </w:rPr>
              <w:t>VIP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2"/>
                <w:szCs w:val="24"/>
              </w:rPr>
              <w:t>p-value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19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19"/>
                <w:szCs w:val="24"/>
              </w:rPr>
              <w:t>F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19"/>
                <w:szCs w:val="24"/>
                <w:lang w:val="en-US" w:eastAsia="zh-CN"/>
              </w:rPr>
              <w:t>DR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19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19"/>
                <w:szCs w:val="24"/>
              </w:rPr>
              <w:t>m/z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19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19"/>
                <w:szCs w:val="24"/>
              </w:rPr>
              <w:t>rt(s)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6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Butyl (S)-3-hydroxybutyrate [arabinosyl-(1-&gt;6)-glucoside]</w:t>
            </w:r>
          </w:p>
        </w:tc>
        <w:tc>
          <w:tcPr>
            <w:tcW w:w="996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neg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2.6412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0.005747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0.1806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435.1886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2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3.988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Glutamylproline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neg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2.5724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0.005889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0.1806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2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487.204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szCs w:val="24"/>
                <w:lang w:val="en-US" w:eastAsia="zh-CN"/>
              </w:rPr>
              <w:t>7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4.2437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Alanylproline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neg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2.4509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0.01022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0.1864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2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557.294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szCs w:val="24"/>
                <w:lang w:val="en-US" w:eastAsia="zh-CN"/>
              </w:rPr>
              <w:t>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2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4.459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szCs w:val="24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Isoleucyl-Lysine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neg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2.0979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0.01871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0.2017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258.1823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2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1.028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szCs w:val="24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Threonylphenylalanine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neg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2.2569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0.01927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0.2032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265.1196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2.481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Phenylalanylaspartic acid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neg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2.2153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0.03042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0.2156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279.0989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2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2.497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Lysyllysine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pos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2.6093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0.03713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0.2068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2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138.107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szCs w:val="24"/>
                <w:lang w:val="en-US" w:eastAsia="zh-CN"/>
              </w:rPr>
              <w:t>3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0.5001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Serylglutamine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pos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2.0924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0.04228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0.2196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2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508.239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szCs w:val="24"/>
                <w:lang w:val="en-US" w:eastAsia="zh-CN"/>
              </w:rPr>
              <w:t>8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3.7153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64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Tryptophyl-Histidine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pos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2.0014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0.0467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0.2286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306.1337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22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2.316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szCs w:val="24"/>
                <w:lang w:val="en-US" w:eastAsia="zh-CN"/>
              </w:rPr>
              <w:t>7</w:t>
            </w:r>
          </w:p>
        </w:tc>
      </w:tr>
    </w:tbl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Supplementary Table2. The 7 metabolites identified that can discriminate CIA from N group.</w:t>
      </w:r>
      <w:bookmarkStart w:id="0" w:name="_GoBack"/>
      <w:bookmarkEnd w:id="0"/>
    </w:p>
    <w:tbl>
      <w:tblPr>
        <w:tblStyle w:val="2"/>
        <w:tblW w:w="9811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7"/>
        <w:gridCol w:w="1008"/>
        <w:gridCol w:w="1032"/>
        <w:gridCol w:w="1044"/>
        <w:gridCol w:w="1080"/>
        <w:gridCol w:w="1080"/>
        <w:gridCol w:w="89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19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19"/>
                <w:szCs w:val="24"/>
              </w:rPr>
              <w:t>Metabolite/pathway</w:t>
            </w:r>
          </w:p>
        </w:tc>
        <w:tc>
          <w:tcPr>
            <w:tcW w:w="10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19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19"/>
                <w:szCs w:val="24"/>
              </w:rPr>
              <w:t>Ion mode</w:t>
            </w:r>
          </w:p>
        </w:tc>
        <w:tc>
          <w:tcPr>
            <w:tcW w:w="103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2"/>
                <w:szCs w:val="24"/>
              </w:rPr>
              <w:t>VIP</w:t>
            </w:r>
          </w:p>
        </w:tc>
        <w:tc>
          <w:tcPr>
            <w:tcW w:w="104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2"/>
                <w:szCs w:val="24"/>
              </w:rPr>
              <w:t>p-value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19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19"/>
                <w:szCs w:val="24"/>
              </w:rPr>
              <w:t>F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19"/>
                <w:szCs w:val="24"/>
                <w:lang w:val="en-US" w:eastAsia="zh-CN"/>
              </w:rPr>
              <w:t>DR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19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19"/>
                <w:szCs w:val="24"/>
              </w:rPr>
              <w:t>m/z</w:t>
            </w:r>
          </w:p>
        </w:tc>
        <w:tc>
          <w:tcPr>
            <w:tcW w:w="8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19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19"/>
                <w:szCs w:val="24"/>
              </w:rPr>
              <w:t>rt(s)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77" w:type="dxa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Histidylglycine</w:t>
            </w:r>
          </w:p>
        </w:tc>
        <w:tc>
          <w:tcPr>
            <w:tcW w:w="1008" w:type="dxa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pos</w:t>
            </w:r>
          </w:p>
        </w:tc>
        <w:tc>
          <w:tcPr>
            <w:tcW w:w="1032" w:type="dxa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3.4399</w:t>
            </w:r>
          </w:p>
        </w:tc>
        <w:tc>
          <w:tcPr>
            <w:tcW w:w="1044" w:type="dxa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1.26E-06</w:t>
            </w:r>
          </w:p>
        </w:tc>
        <w:tc>
          <w:tcPr>
            <w:tcW w:w="1080" w:type="dxa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0.005837</w:t>
            </w:r>
          </w:p>
        </w:tc>
        <w:tc>
          <w:tcPr>
            <w:tcW w:w="1080" w:type="dxa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230.1243</w:t>
            </w:r>
          </w:p>
        </w:tc>
        <w:tc>
          <w:tcPr>
            <w:tcW w:w="890" w:type="dxa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1.2977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7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Butyl (S)-3-hydroxybutyrate [arabinosyl-(1-&gt;6)-glucoside]</w:t>
            </w:r>
          </w:p>
        </w:tc>
        <w:tc>
          <w:tcPr>
            <w:tcW w:w="100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neg</w:t>
            </w:r>
          </w:p>
        </w:tc>
        <w:tc>
          <w:tcPr>
            <w:tcW w:w="1032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2.752</w:t>
            </w:r>
          </w:p>
        </w:tc>
        <w:tc>
          <w:tcPr>
            <w:tcW w:w="104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0.0004792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0.1596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435.1886</w:t>
            </w:r>
          </w:p>
        </w:tc>
        <w:tc>
          <w:tcPr>
            <w:tcW w:w="89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3.9882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7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4-phenylbutanic acid-O-sulphate</w:t>
            </w:r>
          </w:p>
        </w:tc>
        <w:tc>
          <w:tcPr>
            <w:tcW w:w="100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neg</w:t>
            </w:r>
          </w:p>
        </w:tc>
        <w:tc>
          <w:tcPr>
            <w:tcW w:w="1032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2.5479</w:t>
            </w:r>
          </w:p>
        </w:tc>
        <w:tc>
          <w:tcPr>
            <w:tcW w:w="104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0.002842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0.2079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289.0389</w:t>
            </w:r>
          </w:p>
        </w:tc>
        <w:tc>
          <w:tcPr>
            <w:tcW w:w="89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4.1569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7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Butyric acid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neg</w:t>
            </w:r>
          </w:p>
        </w:tc>
        <w:tc>
          <w:tcPr>
            <w:tcW w:w="1032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2.5547</w:t>
            </w:r>
          </w:p>
        </w:tc>
        <w:tc>
          <w:tcPr>
            <w:tcW w:w="104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0.005925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0.2079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263.1501</w:t>
            </w:r>
          </w:p>
        </w:tc>
        <w:tc>
          <w:tcPr>
            <w:tcW w:w="89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5.1188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7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Glutamylproline</w:t>
            </w:r>
          </w:p>
        </w:tc>
        <w:tc>
          <w:tcPr>
            <w:tcW w:w="100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neg</w:t>
            </w:r>
          </w:p>
        </w:tc>
        <w:tc>
          <w:tcPr>
            <w:tcW w:w="1032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2.2778</w:t>
            </w:r>
          </w:p>
        </w:tc>
        <w:tc>
          <w:tcPr>
            <w:tcW w:w="104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0.007933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0.2079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487.2047</w:t>
            </w:r>
          </w:p>
        </w:tc>
        <w:tc>
          <w:tcPr>
            <w:tcW w:w="89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4.2437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7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Serylglutamine</w:t>
            </w:r>
          </w:p>
        </w:tc>
        <w:tc>
          <w:tcPr>
            <w:tcW w:w="100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pos</w:t>
            </w:r>
          </w:p>
        </w:tc>
        <w:tc>
          <w:tcPr>
            <w:tcW w:w="1032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2.5202</w:t>
            </w:r>
          </w:p>
        </w:tc>
        <w:tc>
          <w:tcPr>
            <w:tcW w:w="104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0.02688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0.2864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508.2398</w:t>
            </w:r>
          </w:p>
        </w:tc>
        <w:tc>
          <w:tcPr>
            <w:tcW w:w="89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3.7153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77" w:type="dxa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Phenylalanylaspartic acid</w:t>
            </w:r>
          </w:p>
        </w:tc>
        <w:tc>
          <w:tcPr>
            <w:tcW w:w="1008" w:type="dxa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neg</w:t>
            </w:r>
          </w:p>
        </w:tc>
        <w:tc>
          <w:tcPr>
            <w:tcW w:w="1032" w:type="dxa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2.2215</w:t>
            </w:r>
          </w:p>
        </w:tc>
        <w:tc>
          <w:tcPr>
            <w:tcW w:w="1044" w:type="dxa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0.03944</w:t>
            </w:r>
          </w:p>
        </w:tc>
        <w:tc>
          <w:tcPr>
            <w:tcW w:w="1080" w:type="dxa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0.2464</w:t>
            </w:r>
          </w:p>
        </w:tc>
        <w:tc>
          <w:tcPr>
            <w:tcW w:w="1080" w:type="dxa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279.0989</w:t>
            </w:r>
          </w:p>
        </w:tc>
        <w:tc>
          <w:tcPr>
            <w:tcW w:w="890" w:type="dxa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2.4974</w:t>
            </w:r>
          </w:p>
        </w:tc>
      </w:tr>
    </w:tbl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08E5E0"/>
    <w:multiLevelType w:val="singleLevel"/>
    <w:tmpl w:val="4708E5E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944E37A"/>
    <w:multiLevelType w:val="singleLevel"/>
    <w:tmpl w:val="6944E37A"/>
    <w:lvl w:ilvl="0" w:tentative="0">
      <w:start w:val="2"/>
      <w:numFmt w:val="upperLetter"/>
      <w:suff w:val="space"/>
      <w:lvlText w:val="(%1)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lMDRkNjMzYjBlYzNkYjcwMmFiNDgzNzVkYTk1ZWEifQ=="/>
  </w:docVars>
  <w:rsids>
    <w:rsidRoot w:val="00172A27"/>
    <w:rsid w:val="07FC5336"/>
    <w:rsid w:val="09E210B9"/>
    <w:rsid w:val="11417F12"/>
    <w:rsid w:val="2116556C"/>
    <w:rsid w:val="2251577C"/>
    <w:rsid w:val="26F53343"/>
    <w:rsid w:val="296E5EF3"/>
    <w:rsid w:val="2D597CE1"/>
    <w:rsid w:val="2FA8676C"/>
    <w:rsid w:val="2FAE79D8"/>
    <w:rsid w:val="30A275C0"/>
    <w:rsid w:val="35456DE3"/>
    <w:rsid w:val="36E3011C"/>
    <w:rsid w:val="37D82684"/>
    <w:rsid w:val="37F13211"/>
    <w:rsid w:val="418A4B29"/>
    <w:rsid w:val="42A054DF"/>
    <w:rsid w:val="462F542D"/>
    <w:rsid w:val="47292DA3"/>
    <w:rsid w:val="47383DFA"/>
    <w:rsid w:val="52964887"/>
    <w:rsid w:val="6C793C55"/>
    <w:rsid w:val="6EA05728"/>
    <w:rsid w:val="74B80F17"/>
    <w:rsid w:val="759D1CBC"/>
    <w:rsid w:val="7700078C"/>
    <w:rsid w:val="7CD40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254</Words>
  <Characters>1729</Characters>
  <Lines>0</Lines>
  <Paragraphs>0</Paragraphs>
  <TotalTime>0</TotalTime>
  <ScaleCrop>false</ScaleCrop>
  <LinksUpToDate>false</LinksUpToDate>
  <CharactersWithSpaces>1846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2023-09-02T08:28:00Z</dcterms:created>
  <dc:creator>C pang p</dc:creator>
  <cp:lastModifiedBy>C pang p</cp:lastModifiedBy>
  <dcterms:modified xsi:type="dcterms:W3CDTF">2023-09-02T10:17:02Z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15874156A94A4626A9FDEEB02C127AAC_11</vt:lpwstr>
  </property>
</Properties>
</file>