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76" w:rsidRPr="002C6FDE" w:rsidRDefault="00065AFC">
      <w:pPr>
        <w:spacing w:line="480" w:lineRule="auto"/>
        <w:jc w:val="lef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C6F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Supporting Information for:</w:t>
      </w:r>
    </w:p>
    <w:p w:rsidR="00136476" w:rsidRPr="002C6FDE" w:rsidRDefault="00065AFC">
      <w:pPr>
        <w:spacing w:line="480" w:lineRule="auto"/>
        <w:rPr>
          <w:rFonts w:ascii="Times New Roman" w:eastAsia="黑体" w:hAnsi="Times New Roman" w:cs="Times New Roman"/>
          <w:b/>
          <w:bCs/>
          <w:color w:val="000000" w:themeColor="text1"/>
          <w:sz w:val="30"/>
          <w:szCs w:val="30"/>
        </w:rPr>
      </w:pPr>
      <w:r w:rsidRPr="002C6FDE">
        <w:rPr>
          <w:rFonts w:ascii="Times New Roman" w:eastAsia="黑体" w:hAnsi="Times New Roman" w:cs="Times New Roman"/>
          <w:b/>
          <w:bCs/>
          <w:color w:val="000000" w:themeColor="text1"/>
          <w:sz w:val="30"/>
          <w:szCs w:val="30"/>
        </w:rPr>
        <w:t>Well-constructed a</w:t>
      </w:r>
      <w:bookmarkStart w:id="0" w:name="_GoBack"/>
      <w:bookmarkEnd w:id="0"/>
      <w:r w:rsidRPr="002C6FDE">
        <w:rPr>
          <w:rFonts w:ascii="Times New Roman" w:eastAsia="黑体" w:hAnsi="Times New Roman" w:cs="Times New Roman"/>
          <w:b/>
          <w:bCs/>
          <w:color w:val="000000" w:themeColor="text1"/>
          <w:sz w:val="30"/>
          <w:szCs w:val="30"/>
        </w:rPr>
        <w:t xml:space="preserve"> water stable Cu-BTC@TpPa-1 binary composite with excellent capture ability toward malachite green </w:t>
      </w:r>
    </w:p>
    <w:p w:rsidR="00B8455D" w:rsidRPr="00B8455D" w:rsidRDefault="00B8455D" w:rsidP="00B8455D">
      <w:pPr>
        <w:autoSpaceDE w:val="0"/>
        <w:autoSpaceDN w:val="0"/>
        <w:adjustRightInd w:val="0"/>
        <w:spacing w:line="480" w:lineRule="auto"/>
        <w:rPr>
          <w:rFonts w:ascii="Times New Roman" w:eastAsia="黑体" w:hAnsi="Times New Roman" w:cs="Times New Roman"/>
          <w:color w:val="000000" w:themeColor="text1"/>
          <w:kern w:val="0"/>
          <w:szCs w:val="21"/>
        </w:rPr>
      </w:pPr>
      <w:r w:rsidRPr="00B8455D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Jiaying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</w:rPr>
        <w:t xml:space="preserve"> Zou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  <w:vertAlign w:val="superscript"/>
        </w:rPr>
        <w:t>1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</w:rPr>
        <w:t>·Yan Li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  <w:vertAlign w:val="superscript"/>
        </w:rPr>
        <w:t>2</w:t>
      </w:r>
      <w:bookmarkStart w:id="1" w:name="_Hlk6906486"/>
      <w:r w:rsidRPr="00B8455D">
        <w:rPr>
          <w:rFonts w:ascii="Times New Roman" w:eastAsia="黑体" w:hAnsi="Times New Roman" w:cs="Times New Roman"/>
          <w:color w:val="000000" w:themeColor="text1"/>
          <w:szCs w:val="21"/>
        </w:rPr>
        <w:t>·</w:t>
      </w:r>
      <w:r w:rsidRPr="00B8455D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Haotian Dong</w:t>
      </w:r>
      <w:r w:rsidRPr="00B8455D">
        <w:rPr>
          <w:rFonts w:ascii="Times New Roman" w:hAnsi="Times New Roman" w:cs="Times New Roman"/>
          <w:bCs/>
          <w:color w:val="000000" w:themeColor="text1"/>
          <w:kern w:val="0"/>
          <w:szCs w:val="21"/>
          <w:vertAlign w:val="superscript"/>
        </w:rPr>
        <w:t>2</w:t>
      </w:r>
      <w:bookmarkEnd w:id="1"/>
      <w:r w:rsidRPr="00B8455D">
        <w:rPr>
          <w:rFonts w:ascii="Times New Roman" w:eastAsia="黑体" w:hAnsi="Times New Roman" w:cs="Times New Roman"/>
          <w:color w:val="000000" w:themeColor="text1"/>
          <w:szCs w:val="21"/>
        </w:rPr>
        <w:t>·</w:t>
      </w:r>
      <w:r w:rsidRPr="00B8455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 xml:space="preserve"> </w:t>
      </w:r>
      <w:r w:rsidRPr="00B8455D">
        <w:rPr>
          <w:rFonts w:ascii="Times New Roman" w:eastAsia="黑体" w:hAnsi="Times New Roman" w:cs="Times New Roman"/>
          <w:color w:val="000000" w:themeColor="text1"/>
          <w:kern w:val="0"/>
          <w:szCs w:val="21"/>
        </w:rPr>
        <w:t>Na Ma</w:t>
      </w:r>
      <w:r w:rsidRPr="00B8455D">
        <w:rPr>
          <w:rFonts w:ascii="Times New Roman" w:eastAsia="黑体" w:hAnsi="Times New Roman" w:cs="Times New Roman"/>
          <w:color w:val="000000" w:themeColor="text1"/>
          <w:kern w:val="0"/>
          <w:szCs w:val="21"/>
          <w:vertAlign w:val="superscript"/>
        </w:rPr>
        <w:t>2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</w:rPr>
        <w:t>·</w:t>
      </w:r>
      <w:r w:rsidRPr="00B8455D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 xml:space="preserve">and 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</w:rPr>
        <w:t xml:space="preserve">Wei Dai </w:t>
      </w:r>
      <w:r w:rsidRPr="00B8455D">
        <w:rPr>
          <w:rFonts w:ascii="Times New Roman" w:eastAsia="黑体" w:hAnsi="Times New Roman" w:cs="Times New Roman"/>
          <w:color w:val="000000" w:themeColor="text1"/>
          <w:szCs w:val="21"/>
          <w:vertAlign w:val="superscript"/>
        </w:rPr>
        <w:t>1,</w:t>
      </w:r>
      <w:r w:rsidRPr="00B8455D">
        <w:rPr>
          <w:rFonts w:ascii="Times New Roman" w:eastAsia="黑体" w:hAnsi="Times New Roman" w:cs="Times New Roman"/>
          <w:color w:val="000000" w:themeColor="text1"/>
          <w:kern w:val="0"/>
          <w:szCs w:val="21"/>
        </w:rPr>
        <w:t>*</w:t>
      </w:r>
    </w:p>
    <w:p w:rsidR="00B8455D" w:rsidRPr="00B8455D" w:rsidRDefault="00B8455D" w:rsidP="00B845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B8455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1</w:t>
      </w:r>
      <w:r w:rsidRPr="00B8455D">
        <w:rPr>
          <w:rFonts w:ascii="Times New Roman" w:hAnsi="Times New Roman" w:cs="Times New Roman"/>
          <w:bCs/>
          <w:color w:val="000000" w:themeColor="text1"/>
          <w:kern w:val="0"/>
          <w:szCs w:val="21"/>
        </w:rPr>
        <w:t>Key Laboratory of the Ministry of Education for Advanced Catalysis Materials,</w:t>
      </w:r>
      <w:r w:rsidRPr="00B8455D">
        <w:rPr>
          <w:rFonts w:ascii="Times New Roman" w:hAnsi="Times New Roman" w:cs="Times New Roman"/>
          <w:color w:val="000000" w:themeColor="text1"/>
          <w:szCs w:val="21"/>
        </w:rPr>
        <w:t xml:space="preserve"> College of Chemistry and Materials Science, Zhejiang Normal University, Jinhua 321004, People’s Republic of China</w:t>
      </w:r>
    </w:p>
    <w:p w:rsidR="00B8455D" w:rsidRPr="00B8455D" w:rsidRDefault="00B8455D" w:rsidP="00B845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8455D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2</w:t>
      </w:r>
      <w:r w:rsidRPr="00B8455D">
        <w:rPr>
          <w:rFonts w:ascii="Times New Roman" w:hAnsi="Times New Roman" w:cs="Times New Roman"/>
          <w:color w:val="000000" w:themeColor="text1"/>
          <w:kern w:val="0"/>
          <w:szCs w:val="21"/>
        </w:rPr>
        <w:t>College of Geography and Environmental Sciences, Zhejiang Normal University, Jinhua 321004, People’s Republic of China</w:t>
      </w:r>
    </w:p>
    <w:p w:rsidR="00B8455D" w:rsidRPr="00B8455D" w:rsidRDefault="00B8455D" w:rsidP="00B845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kern w:val="0"/>
          <w:szCs w:val="21"/>
        </w:rPr>
      </w:pPr>
      <w:r w:rsidRPr="00B8455D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 xml:space="preserve">Corresponding author: </w:t>
      </w:r>
    </w:p>
    <w:p w:rsidR="00B8455D" w:rsidRPr="00B8455D" w:rsidRDefault="00B8455D" w:rsidP="00B845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8455D">
        <w:rPr>
          <w:rFonts w:ascii="Times New Roman" w:hAnsi="Times New Roman" w:cs="Times New Roman"/>
          <w:color w:val="000000" w:themeColor="text1"/>
          <w:kern w:val="0"/>
          <w:szCs w:val="21"/>
        </w:rPr>
        <w:t>Prof. Wei Dai</w:t>
      </w:r>
    </w:p>
    <w:p w:rsidR="00B8455D" w:rsidRPr="00B8455D" w:rsidRDefault="00B8455D" w:rsidP="00B8455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B8455D">
        <w:rPr>
          <w:rFonts w:ascii="Times New Roman" w:hAnsi="Times New Roman" w:cs="Times New Roman"/>
          <w:color w:val="000000" w:themeColor="text1"/>
          <w:kern w:val="0"/>
          <w:szCs w:val="21"/>
        </w:rPr>
        <w:t>E-mail: daiwei@zjnu.edu.cn</w:t>
      </w:r>
    </w:p>
    <w:p w:rsidR="00136476" w:rsidRPr="002C6FDE" w:rsidRDefault="00065AFC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</w:pPr>
      <w:r w:rsidRPr="002C6FDE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2C6FD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ection I</w:t>
      </w:r>
    </w:p>
    <w:p w:rsidR="00136476" w:rsidRPr="002C6FDE" w:rsidRDefault="00065AFC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</w:pPr>
      <w:r w:rsidRPr="002C6FD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Chemicals</w:t>
      </w:r>
      <w:r w:rsidRPr="002C6FDE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 xml:space="preserve"> and i</w:t>
      </w:r>
      <w:r w:rsidRPr="002C6FD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nstruments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Reagents required include 1, 3, 5-triformylphloroglucinol (TP</w:t>
      </w:r>
      <w:bookmarkStart w:id="2" w:name="_Hlk109982362"/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9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8%</w:t>
      </w:r>
      <w:bookmarkEnd w:id="2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ethanol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p-phenylenediamine (Pa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，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9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9%)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acetic acid(CH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COOH, </w:t>
      </w:r>
      <w:bookmarkStart w:id="3" w:name="_Hlk109982481"/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99.5%)</w:t>
      </w:r>
      <w:bookmarkEnd w:id="3"/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dioxane</w:t>
      </w:r>
      <w:bookmarkStart w:id="4" w:name="_Hlk109982498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99.5%)</w:t>
      </w:r>
      <w:bookmarkEnd w:id="4"/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anhydrous THF</w:t>
      </w:r>
      <w:bookmarkStart w:id="5" w:name="_Hlk109982508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99.5%)</w:t>
      </w:r>
      <w:bookmarkEnd w:id="5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anhydrous acetone(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99.5%), and anhydrous CH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Cl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99.5%)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anhydrous CH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OH(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99.5%)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mesitylene </w:t>
      </w:r>
      <w:bookmarkStart w:id="6" w:name="_Hlk109982407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(99%) CH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OH (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≥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99.7%)</w:t>
      </w:r>
      <w:bookmarkEnd w:id="6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1,3,5-benzenetricarboxylic acid (H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BTC, 98%), </w:t>
      </w:r>
      <w:bookmarkStart w:id="7" w:name="_Hlk109983653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ala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chite green</w:t>
      </w:r>
      <w:bookmarkEnd w:id="7"/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(MG), which were supplied by Sinopharm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Chemical Regent Co., Ltd. Copper nitrate hydrate (Cu(NO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·3H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O, 99%), which was supplied by Shanghai Aladdin Biochemical Technology Co., Ltd. All chemicals selected for this work are not purified in any way.</w:t>
      </w:r>
      <w:r w:rsidRPr="002C6FDE">
        <w:rPr>
          <w:rFonts w:ascii="等线" w:eastAsia="等线" w:hAnsi="等线" w:cs="Times New Roman"/>
          <w:color w:val="000000" w:themeColor="text1"/>
        </w:rPr>
        <w:t xml:space="preserve"> </w:t>
      </w:r>
    </w:p>
    <w:p w:rsidR="00136476" w:rsidRPr="002C6FDE" w:rsidRDefault="00065AFC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lastRenderedPageBreak/>
        <w:t>The N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adsorption isotherms at -196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 were calculated using the physical adsorption device (ASAP 2020), and the total surface area and pore size of the prepared adsorbents were calculated.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Isotherms were measured using samples heated for 6 hours in a vacuum at 120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 xml:space="preserve"> o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C. SEM images were obtained by electron microscope (SEM, Gemini 300). XRD (D2 Phaser, Bruker, Cu Kα radiation) was used to analyze the crystal phase of the samples. FT-IR data of potassium bromide particles were recorded by Nicolet Nexus 470 spectrometer. Thermogravimetric analysis (TG-DSC) is performed on a NETZSCH STA-449C thermal analyzer in the atmosphere of nitrogen.</w:t>
      </w:r>
      <w:r w:rsidRPr="002C6FDE">
        <w:rPr>
          <w:rFonts w:ascii="Tahoma" w:hAnsi="Tahoma" w:cs="Tahoma"/>
          <w:color w:val="000000" w:themeColor="text1"/>
          <w:szCs w:val="21"/>
          <w:shd w:val="clear" w:color="auto" w:fill="F7F8FA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Elemental analysis was performed by heating the Elementar vario elcube instrument to 1150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。</w:t>
      </w:r>
    </w:p>
    <w:p w:rsidR="00136476" w:rsidRPr="002C6FDE" w:rsidRDefault="00065AFC">
      <w:pPr>
        <w:jc w:val="center"/>
        <w:rPr>
          <w:color w:val="000000" w:themeColor="text1"/>
        </w:rPr>
      </w:pPr>
      <w:r w:rsidRPr="002C6FDE">
        <w:rPr>
          <w:noProof/>
          <w:color w:val="000000" w:themeColor="text1"/>
        </w:rPr>
        <w:drawing>
          <wp:inline distT="0" distB="0" distL="0" distR="0">
            <wp:extent cx="2935605" cy="22498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1365" cy="2269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Scheme S1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Structure of m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ala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chite green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Characterization</w:t>
      </w:r>
      <w:r w:rsidRPr="002C6FDE">
        <w:rPr>
          <w:rFonts w:ascii="等线" w:eastAsia="等线" w:hAnsi="等线"/>
          <w:color w:val="000000" w:themeColor="text1"/>
          <w:sz w:val="20"/>
        </w:rPr>
        <w:t xml:space="preserve"> </w:t>
      </w:r>
      <w:r w:rsidRPr="002C6FD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and </w:t>
      </w:r>
      <w:r w:rsidRPr="002C6FD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a</w:t>
      </w:r>
      <w:r w:rsidRPr="002C6FD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dsorption performance tests.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Nitrogen adsorption isotherms were recorded at -196 °C with a surface area and porosity analyzer (Micromeritics, ASAP2020) after evacuation of the adsorbents at 150 °C for 12 h. The specific surface areas were calculated using the Brunauer-Emmett-Teller (BET) equation by assuming a section area of nitrogen molecule to be 0.162 nm </w:t>
      </w:r>
      <w:r w:rsidRPr="002C6FDE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lastRenderedPageBreak/>
        <w:t>2 . The total pore volume was estimated to be the liquid N</w:t>
      </w:r>
      <w:r w:rsidRPr="002C6FDE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2C6FDE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volume at a relative pressure of 0.99. The sample phases were determined using X-ray diffraction (XRD, D2 Phaser, Bruker, Cu K αradiation). The compositions of the samples were examined using field-emission scanning electron microscopy (SEM, Hitachi S-4800). FT-IR spectra were recorded on a Bio-Rad FTS 155 FTIR spectrometer at room temperature in KBr pellets under atmospheric conditions. Thermo-gravimetric analysis was performed using a Net- zsch STA 449 C instrument and experiments were conducted with a constant heating rate of 5 °C/min in nitrogen atmosphere. 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Adsorption </w:t>
      </w: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performance evaluation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Prior to the adsorption test, the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adsorbents were dried at 150 °C in vacuum for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24 h to remove the organic solvent and organic ligand residues.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For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the adsorption test of malachite green (MG), the dosage of different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adsorbents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was 10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mg dispersed in 50 mL solution with the required initial concentration of MG (0-60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mg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/L).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All experiments were carried out in a set of 250 mL glass flakers containing different adsorbents. Put in the constant temperature shaker 150 r/min at 25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C. At the end of the reaction, the supernatant of the solution was taken after standing for 5 min and centrifuged at 9000 r/min for 3 min in a centrifuge (TAS-990PlusII, Beijing Puxi Co., Ltd). The obtained solution was filtered through a 0.22 µm filter membrane and the maximum absorbance was recorded at 617 nm using a UV spectrophotometer. The tests were rerun at least three times and averaged for data recording and analysis. The equilibrium time of adsorption kinetics experiment was 2 h. 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The regeneration of the adsorbent was achieved by using absolute ethanol as the eluent.</w:t>
      </w:r>
    </w:p>
    <w:p w:rsidR="00136476" w:rsidRPr="002C6FDE" w:rsidRDefault="00065AFC">
      <w:pPr>
        <w:spacing w:line="48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lastRenderedPageBreak/>
        <w:t xml:space="preserve">The MG absorption capacity 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q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 xml:space="preserve">e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(mg/g) at equilibrium was calculated by the following equation (1)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</w:p>
    <w:p w:rsidR="00136476" w:rsidRPr="002C6FDE" w:rsidRDefault="00065AFC">
      <w:pPr>
        <w:spacing w:line="480" w:lineRule="auto"/>
        <w:ind w:firstLineChars="200" w:firstLine="482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noProof/>
          <w:color w:val="000000" w:themeColor="text1"/>
          <w:position w:val="-24"/>
          <w:sz w:val="24"/>
          <w:szCs w:val="24"/>
        </w:rPr>
        <w:drawing>
          <wp:inline distT="0" distB="0" distL="0" distR="0">
            <wp:extent cx="1106170" cy="39243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(1)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adsorption capacity of MG by the adsorbent was obtained. Where 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>0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Ce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(mg/L) are the initial and equilibrium concentrations of MG, 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(L) is the volume of MG, and 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W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(g) is the mass of adsorbent added.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Section II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Table S1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Textural properties </w:t>
      </w:r>
      <w:r w:rsidRPr="002C6FD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different materials, respectively</w:t>
      </w:r>
    </w:p>
    <w:tbl>
      <w:tblPr>
        <w:tblpPr w:leftFromText="180" w:rightFromText="180" w:vertAnchor="text" w:horzAnchor="page" w:tblpXSpec="center" w:tblpY="237"/>
        <w:tblOverlap w:val="never"/>
        <w:tblW w:w="8363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2693"/>
      </w:tblGrid>
      <w:tr w:rsidR="002C6FDE" w:rsidRPr="002C6FDE">
        <w:trPr>
          <w:trHeight w:val="679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bookmarkStart w:id="8" w:name="_Hlk99548716"/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Sample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</w:t>
            </w:r>
            <w:r w:rsidRPr="002C6FDE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BET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bscript"/>
              </w:rPr>
              <w:t xml:space="preserve"> 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(m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/g)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V</w:t>
            </w:r>
            <w:r w:rsidRPr="002C6FDE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total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bscript"/>
              </w:rPr>
              <w:t xml:space="preserve"> 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(cm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/g)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Average pore diameter (nm)</w:t>
            </w:r>
          </w:p>
        </w:tc>
      </w:tr>
      <w:tr w:rsidR="002C6FDE" w:rsidRPr="002C6FDE">
        <w:trPr>
          <w:trHeight w:val="485"/>
        </w:trPr>
        <w:tc>
          <w:tcPr>
            <w:tcW w:w="2410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</w:t>
            </w:r>
          </w:p>
        </w:tc>
        <w:tc>
          <w:tcPr>
            <w:tcW w:w="1701" w:type="dxa"/>
            <w:shd w:val="clear" w:color="auto" w:fill="auto"/>
          </w:tcPr>
          <w:p w:rsidR="00136476" w:rsidRPr="002C6FDE" w:rsidRDefault="00065AFC">
            <w:pPr>
              <w:spacing w:line="360" w:lineRule="auto"/>
              <w:ind w:firstLineChars="200" w:firstLine="420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1356.45</w:t>
            </w:r>
          </w:p>
        </w:tc>
        <w:tc>
          <w:tcPr>
            <w:tcW w:w="1559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0.581</w:t>
            </w:r>
          </w:p>
        </w:tc>
        <w:tc>
          <w:tcPr>
            <w:tcW w:w="2693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1.712</w:t>
            </w:r>
          </w:p>
        </w:tc>
      </w:tr>
      <w:tr w:rsidR="002C6FDE" w:rsidRPr="002C6FDE">
        <w:trPr>
          <w:trHeight w:val="525"/>
        </w:trPr>
        <w:tc>
          <w:tcPr>
            <w:tcW w:w="2410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</w:t>
            </w:r>
          </w:p>
        </w:tc>
        <w:tc>
          <w:tcPr>
            <w:tcW w:w="1701" w:type="dxa"/>
            <w:shd w:val="clear" w:color="auto" w:fill="auto"/>
          </w:tcPr>
          <w:p w:rsidR="00136476" w:rsidRPr="002C6FDE" w:rsidRDefault="00065AFC">
            <w:pPr>
              <w:spacing w:line="360" w:lineRule="auto"/>
              <w:ind w:firstLineChars="200" w:firstLine="420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104.89</w:t>
            </w:r>
          </w:p>
        </w:tc>
        <w:tc>
          <w:tcPr>
            <w:tcW w:w="1559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0.136</w:t>
            </w:r>
          </w:p>
        </w:tc>
        <w:tc>
          <w:tcPr>
            <w:tcW w:w="2693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7.015</w:t>
            </w:r>
          </w:p>
        </w:tc>
      </w:tr>
      <w:tr w:rsidR="002C6FDE" w:rsidRPr="002C6FDE">
        <w:trPr>
          <w:trHeight w:val="525"/>
        </w:trPr>
        <w:tc>
          <w:tcPr>
            <w:tcW w:w="2410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Cu-BTC@</w:t>
            </w: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pPa-1(12)</w:t>
            </w:r>
          </w:p>
        </w:tc>
        <w:tc>
          <w:tcPr>
            <w:tcW w:w="1701" w:type="dxa"/>
            <w:shd w:val="clear" w:color="auto" w:fill="auto"/>
          </w:tcPr>
          <w:p w:rsidR="00136476" w:rsidRPr="002C6FDE" w:rsidRDefault="00065AFC">
            <w:pPr>
              <w:spacing w:line="360" w:lineRule="auto"/>
              <w:ind w:firstLineChars="200" w:firstLine="420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1030.77</w:t>
            </w:r>
          </w:p>
        </w:tc>
        <w:tc>
          <w:tcPr>
            <w:tcW w:w="1559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0.582</w:t>
            </w:r>
          </w:p>
        </w:tc>
        <w:tc>
          <w:tcPr>
            <w:tcW w:w="2693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2.441</w:t>
            </w:r>
          </w:p>
        </w:tc>
      </w:tr>
      <w:tr w:rsidR="002C6FDE" w:rsidRPr="002C6FDE">
        <w:trPr>
          <w:trHeight w:val="512"/>
        </w:trPr>
        <w:tc>
          <w:tcPr>
            <w:tcW w:w="2410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Cu-BTC@</w:t>
            </w: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pPa-1(24)</w:t>
            </w:r>
          </w:p>
        </w:tc>
        <w:tc>
          <w:tcPr>
            <w:tcW w:w="1701" w:type="dxa"/>
            <w:shd w:val="clear" w:color="auto" w:fill="auto"/>
          </w:tcPr>
          <w:p w:rsidR="00136476" w:rsidRPr="002C6FDE" w:rsidRDefault="00065AFC">
            <w:pPr>
              <w:spacing w:line="360" w:lineRule="auto"/>
              <w:ind w:firstLineChars="200" w:firstLine="420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961.29</w:t>
            </w:r>
          </w:p>
        </w:tc>
        <w:tc>
          <w:tcPr>
            <w:tcW w:w="1559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0.571</w:t>
            </w:r>
          </w:p>
        </w:tc>
        <w:tc>
          <w:tcPr>
            <w:tcW w:w="2693" w:type="dxa"/>
            <w:shd w:val="clear" w:color="auto" w:fill="auto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2.571</w:t>
            </w:r>
          </w:p>
        </w:tc>
      </w:tr>
      <w:tr w:rsidR="002C6FDE" w:rsidRPr="002C6FDE">
        <w:trPr>
          <w:trHeight w:val="568"/>
        </w:trPr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Cu-BTC@</w:t>
            </w: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pPa-1(36)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ind w:firstLineChars="200" w:firstLine="420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4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11.49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0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.444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4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.646</w:t>
            </w:r>
          </w:p>
        </w:tc>
      </w:tr>
      <w:bookmarkEnd w:id="8"/>
    </w:tbl>
    <w:p w:rsidR="00136476" w:rsidRPr="002C6FDE" w:rsidRDefault="00136476">
      <w:pPr>
        <w:rPr>
          <w:color w:val="000000" w:themeColor="text1"/>
        </w:rPr>
      </w:pP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Table S2.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content of elements in different materials</w:t>
      </w:r>
    </w:p>
    <w:tbl>
      <w:tblPr>
        <w:tblpPr w:leftFromText="180" w:rightFromText="180" w:vertAnchor="text" w:horzAnchor="page" w:tblpXSpec="center" w:tblpY="237"/>
        <w:tblOverlap w:val="never"/>
        <w:tblW w:w="8222" w:type="dxa"/>
        <w:tblLayout w:type="fixed"/>
        <w:tblLook w:val="04A0" w:firstRow="1" w:lastRow="0" w:firstColumn="1" w:lastColumn="0" w:noHBand="0" w:noVBand="1"/>
      </w:tblPr>
      <w:tblGrid>
        <w:gridCol w:w="2410"/>
        <w:gridCol w:w="1417"/>
        <w:gridCol w:w="1701"/>
        <w:gridCol w:w="1276"/>
        <w:gridCol w:w="1418"/>
      </w:tblGrid>
      <w:tr w:rsidR="002C6FDE" w:rsidRPr="002C6FDE">
        <w:trPr>
          <w:trHeight w:val="679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Sample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N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H (%)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C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/N</w:t>
            </w:r>
          </w:p>
        </w:tc>
      </w:tr>
      <w:tr w:rsidR="002C6FDE" w:rsidRPr="002C6FDE">
        <w:trPr>
          <w:trHeight w:val="485"/>
        </w:trPr>
        <w:tc>
          <w:tcPr>
            <w:tcW w:w="2410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ind w:firstLineChars="200" w:firstLine="420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26.02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4.43</w:t>
            </w:r>
          </w:p>
        </w:tc>
        <w:tc>
          <w:tcPr>
            <w:tcW w:w="1418" w:type="dxa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</w:rPr>
              <w:t>5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30.55</w:t>
            </w:r>
          </w:p>
        </w:tc>
      </w:tr>
      <w:tr w:rsidR="002C6FDE" w:rsidRPr="002C6FDE">
        <w:trPr>
          <w:trHeight w:val="525"/>
        </w:trPr>
        <w:tc>
          <w:tcPr>
            <w:tcW w:w="2410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ind w:firstLineChars="200" w:firstLine="420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10.93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60.72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5.13</w:t>
            </w:r>
          </w:p>
        </w:tc>
        <w:tc>
          <w:tcPr>
            <w:tcW w:w="1418" w:type="dxa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</w:rPr>
              <w:t>5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.557</w:t>
            </w:r>
          </w:p>
        </w:tc>
      </w:tr>
      <w:tr w:rsidR="002C6FDE" w:rsidRPr="002C6FDE">
        <w:trPr>
          <w:trHeight w:val="525"/>
        </w:trPr>
        <w:tc>
          <w:tcPr>
            <w:tcW w:w="2410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Cu-BTC@</w:t>
            </w: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pPa-1(12)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ind w:firstLineChars="200" w:firstLine="420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0.99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33.46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3.78</w:t>
            </w:r>
          </w:p>
        </w:tc>
        <w:tc>
          <w:tcPr>
            <w:tcW w:w="1418" w:type="dxa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</w:rPr>
              <w:t>3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3.94</w:t>
            </w:r>
          </w:p>
        </w:tc>
      </w:tr>
      <w:tr w:rsidR="002C6FDE" w:rsidRPr="002C6FDE">
        <w:trPr>
          <w:trHeight w:val="512"/>
        </w:trPr>
        <w:tc>
          <w:tcPr>
            <w:tcW w:w="2410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Cu-BTC@</w:t>
            </w: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pPa-1(24)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ind w:firstLineChars="200" w:firstLine="420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1.59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32.76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3.45</w:t>
            </w:r>
          </w:p>
        </w:tc>
        <w:tc>
          <w:tcPr>
            <w:tcW w:w="1418" w:type="dxa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</w:rPr>
              <w:t>2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0.63</w:t>
            </w:r>
          </w:p>
        </w:tc>
      </w:tr>
      <w:tr w:rsidR="002C6FDE" w:rsidRPr="002C6FDE">
        <w:trPr>
          <w:trHeight w:val="568"/>
        </w:trPr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</w:rPr>
              <w:t>Cu-BTC@</w:t>
            </w: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 xml:space="preserve"> T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pPa-1(36)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ind w:firstLineChars="200" w:firstLine="420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3.42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40.62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4.11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等线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1.89</w:t>
            </w:r>
          </w:p>
        </w:tc>
      </w:tr>
    </w:tbl>
    <w:p w:rsidR="00136476" w:rsidRPr="002C6FDE" w:rsidRDefault="00136476">
      <w:pPr>
        <w:rPr>
          <w:color w:val="000000" w:themeColor="text1"/>
        </w:rPr>
      </w:pP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136476">
      <w:pPr>
        <w:rPr>
          <w:color w:val="000000" w:themeColor="text1"/>
        </w:rPr>
      </w:pPr>
    </w:p>
    <w:p w:rsidR="00E3641E" w:rsidRPr="002C6FDE" w:rsidRDefault="00E3641E">
      <w:pPr>
        <w:rPr>
          <w:color w:val="000000" w:themeColor="text1"/>
        </w:rPr>
      </w:pPr>
    </w:p>
    <w:p w:rsidR="00E3641E" w:rsidRPr="002C6FDE" w:rsidRDefault="00E3641E">
      <w:pPr>
        <w:rPr>
          <w:color w:val="000000" w:themeColor="text1"/>
        </w:rPr>
      </w:pPr>
    </w:p>
    <w:p w:rsidR="00E3641E" w:rsidRPr="002C6FDE" w:rsidRDefault="00E3641E">
      <w:pPr>
        <w:rPr>
          <w:color w:val="000000" w:themeColor="text1"/>
        </w:rPr>
      </w:pP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065AFC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bookmarkStart w:id="9" w:name="_Hlk509305005"/>
      <w:bookmarkStart w:id="10" w:name="_Hlk86737609"/>
      <w:r w:rsidRPr="002C6FDE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Table </w:t>
      </w:r>
      <w:r w:rsidRPr="002C6FDE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S</w:t>
      </w:r>
      <w:bookmarkEnd w:id="9"/>
      <w:r w:rsidRPr="002C6FDE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3</w:t>
      </w:r>
      <w:r w:rsidRPr="002C6FDE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</w:t>
      </w:r>
      <w:r w:rsidRPr="002C6FD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G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uptake </w:t>
      </w:r>
      <w:r w:rsidRPr="002C6FD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c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apacities</w:t>
      </w:r>
      <w:r w:rsidRPr="002C6FD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of</w:t>
      </w:r>
      <w:r w:rsidRPr="002C6FD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d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ifferent</w:t>
      </w:r>
      <w:r w:rsidRPr="002C6FD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adsorbents</w:t>
      </w:r>
    </w:p>
    <w:tbl>
      <w:tblPr>
        <w:tblW w:w="8932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2949"/>
        <w:gridCol w:w="2409"/>
      </w:tblGrid>
      <w:tr w:rsidR="002C6FDE" w:rsidRPr="002C6FDE">
        <w:trPr>
          <w:trHeight w:val="396"/>
          <w:jc w:val="center"/>
        </w:trPr>
        <w:tc>
          <w:tcPr>
            <w:tcW w:w="357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Adsorbents</w:t>
            </w:r>
          </w:p>
        </w:tc>
        <w:tc>
          <w:tcPr>
            <w:tcW w:w="29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Uptake capacities (mg/g)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References</w:t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–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HA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–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CO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2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&lt;EndNote&gt;&lt;Cite&gt;&lt;Author&gt;Jedynak&lt;/Author&gt;&lt;Year&gt;2017&lt;/Year&gt;&lt;RecNum&gt;107&lt;/RecNum&gt;&lt;DisplayText&gt;(Jedynak and Repelewicz, 2017)&lt;/DisplayText&gt;&lt;record&gt;&lt;rec-number&gt;107&lt;/rec-number&gt;&lt;foreign-keys&gt;&lt;key app="EN" db-id="fxdd09xzk2vdriew02r5sv9ta9pd5ppd9pvr" timestamp="1689000648"&gt;107&lt;/key&gt;&lt;key app="ENWeb" db-id=""&gt;0&lt;/key&gt;&lt;/foreign-keys&gt;&lt;ref-type name="Journal Article"&gt;17&lt;/ref-type&gt;&lt;contributors&gt;&lt;authors&gt;&lt;author&gt;Jedynak, K.&lt;/author&gt;&lt;author&gt;Repelewicz, M.&lt;/author&gt;&lt;/authors&gt;&lt;/contributors&gt;&lt;titles&gt;&lt;title&gt;Adsorption of methylene blue and malachite green on micro-mesoporous carbon materials&lt;/title&gt;&lt;secondary-title&gt;Adsorption Science &amp;amp; Technology&lt;/secondary-title&gt;&lt;/titles&gt;&lt;periodical&gt;&lt;full-title&gt;Adsorption Science &amp;amp; Technology&lt;/full-title&gt;&lt;/periodical&gt;&lt;pages&gt;499-506&lt;/pages&gt;&lt;volume&gt;35&lt;/volume&gt;&lt;number&gt;5-6&lt;/number&gt;&lt;section&gt;499&lt;/section&gt;&lt;dates&gt;&lt;year&gt;2017&lt;/year&gt;&lt;/dates&gt;&lt;isbn&gt;0263-6174&amp;#xD;2048-4038&lt;/isbn&gt;&lt;urls&gt;&lt;/urls&gt;&lt;electronic-resource-num&gt;10.1177/0263617417698706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(Jedynak and Repelewicz, 2017)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Cellulose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&lt;EndNote&gt;&lt;Cite&gt;&lt;Author&gt;Goswami&lt;/Author&gt;&lt;Year&gt;2023&lt;/Year&gt;&lt;RecNum&gt;108&lt;/RecNum&gt;&lt;DisplayText&gt;(Goswami et al., 2023)&lt;/DisplayText&gt;&lt;record&gt;&lt;rec-number&gt;108&lt;/rec-number&gt;&lt;foreign-keys&gt;&lt;key app="EN" db-id="fxdd09xzk2vdriew02r5sv9ta9pd5ppd9pvr" timestamp="1688802327"&gt;108&lt;/key&gt;&lt;key app="ENWeb" db-id=""&gt;0&lt;/key&gt;&lt;/foreign-keys&gt;&lt;ref-type name="Journal Article"&gt;17&lt;/ref-type&gt;&lt;contributors&gt;&lt;authors&gt;&lt;author&gt;Goswami, Rekha&lt;/author&gt;&lt;author&gt;Mishra, Abhilasha&lt;/author&gt;&lt;author&gt;Prasad, Brijesh&lt;/author&gt;&lt;author&gt;Bhatt, Neha&lt;/author&gt;&lt;/authors&gt;&lt;/contributors&gt;&lt;titles&gt;&lt;title&gt;Development of Nanocellulose-Chitosan-Based Nanocomposite for Adsorption of Malachite Green: Isotherms and Kinetic Study&lt;/title&gt;&lt;secondary-title&gt;Water, Air, &amp;amp; Soil Pollution&lt;/secondary-title&gt;&lt;/titles&gt;&lt;periodical&gt;&lt;full-title&gt;Water, Air, &amp;amp; Soil Pollution&lt;/full-title&gt;&lt;/periodical&gt;&lt;volume&gt;234&lt;/volume&gt;&lt;number&gt;5&lt;/number&gt;&lt;dates&gt;&lt;year&gt;2023&lt;/year&gt;&lt;/dates&gt;&lt;isbn&gt;0049-6979&amp;#xD;1573-2932&lt;/isbn&gt;&lt;urls&gt;&lt;/urls&gt;&lt;electronic-resource-num&gt;10.1007/s11270-023-06330-8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(Goswami et al., 2023)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UiO-66-NH2 nanocrystals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PEVuZE5vdGU+PENpdGU+PEF1dGhvcj5ZYW88L0F1dGhvcj48WWVhcj4yMDE2PC9ZZWFyPjxSZWNO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</w:fldData>
              </w:fldChar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PEVuZE5vdGU+PENpdGU+PEF1dGhvcj5ZYW88L0F1dGhvcj48WWVhcj4yMDE2PC9ZZWFyPjxSZWNO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</w:fldData>
              </w:fldChar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(Yao et al., 2016)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M3 nanocomposite adsorbent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&lt;EndNote&gt;&lt;Cite&gt;&lt;Author&gt;Sekhar&lt;/Author&gt;&lt;Year&gt;2009&lt;/Year&gt;&lt;RecNum&gt;110&lt;/RecNum&gt;&lt;DisplayText&gt;(Sekhar et al., 2009)&lt;/DisplayText&gt;&lt;record&gt;&lt;rec-number&gt;110&lt;/rec-number&gt;&lt;foreign-keys&gt;&lt;key app="EN" db-id="fxdd09xzk2vdriew02r5sv9ta9pd5ppd9pvr" timestamp="1688802520"&gt;110&lt;/key&gt;&lt;key app="ENWeb" db-id=""&gt;0&lt;/key&gt;&lt;/foreign-keys&gt;&lt;ref-type name="Journal Article"&gt;17&lt;/ref-type&gt;&lt;contributors&gt;&lt;authors&gt;&lt;author&gt;Sekhar, C. P.&lt;/author&gt;&lt;author&gt;Kalidhasan, S.&lt;/author&gt;&lt;author&gt;Rajesh, V.&lt;/author&gt;&lt;author&gt;Rajesh, N.&lt;/author&gt;&lt;/authors&gt;&lt;/contributors&gt;&lt;auth-address&gt;Chemistry Group, Birla Institute of Technology and Science, Pilani 333 031, India.&lt;/auth-address&gt;&lt;titles&gt;&lt;title&gt;Bio-polymer adsorbent for the removal of malachite green from aqueous solution&lt;/title&gt;&lt;secondary-title&gt;Chemosphere&lt;/secondary-title&gt;&lt;/titles&gt;&lt;periodical&gt;&lt;full-title&gt;Chemosphere&lt;/full-title&gt;&lt;/periodical&gt;&lt;pages&gt;842-7&lt;/pages&gt;&lt;volume&gt;77&lt;/volume&gt;&lt;number&gt;6&lt;/number&gt;&lt;edition&gt;2009/09/22&lt;/edition&gt;&lt;keywords&gt;&lt;keyword&gt;Adsorption&lt;/keyword&gt;&lt;keyword&gt;Cellulose/*chemistry&lt;/keyword&gt;&lt;keyword&gt;Hydrogen-Ion Concentration&lt;/keyword&gt;&lt;keyword&gt;Kinetics&lt;/keyword&gt;&lt;keyword&gt;Models, Chemical&lt;/keyword&gt;&lt;keyword&gt;Rosaniline Dyes/*chemistry&lt;/keyword&gt;&lt;keyword&gt;Spectroscopy, Fourier Transform Infrared&lt;/keyword&gt;&lt;keyword&gt;Thermodynamics&lt;/keyword&gt;&lt;keyword&gt;Water/chemistry&lt;/keyword&gt;&lt;keyword&gt;Water Pollutants, Chemical/*chemistry&lt;/keyword&gt;&lt;/keywords&gt;&lt;dates&gt;&lt;year&gt;2009&lt;/year&gt;&lt;pub-dates&gt;&lt;date&gt;Oct&lt;/date&gt;&lt;/pub-dates&gt;&lt;/dates&gt;&lt;isbn&gt;1879-1298 (Electronic)&amp;#xD;0045-6535 (Linking)&lt;/isbn&gt;&lt;accession-num&gt;19765795&lt;/accession-num&gt;&lt;urls&gt;&lt;related-urls&gt;&lt;url&gt;https://www.ncbi.nlm.nih.gov/pubmed/19765795&lt;/url&gt;&lt;/related-urls&gt;&lt;/urls&gt;&lt;electronic-resource-num&gt;10.1016/j.chemosphere.2009.07.068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(Sekhar et al., 2009)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Carbon nanotubes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3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&lt;EndNote&gt;&lt;Cite&gt;&lt;Author&gt;Wu&lt;/Author&gt;&lt;Year&gt;2007&lt;/Year&gt;&lt;RecNum&gt;111&lt;/RecNum&gt;&lt;DisplayText&gt;(Wu, 2007)&lt;/DisplayText&gt;&lt;record&gt;&lt;rec-number&gt;111&lt;/rec-number&gt;&lt;foreign-keys&gt;&lt;key app="EN" db-id="fxdd09xzk2vdriew02r5sv9ta9pd5ppd9pvr" timestamp="1688802554"&gt;111&lt;/key&gt;&lt;key app="ENWeb" db-id=""&gt;0&lt;/key&gt;&lt;/foreign-keys&gt;&lt;ref-type name="Journal Article"&gt;17&lt;/ref-type&gt;&lt;contributors&gt;&lt;authors&gt;&lt;author&gt;Wu, C. H.&lt;/author&gt;&lt;/authors&gt;&lt;/contributors&gt;&lt;auth-address&gt;Department of Environmental Engineering, Da-Yeh University, 112 Shan-Jiau Road, Da-Tsuen, Chang-Hua, Taiwan, ROC. chunghsinwu@yahoo.com.tw&lt;/auth-address&gt;&lt;titles&gt;&lt;title&gt;Adsorption of reactive dye onto carbon nanotubes: equilibrium, kinetics and thermodynamics&lt;/title&gt;&lt;secondary-title&gt;J Hazard Mater&lt;/secondary-title&gt;&lt;/titles&gt;&lt;periodical&gt;&lt;full-title&gt;J Hazard Mater&lt;/full-title&gt;&lt;/periodical&gt;&lt;pages&gt;93-100&lt;/pages&gt;&lt;volume&gt;144&lt;/volume&gt;&lt;number&gt;1-2&lt;/number&gt;&lt;edition&gt;2006/11/04&lt;/edition&gt;&lt;keywords&gt;&lt;keyword&gt;Adsorption&lt;/keyword&gt;&lt;keyword&gt;Azo Compounds/*chemistry&lt;/keyword&gt;&lt;keyword&gt;Coloring Agents/*chemistry&lt;/keyword&gt;&lt;keyword&gt;Hydrogen-Ion Concentration&lt;/keyword&gt;&lt;keyword&gt;Kinetics&lt;/keyword&gt;&lt;keyword&gt;Nanotubes, Carbon/*chemistry&lt;/keyword&gt;&lt;keyword&gt;Thermodynamics&lt;/keyword&gt;&lt;keyword&gt;Waste Disposal, Fluid/methods&lt;/keyword&gt;&lt;keyword&gt;Water Purification/*methods&lt;/keyword&gt;&lt;/keywords&gt;&lt;dates&gt;&lt;year&gt;2007&lt;/year&gt;&lt;pub-dates&gt;&lt;date&gt;Jun 1&lt;/date&gt;&lt;/pub-dates&gt;&lt;/dates&gt;&lt;isbn&gt;0304-3894 (Print)&amp;#xD;0304-3894 (Linking)&lt;/isbn&gt;&lt;accession-num&gt;17081687&lt;/accession-num&gt;&lt;urls&gt;&lt;related-urls&gt;&lt;url&gt;https://www.ncbi.nlm.nih.gov/pubmed/17081687&lt;/url&gt;&lt;/related-urls&gt;&lt;/urls&gt;&lt;electronic-resource-num&gt;10.1016/j.jhazmat.2006.09.083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(Wu, 2007)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(Zn0.24Cu0.76)O particles 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&lt;EndNote&gt;&lt;Cite&gt;&lt;Author&gt;Jacob&lt;/Author&gt;&lt;Year&gt;2013&lt;/Year&gt;&lt;RecNum&gt;112&lt;/RecNum&gt;&lt;DisplayText&gt;(Jacob et al., 2013)&lt;/DisplayText&gt;&lt;record&gt;&lt;rec-number&gt;112&lt;/rec-number&gt;&lt;foreign-keys&gt;&lt;key app="EN" db-id="fxdd09xzk2vdriew02r5sv9ta9pd5ppd9pvr" timestamp="1688802576"&gt;112&lt;/key&gt;&lt;key app="ENWeb" db-id=""&gt;0&lt;/key&gt;&lt;/foreign-keys&gt;&lt;ref-type name="Journal Article"&gt;17&lt;/ref-type&gt;&lt;contributors&gt;&lt;authors&gt;&lt;author&gt;Jacob, Niya Mary&lt;/author&gt;&lt;author&gt;Kuruva, Praveena&lt;/author&gt;&lt;author&gt;Madras, Giridhar&lt;/author&gt;&lt;author&gt;Thomas, Tiju&lt;/author&gt;&lt;/authors&gt;&lt;/contributors&gt;&lt;titles&gt;&lt;title&gt;Purifying Water Containing Both Anionic and Cationic Species Using a (Zn, Cu)O, ZnO, and Cobalt Ferrite Based Multiphase Adsorbent System&lt;/title&gt;&lt;secondary-title&gt;Industrial &amp;amp; Engineering Chemistry Research&lt;/secondary-title&gt;&lt;/titles&gt;&lt;periodical&gt;&lt;full-title&gt;Industrial &amp;amp; Engineering Chemistry Research&lt;/full-title&gt;&lt;/periodical&gt;&lt;pages&gt;16384-16395&lt;/pages&gt;&lt;volume&gt;52&lt;/volume&gt;&lt;number&gt;46&lt;/number&gt;&lt;section&gt;16384&lt;/section&gt;&lt;dates&gt;&lt;year&gt;2013&lt;/year&gt;&lt;/dates&gt;&lt;isbn&gt;0888-5885&amp;#xD;1520-5045&lt;/isbn&gt;&lt;urls&gt;&lt;/urls&gt;&lt;electronic-resource-num&gt;10.1021/ie402727z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(Jacob et al., 2013)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SHU-1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&lt;EndNote&gt;&lt;Cite&gt;&lt;Author&gt;Li&lt;/Author&gt;&lt;Year&gt;2017&lt;/Year&gt;&lt;RecNum&gt;113&lt;/RecNum&gt;&lt;DisplayText&gt;(Li et al., 2017)&lt;/DisplayText&gt;&lt;record&gt;&lt;rec-number&gt;113&lt;/rec-number&gt;&lt;foreign-keys&gt;&lt;key app="EN" db-id="fxdd09xzk2vdriew02r5sv9ta9pd5ppd9pvr" timestamp="1688802622"&gt;113&lt;/key&gt;&lt;key app="ENWeb" db-id=""&gt;0&lt;/key&gt;&lt;/foreign-keys&gt;&lt;ref-type name="Journal Article"&gt;17&lt;/ref-type&gt;&lt;contributors&gt;&lt;authors&gt;&lt;author&gt;Li, H.&lt;/author&gt;&lt;author&gt;Fang, X.&lt;/author&gt;&lt;author&gt;Ma, S.&lt;/author&gt;&lt;author&gt;Niu, Y.&lt;/author&gt;&lt;author&gt;Zhao, X.&lt;/author&gt;&lt;author&gt;Xu, J.&lt;/author&gt;&lt;author&gt;Duan, Z.&lt;/author&gt;&lt;/authors&gt;&lt;/contributors&gt;&lt;auth-address&gt;Department of Chemistry, College of Sciences, Shanghai University, Shanghai 200444, P. R. China. duanzm@shu.edu.cn xujiaqiang@shu.edu.cn.&lt;/auth-address&gt;&lt;titles&gt;&lt;title&gt;A two-dimensional porous framework: solvent-induced structural transformation and selective adsorption towards malachite green&lt;/title&gt;&lt;secondary-title&gt;Dalton Trans&lt;/secondary-title&gt;&lt;/titles&gt;&lt;periodical&gt;&lt;full-title&gt;Dalton Trans&lt;/full-title&gt;&lt;/periodical&gt;&lt;pages&gt;8350-8353&lt;/pages&gt;&lt;volume&gt;46&lt;/volume&gt;&lt;number&gt;26&lt;/number&gt;&lt;edition&gt;2017/06/20&lt;/edition&gt;&lt;dates&gt;&lt;year&gt;2017&lt;/year&gt;&lt;pub-dates&gt;&lt;date&gt;Jul 4&lt;/date&gt;&lt;/pub-dates&gt;&lt;/dates&gt;&lt;isbn&gt;1477-9234 (Electronic)&amp;#xD;1477-9226 (Linking)&lt;/isbn&gt;&lt;accession-num&gt;28627578&lt;/accession-num&gt;&lt;urls&gt;&lt;related-urls&gt;&lt;url&gt;https://www.ncbi.nlm.nih.gov/pubmed/28627578&lt;/url&gt;&lt;/related-urls&gt;&lt;/urls&gt;&lt;electronic-resource-num&gt;10.1039/c7dt01262d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(Li et al., 2017)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SHU-1a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&lt;EndNote&gt;&lt;Cite&gt;&lt;Author&gt;Li&lt;/Author&gt;&lt;Year&gt;2017&lt;/Year&gt;&lt;RecNum&gt;113&lt;/RecNum&gt;&lt;DisplayText&gt;(Li et al., 2017)&lt;/DisplayText&gt;&lt;record&gt;&lt;rec-number&gt;113&lt;/rec-number&gt;&lt;foreign-keys&gt;&lt;key app="EN" db-id="fxdd09xzk2vdriew02r5sv9ta9pd5ppd9pvr" timestamp="1688802622"&gt;113&lt;/key&gt;&lt;key app="ENWeb" db-id=""&gt;0&lt;/key&gt;&lt;/foreign-keys&gt;&lt;ref-type name="Journal Article"&gt;17&lt;/ref-type&gt;&lt;contributors&gt;&lt;authors&gt;&lt;author&gt;Li, H.&lt;/author&gt;&lt;author&gt;Fang, X.&lt;/author&gt;&lt;author&gt;Ma, S.&lt;/author&gt;&lt;author&gt;Niu, Y.&lt;/author&gt;&lt;author&gt;Zhao, X.&lt;/author&gt;&lt;author&gt;Xu, J.&lt;/author&gt;&lt;author&gt;Duan, Z.&lt;/author&gt;&lt;/authors&gt;&lt;/contributors&gt;&lt;auth-address&gt;Department of Chemistry, College of Sciences, Shanghai University, Shanghai 200444, P. R. China. duanzm@shu.edu.cn xujiaqiang@shu.edu.cn.&lt;/auth-address&gt;&lt;titles&gt;&lt;title&gt;A two-dimensional porous framework: solvent-induced structural transformation and selective adsorption towards malachite green&lt;/title&gt;&lt;secondary-title&gt;Dalton Trans&lt;/secondary-title&gt;&lt;/titles&gt;&lt;periodical&gt;&lt;full-title&gt;Dalton Trans&lt;/full-title&gt;&lt;/periodical&gt;&lt;pages&gt;8350-8353&lt;/pages&gt;&lt;volume&gt;46&lt;/volume&gt;&lt;number&gt;26&lt;/number&gt;&lt;edition&gt;2017/06/20&lt;/edition&gt;&lt;dates&gt;&lt;year&gt;2017&lt;/year&gt;&lt;pub-dates&gt;&lt;date&gt;Jul 4&lt;/date&gt;&lt;/pub-dates&gt;&lt;/dates&gt;&lt;isbn&gt;1477-9234 (Electronic)&amp;#xD;1477-9226 (Linking)&lt;/isbn&gt;&lt;accession-num&gt;28627578&lt;/accession-num&gt;&lt;urls&gt;&lt;related-urls&gt;&lt;url&gt;https://www.ncbi.nlm.nih.gov/pubmed/28627578&lt;/url&gt;&lt;/related-urls&gt;&lt;/urls&gt;&lt;electronic-resource-num&gt;10.1039/c7dt01262d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(Li et al., 2017)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SHU-1b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&lt;EndNote&gt;&lt;Cite&gt;&lt;Author&gt;Li&lt;/Author&gt;&lt;Year&gt;2017&lt;/Year&gt;&lt;RecNum&gt;113&lt;/RecNum&gt;&lt;DisplayText&gt;(Li et al., 2017)&lt;/DisplayText&gt;&lt;record&gt;&lt;rec-number&gt;113&lt;/rec-number&gt;&lt;foreign-keys&gt;&lt;key app="EN" db-id="fxdd09xzk2vdriew02r5sv9ta9pd5ppd9pvr" timestamp="1688802622"&gt;113&lt;/key&gt;&lt;key app="ENWeb" db-id=""&gt;0&lt;/key&gt;&lt;/foreign-keys&gt;&lt;ref-type name="Journal Article"&gt;17&lt;/ref-type&gt;&lt;contributors&gt;&lt;authors&gt;&lt;author&gt;Li, H.&lt;/author&gt;&lt;author&gt;Fang, X.&lt;/author&gt;&lt;author&gt;Ma, S.&lt;/author&gt;&lt;author&gt;Niu, Y.&lt;/author&gt;&lt;author&gt;Zhao, X.&lt;/author&gt;&lt;author&gt;Xu, J.&lt;/author&gt;&lt;author&gt;Duan, Z.&lt;/author&gt;&lt;/authors&gt;&lt;/contributors&gt;&lt;auth-address&gt;Department of Chemistry, College of Sciences, Shanghai University, Shanghai 200444, P. R. China. duanzm@shu.edu.cn xujiaqiang@shu.edu.cn.&lt;/auth-address&gt;&lt;titles&gt;&lt;title&gt;A two-dimensional porous framework: solvent-induced structural transformation and selective adsorption towards malachite green&lt;/title&gt;&lt;secondary-title&gt;Dalton Trans&lt;/secondary-title&gt;&lt;/titles&gt;&lt;periodical&gt;&lt;full-title&gt;Dalton Trans&lt;/full-title&gt;&lt;/periodical&gt;&lt;pages&gt;8350-8353&lt;/pages&gt;&lt;volume&gt;46&lt;/volume&gt;&lt;number&gt;26&lt;/number&gt;&lt;edition&gt;2017/06/20&lt;/edition&gt;&lt;dates&gt;&lt;year&gt;2017&lt;/year&gt;&lt;pub-dates&gt;&lt;date&gt;Jul 4&lt;/date&gt;&lt;/pub-dates&gt;&lt;/dates&gt;&lt;isbn&gt;1477-9234 (Electronic)&amp;#xD;1477-9226 (Linking)&lt;/isbn&gt;&lt;accession-num&gt;28627578&lt;/accession-num&gt;&lt;urls&gt;&lt;related-urls&gt;&lt;url&gt;https://www.ncbi.nlm.nih.gov/pubmed/28627578&lt;/url&gt;&lt;/related-urls&gt;&lt;/urls&gt;&lt;electronic-resource-num&gt;10.1039/c7dt01262d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(Li et al., 2017)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AFLP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&lt;EndNote&gt;&lt;Cite&gt;&lt;Author&gt;Gebreslassie&lt;/Author&gt;&lt;Year&gt;2020&lt;/Year&gt;&lt;RecNum&gt;114&lt;/RecNum&gt;&lt;DisplayText&gt;(Gebreslassie, 2020)&lt;/DisplayText&gt;&lt;record&gt;&lt;rec-number&gt;114&lt;/rec-number&gt;&lt;foreign-keys&gt;&lt;key app="EN" db-id="fxdd09xzk2vdriew02r5sv9ta9pd5ppd9pvr" timestamp="1688802655"&gt;114&lt;/key&gt;&lt;key app="ENWeb" db-id=""&gt;0&lt;/key&gt;&lt;/foreign-keys&gt;&lt;ref-type name="Journal Article"&gt;17&lt;/ref-type&gt;&lt;contributors&gt;&lt;authors&gt;&lt;author&gt;Gebreslassie, Y. T.&lt;/author&gt;&lt;/authors&gt;&lt;/contributors&gt;&lt;auth-address&gt;Department of Chemistry, Adigrat University, P.O. Box 50, Adigrat, Tigray, Ethiopia.&lt;/auth-address&gt;&lt;titles&gt;&lt;title&gt;Equilibrium, Kinetics, and Thermodynamic Studies of Malachite Green Adsorption onto Fig (Ficus cartia) Leaves&lt;/title&gt;&lt;secondary-title&gt;J Anal Methods Chem&lt;/secondary-title&gt;&lt;/titles&gt;&lt;periodical&gt;&lt;full-title&gt;J Anal Methods Chem&lt;/full-title&gt;&lt;/periodical&gt;&lt;pages&gt;7384675&lt;/pages&gt;&lt;volume&gt;2020&lt;/volume&gt;&lt;edition&gt;2020/03/20&lt;/edition&gt;&lt;dates&gt;&lt;year&gt;2020&lt;/year&gt;&lt;/dates&gt;&lt;isbn&gt;2090-8865 (Print)&amp;#xD;2090-8873 (Electronic)&amp;#xD;2090-8873 (Linking)&lt;/isbn&gt;&lt;accession-num&gt;32190403&lt;/accession-num&gt;&lt;urls&gt;&lt;related-urls&gt;&lt;url&gt;https://www.ncbi.nlm.nih.gov/pubmed/32190403&lt;/url&gt;&lt;/related-urls&gt;&lt;/urls&gt;&lt;custom2&gt;PMC7073493&lt;/custom2&gt;&lt;electronic-resource-num&gt;10.1155/2020/7384675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(Gebreslassie, 2020)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γ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-Fe2O3/MWCNTs/Cellulose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&lt;EndNote&gt;&lt;Cite&gt;&lt;Author&gt;khalatbary&lt;/Author&gt;&lt;Year&gt;2022&lt;/Year&gt;&lt;RecNum&gt;115&lt;/RecNum&gt;&lt;DisplayText&gt;(khalatbary et al., 2022)&lt;/DisplayText&gt;&lt;record&gt;&lt;rec-number&gt;115&lt;/rec-number&gt;&lt;foreign-keys&gt;&lt;key app="EN" db-id="fxdd09xzk2vdriew02r5sv9ta9pd5ppd9pvr" timestamp="1688802674"&gt;115&lt;/key&gt;&lt;key app="ENWeb" db-id=""&gt;0&lt;/key&gt;&lt;/foreign-keys&gt;&lt;ref-type name="Journal Article"&gt;17&lt;/ref-type&gt;&lt;contributors&gt;&lt;authors&gt;&lt;author&gt;khalatbary, Mansooreh&lt;/author&gt;&lt;author&gt;Sayadi, Mohammad Hossein&lt;/author&gt;&lt;author&gt;Hajiani, Mahmoud&lt;/author&gt;&lt;author&gt;Nowrouzi, Mohsen&lt;/author&gt;&lt;/authors&gt;&lt;/contributors&gt;&lt;titles&gt;&lt;title&gt;Adsorption studies on the removal of malachite green by γ-Fe2O3/MWCNTs/Cellulose as an eco-friendly nanoadsorbent&lt;/title&gt;&lt;secondary-title&gt;Biomass Conversion and Biorefinery&lt;/secondary-title&gt;&lt;/titles&gt;&lt;periodical&gt;&lt;full-title&gt;Biomass Conversion and Biorefinery&lt;/full-title&gt;&lt;/periodical&gt;&lt;dates&gt;&lt;year&gt;2022&lt;/year&gt;&lt;/dates&gt;&lt;isbn&gt;2190-6815&amp;#xD;2190-6823&lt;/isbn&gt;&lt;urls&gt;&lt;/urls&gt;&lt;electronic-resource-num&gt;10.1007/s13399-022-02475-4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(khalatbary et al., 2022)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GO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&lt;EndNote&gt;&lt;Cite&gt;&lt;Author&gt;Robati&lt;/Author&gt;&lt;Year&gt;2016&lt;/Year&gt;&lt;RecNum&gt;116&lt;/RecNum&gt;&lt;DisplayText&gt;(Robati et al., 2016)&lt;/DisplayText&gt;&lt;record&gt;&lt;rec-number&gt;116&lt;/rec-number&gt;&lt;foreign-keys&gt;&lt;key app="EN" db-id="fxdd09xzk2vdriew02r5sv9ta9pd5ppd9pvr" timestamp="1688802696"&gt;116&lt;/key&gt;&lt;key app="ENWeb" db-id=""&gt;0&lt;/key&gt;&lt;/foreign-keys&gt;&lt;ref-type name="Journal Article"&gt;17&lt;/ref-type&gt;&lt;contributors&gt;&lt;authors&gt;&lt;author&gt;Robati, D.&lt;/author&gt;&lt;author&gt;Rajabi, M.&lt;/author&gt;&lt;author&gt;Moradi, O.&lt;/author&gt;&lt;author&gt;Najafi, F.&lt;/author&gt;&lt;author&gt;Tyagi, I.&lt;/author&gt;&lt;author&gt;Agarwal, Shilpi&lt;/author&gt;&lt;author&gt;Gupta, Vinod Kumar&lt;/author&gt;&lt;/authors&gt;&lt;/contributors&gt;&lt;titles&gt;&lt;title&gt;Kinetics and thermodynamics of malachite green dye adsorption from aqueous solutions on graphene oxide and reduced graphene oxide&lt;/title&gt;&lt;secondary-title&gt;Journal of Molecular Liquids&lt;/secondary-title&gt;&lt;/titles&gt;&lt;periodical&gt;&lt;full-title&gt;Journal of Molecular Liquids&lt;/full-title&gt;&lt;/periodical&gt;&lt;pages&gt;259-263&lt;/pages&gt;&lt;volume&gt;214&lt;/volume&gt;&lt;section&gt;259&lt;/section&gt;&lt;dates&gt;&lt;year&gt;2016&lt;/year&gt;&lt;/dates&gt;&lt;isbn&gt;01677322&lt;/isbn&gt;&lt;urls&gt;&lt;/urls&gt;&lt;electronic-resource-num&gt;10.1016/j.molliq.2015.12.073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(Robati et al., 2016)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rGO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&lt;EndNote&gt;&lt;Cite&gt;&lt;Author&gt;Robati&lt;/Author&gt;&lt;Year&gt;2016&lt;/Year&gt;&lt;RecNum&gt;116&lt;/RecNum&gt;&lt;DisplayText&gt;(Robati et al., 2016)&lt;/DisplayText&gt;&lt;record&gt;&lt;rec-number&gt;116&lt;/rec-number&gt;&lt;foreign-keys&gt;&lt;key app="EN" db-id="fxdd09xzk2vdriew02r5sv9ta9pd5ppd9pvr" timestamp="1688802696"&gt;116&lt;/key&gt;&lt;key app="ENWeb" db-id=""&gt;0&lt;/key&gt;&lt;/foreign-keys&gt;&lt;ref-type name="Journal Article"&gt;17&lt;/ref-type&gt;&lt;contributors&gt;&lt;authors&gt;&lt;author&gt;Robati, D.&lt;/author&gt;&lt;author&gt;Rajabi, M.&lt;/author&gt;&lt;author&gt;Moradi, O.&lt;/author&gt;&lt;author&gt;Najafi, F.&lt;/author&gt;&lt;author&gt;Tyagi, I.&lt;/author&gt;&lt;author&gt;Agarwal, Shilpi&lt;/author&gt;&lt;author&gt;Gupta, Vinod Kumar&lt;/author&gt;&lt;/authors&gt;&lt;/contributors&gt;&lt;titles&gt;&lt;title&gt;Kinetics and thermodynamics of malachite green dye adsorption from aqueous solutions on graphene oxide and reduced graphene oxide&lt;/title&gt;&lt;secondary-title&gt;Journal of Molecular Liquids&lt;/secondary-title&gt;&lt;/titles&gt;&lt;periodical&gt;&lt;full-title&gt;Journal of Molecular Liquids&lt;/full-title&gt;&lt;/periodical&gt;&lt;pages&gt;259-263&lt;/pages&gt;&lt;volume&gt;214&lt;/volume&gt;&lt;section&gt;259&lt;/section&gt;&lt;dates&gt;&lt;year&gt;2016&lt;/year&gt;&lt;/dates&gt;&lt;isbn&gt;01677322&lt;/isbn&gt;&lt;urls&gt;&lt;/urls&gt;&lt;electronic-resource-num&gt;10.1016/j.molliq.2015.12.073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(Robati et al., 2016)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CuFe2O4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&lt;EndNote&gt;&lt;Cite&gt;&lt;Author&gt;Vergis&lt;/Author&gt;&lt;Year&gt;2017&lt;/Year&gt;&lt;RecNum&gt;117&lt;/RecNum&gt;&lt;DisplayText&gt;(Vergis et al., 2017)&lt;/DisplayText&gt;&lt;record&gt;&lt;rec-number&gt;117&lt;/rec-number&gt;&lt;foreign-keys&gt;&lt;key app="EN" db-id="fxdd09xzk2vdriew02r5sv9ta9pd5ppd9pvr" timestamp="1688802720"&gt;117&lt;/key&gt;&lt;key app="ENWeb" db-id=""&gt;0&lt;/key&gt;&lt;/foreign-keys&gt;&lt;ref-type name="Journal Article"&gt;17&lt;/ref-type&gt;&lt;contributors&gt;&lt;authors&gt;&lt;author&gt;Vergis, Bincy Rose&lt;/author&gt;&lt;author&gt;Hari Krishna, R.&lt;/author&gt;&lt;author&gt;Kottam, Nagaraju&lt;/author&gt;&lt;author&gt;Nagabhushana, B. M.&lt;/author&gt;&lt;author&gt;Sharath, R.&lt;/author&gt;&lt;author&gt;Darukaprasad, B.&lt;/author&gt;&lt;/authors&gt;&lt;/contributors&gt;&lt;titles&gt;&lt;title&gt;Removal of malachite green from aqueous solution by magnetic CuFe2O4 nano-adsorbent synthesized by one pot solution combustion method&lt;/title&gt;&lt;secondary-title&gt;Journal of Nanostructure in Chemistry&lt;/secondary-title&gt;&lt;/titles&gt;&lt;periodical&gt;&lt;full-title&gt;Journal of Nanostructure in Chemistry&lt;/full-title&gt;&lt;/periodical&gt;&lt;pages&gt;1-12&lt;/pages&gt;&lt;volume&gt;8&lt;/volume&gt;&lt;number&gt;1&lt;/number&gt;&lt;section&gt;1&lt;/section&gt;&lt;dates&gt;&lt;year&gt;2017&lt;/year&gt;&lt;/dates&gt;&lt;isbn&gt;2008-9244&amp;#xD;2193-8865&lt;/isbn&gt;&lt;urls&gt;&lt;/urls&gt;&lt;electronic-resource-num&gt;10.1007/s40097-017-0249-y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(Vergis et al., 2017)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MMT/PVDF/PEO membrane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33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begin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&lt;EndNote&gt;&lt;Cite&gt;&lt;Author&gt;Ali&lt;/Author&gt;&lt;Year&gt;2021&lt;/Year&gt;&lt;RecNum&gt;118&lt;/RecNum&gt;&lt;DisplayText&gt;(Ali and Ismail, 2021)&lt;/DisplayText&gt;&lt;record&gt;&lt;rec-number&gt;118&lt;/rec-number&gt;&lt;foreign-keys&gt;&lt;key app="EN" db-id="fxdd09xzk2vdriew02r5sv9ta9pd5ppd9pvr" timestamp="1688802735"&gt;118&lt;/key&gt;&lt;key app="ENWeb" db-id=""&gt;0&lt;/key&gt;&lt;/foreign-keys&gt;&lt;ref-type name="Journal Article"&gt;17&lt;/ref-type&gt;&lt;contributors&gt;&lt;authors&gt;&lt;author&gt;Ali, Heba&lt;/author&gt;&lt;author&gt;Ismail, A. M.&lt;/author&gt;&lt;/authors&gt;&lt;/contributors&gt;&lt;titles&gt;&lt;title&gt;Developing montmorillonite/PVDF/PEO microporous membranes for removal of malachite green: adsorption, isotherms, and kinetics&lt;/title&gt;&lt;secondary-title&gt;Journal of Polymer Research&lt;/secondary-title&gt;&lt;/titles&gt;&lt;periodical&gt;&lt;full-title&gt;Journal of Polymer Research&lt;/full-title&gt;&lt;/periodical&gt;&lt;volume&gt;28&lt;/volume&gt;&lt;number&gt;11&lt;/number&gt;&lt;dates&gt;&lt;year&gt;2021&lt;/year&gt;&lt;/dates&gt;&lt;isbn&gt;1022-9760&amp;#xD;1572-8935&lt;/isbn&gt;&lt;urls&gt;&lt;/urls&gt;&lt;electronic-resource-num&gt;10.1007/s10965-021-02789-3&lt;/electronic-resource-num&gt;&lt;/record&gt;&lt;/Cite&gt;&lt;/EndNote&gt;</w:instrTex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separate"/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(Ali and Ismail, 2021)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kern w:val="0"/>
                <w:lang w:bidi="ar"/>
              </w:rPr>
              <w:t>Cu-BTC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48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kern w:val="0"/>
                <w:lang w:bidi="ar"/>
              </w:rPr>
              <w:t>TpPa-1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lang w:bidi="ar"/>
              </w:rPr>
              <w:t>26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2C6FDE" w:rsidRPr="002C6FDE">
        <w:trPr>
          <w:jc w:val="center"/>
        </w:trPr>
        <w:tc>
          <w:tcPr>
            <w:tcW w:w="3574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kern w:val="0"/>
                <w:lang w:bidi="ar"/>
              </w:rPr>
              <w:t>Cu-BTC@TpPa-1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476" w:rsidRPr="002C6FDE" w:rsidRDefault="00065AFC">
            <w:pPr>
              <w:tabs>
                <w:tab w:val="left" w:pos="769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</w:tbl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References</w:t>
      </w:r>
      <w:bookmarkEnd w:id="10"/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fldChar w:fldCharType="begin"/>
      </w:r>
      <w:r w:rsidRPr="002C6FDE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2C6FDE">
        <w:rPr>
          <w:rFonts w:ascii="Times New Roman" w:hAnsi="Times New Roman" w:cs="Times New Roman"/>
          <w:color w:val="000000" w:themeColor="text1"/>
        </w:rPr>
        <w:fldChar w:fldCharType="separate"/>
      </w:r>
      <w:r w:rsidRPr="002C6FDE">
        <w:rPr>
          <w:rFonts w:ascii="Times New Roman" w:hAnsi="Times New Roman" w:cs="Times New Roman"/>
          <w:color w:val="000000" w:themeColor="text1"/>
        </w:rPr>
        <w:t>Ali HIsmail AM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2021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Developing montmorillonite/PVDF/PEO microporous membranes for removal of malachite green: adsorption, isotherms, and kinetics.Journal of Polymer Research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 xml:space="preserve">28 (11), 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Gebreslassie YT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2020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 xml:space="preserve">Equilibrium, Kinetics, and Thermodynamic Studies of Malachite Green </w:t>
      </w:r>
      <w:r w:rsidRPr="002C6FDE">
        <w:rPr>
          <w:rFonts w:ascii="Times New Roman" w:hAnsi="Times New Roman" w:cs="Times New Roman"/>
          <w:color w:val="000000" w:themeColor="text1"/>
        </w:rPr>
        <w:lastRenderedPageBreak/>
        <w:t>Adsorption onto Fig (Ficus cartia) Leaves.J Anal Methods Chem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2020, 7384675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Goswami R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Mishra A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Prasad BBhatt N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2023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Development of Nanocellulose-Chitosan-Based Nanocomposite for Adsorption of Malachite Green: Isotherms and Kinetic Study.Water, Air, &amp; Soil Pollution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 xml:space="preserve">234 (5), 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Jacob NM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Kuruva P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Madras GThomas T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2013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Purifying Water Containing Both Anionic and Cationic Species Using a (Zn, Cu)O, ZnO, and Cobalt Ferrite Based Multiphase Adsorbent System.Industrial &amp; Engineering Chemistry Research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52 (46), 16384-16395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Jedynak KRepelewicz M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2017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Adsorption of methylene blue and malachite green on micro-mesoporous carbon materials.Adsorption Science &amp; Technology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35 (5-6), 499-506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Khalatbary M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Sayadi MH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Hajiani MNowrouzi M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2022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 xml:space="preserve">Adsorption studies on the removal of malachite green by γ-Fe2O3/MWCNTs/Cellulose as an eco-friendly nanoadsorbent.Biomass Conversion and Biorefinery, 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Li H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Fang X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Ma S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Niu Y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Zhao X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Xu JDuan Z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2017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A two-dimensional porous framework: solvent-induced structural transformation and selective adsorption towards malachite green.Dalton Trans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46 (26), 8350-8353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Robati D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Rajabi M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Moradi O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Najafi F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Tyagi I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Agarwal SGupta VK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2016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Kinetics and thermodynamics of malachite green dye adsorption from aqueous solutions on graphene oxide and reduced graphene oxide.Journal of Molecular Liquids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214, 259-263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Sekhar CP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Kalidhasan S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Rajesh VRajesh N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2009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Bio-polymer adsorbent for the removal of malachite green from aqueous solution.Chemosphere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77 (6), 842-7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Vergis BR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Hari Krishna R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Kottam N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Nagabhushana BM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Sharath RDarukaprasad B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2017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Removal of malachite green from aqueous solution by magnetic CuFe2O4 nano-adsorbent synthesized by one pot solution combustion method.Journal of Nanostructure in Chemistry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8 (1), 1-12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Wu CH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2007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Adsorption of reactive dye onto carbon nanotubes: equilibrium, kinetics and thermodynamics.J Hazard Mater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144 (1-2), 93-100</w:t>
      </w:r>
    </w:p>
    <w:p w:rsidR="00136476" w:rsidRPr="002C6FDE" w:rsidRDefault="00065AFC">
      <w:pPr>
        <w:pStyle w:val="EndNoteBibliography"/>
        <w:ind w:left="600" w:hanging="600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t>Yao BJ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Jiang WL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Dong Y</w:t>
      </w:r>
      <w:r w:rsidRPr="002C6FDE">
        <w:rPr>
          <w:rFonts w:ascii="Times New Roman" w:hAnsi="Times New Roman" w:cs="Times New Roman"/>
          <w:color w:val="000000" w:themeColor="text1"/>
        </w:rPr>
        <w:t>，</w:t>
      </w:r>
      <w:r w:rsidRPr="002C6FDE">
        <w:rPr>
          <w:rFonts w:ascii="Times New Roman" w:hAnsi="Times New Roman" w:cs="Times New Roman"/>
          <w:color w:val="000000" w:themeColor="text1"/>
        </w:rPr>
        <w:t>Liu ZXDong YB</w:t>
      </w:r>
      <w:r w:rsidRPr="002C6FDE">
        <w:rPr>
          <w:rFonts w:ascii="Times New Roman" w:eastAsia="Ã¥Â¾Â®Ã¨Â½Â¯Ã©ÂÂÃ©Â»Â" w:hAnsi="Times New Roman" w:cs="Times New Roman"/>
          <w:color w:val="000000" w:themeColor="text1"/>
        </w:rPr>
        <w:t>（</w:t>
      </w:r>
      <w:r w:rsidRPr="002C6FDE">
        <w:rPr>
          <w:rFonts w:ascii="Times New Roman" w:hAnsi="Times New Roman" w:cs="Times New Roman"/>
          <w:color w:val="000000" w:themeColor="text1"/>
        </w:rPr>
        <w:t>2016</w:t>
      </w:r>
      <w:r w:rsidRPr="002C6FDE">
        <w:rPr>
          <w:rFonts w:ascii="Times New Roman" w:eastAsia="å¾®è½¯éé»" w:hAnsi="Times New Roman" w:cs="Times New Roman"/>
          <w:color w:val="000000" w:themeColor="text1"/>
        </w:rPr>
        <w:t>）</w:t>
      </w:r>
      <w:r w:rsidRPr="002C6FDE">
        <w:rPr>
          <w:rFonts w:ascii="Times New Roman" w:hAnsi="Times New Roman" w:cs="Times New Roman"/>
          <w:color w:val="000000" w:themeColor="text1"/>
        </w:rPr>
        <w:t>Post-Synthetic Polymerization of UiO-66-NH2 Nanoparticles and Polyurethane Oligomer toward Stand-Alone Membranes for Dye Removal and Separation.Chemistry</w:t>
      </w:r>
      <w:r w:rsidRPr="002C6FDE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</w:rPr>
        <w:t>22 (30), 10565-71</w:t>
      </w:r>
    </w:p>
    <w:p w:rsidR="00136476" w:rsidRPr="002C6FDE" w:rsidRDefault="00065AFC">
      <w:pPr>
        <w:rPr>
          <w:color w:val="000000" w:themeColor="text1"/>
        </w:rPr>
      </w:pPr>
      <w:r w:rsidRPr="002C6FDE">
        <w:rPr>
          <w:rFonts w:ascii="Times New Roman" w:hAnsi="Times New Roman" w:cs="Times New Roman"/>
          <w:color w:val="000000" w:themeColor="text1"/>
        </w:rPr>
        <w:fldChar w:fldCharType="end"/>
      </w:r>
    </w:p>
    <w:p w:rsidR="00136476" w:rsidRPr="002C6FDE" w:rsidRDefault="00065AFC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C6FDE">
        <w:rPr>
          <w:rFonts w:ascii="Times New Roman" w:hAnsi="Times New Roman" w:cs="Times New Roman"/>
          <w:b/>
          <w:color w:val="000000" w:themeColor="text1"/>
          <w:sz w:val="24"/>
        </w:rPr>
        <w:t xml:space="preserve">Table S4. </w:t>
      </w:r>
      <w:bookmarkStart w:id="11" w:name="_Hlk110011790"/>
      <w:r w:rsidRPr="002C6FDE">
        <w:rPr>
          <w:rFonts w:ascii="Times New Roman" w:hAnsi="Times New Roman" w:cs="Times New Roman"/>
          <w:color w:val="000000" w:themeColor="text1"/>
          <w:sz w:val="24"/>
        </w:rPr>
        <w:t>Adsorption isotherm models used in this study and their linear forms</w:t>
      </w:r>
      <w:bookmarkEnd w:id="11"/>
    </w:p>
    <w:tbl>
      <w:tblPr>
        <w:tblW w:w="864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2624"/>
        <w:gridCol w:w="2623"/>
        <w:gridCol w:w="2054"/>
      </w:tblGrid>
      <w:tr w:rsidR="002C6FDE" w:rsidRPr="002C6FDE">
        <w:trPr>
          <w:jc w:val="center"/>
        </w:trPr>
        <w:tc>
          <w:tcPr>
            <w:tcW w:w="134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Isotherm</w:t>
            </w:r>
          </w:p>
        </w:tc>
        <w:tc>
          <w:tcPr>
            <w:tcW w:w="262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Nonlinear form</w:t>
            </w:r>
          </w:p>
        </w:tc>
        <w:tc>
          <w:tcPr>
            <w:tcW w:w="262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Linear form</w:t>
            </w:r>
          </w:p>
        </w:tc>
        <w:tc>
          <w:tcPr>
            <w:tcW w:w="20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Plot</w:t>
            </w:r>
          </w:p>
        </w:tc>
      </w:tr>
      <w:tr w:rsidR="002C6FDE" w:rsidRPr="002C6FDE">
        <w:trPr>
          <w:jc w:val="center"/>
        </w:trPr>
        <w:tc>
          <w:tcPr>
            <w:tcW w:w="1346" w:type="dxa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Langmuir-I</w:t>
            </w:r>
          </w:p>
        </w:tc>
        <w:tc>
          <w:tcPr>
            <w:tcW w:w="2624" w:type="dxa"/>
            <w:tcBorders>
              <w:top w:val="single" w:sz="8" w:space="0" w:color="auto"/>
            </w:tcBorders>
            <w:vAlign w:val="center"/>
          </w:tcPr>
          <w:p w:rsidR="00136476" w:rsidRPr="002C6FDE" w:rsidRDefault="004550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color w:val="000000" w:themeColor="text1"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 w:themeColor="text1"/>
                            <w:sz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 w:themeColor="text1"/>
                            <w:sz w:val="24"/>
                          </w:rPr>
                          <m:t>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color w:val="000000" w:themeColor="text1"/>
                        <w:sz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bCs/>
                            <w:color w:val="000000" w:themeColor="text1"/>
                            <w:sz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bCs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L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bCs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L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bCs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e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color w:val="000000" w:themeColor="text1"/>
                            <w:sz w:val="24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bCs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L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bCs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 w:themeColor="text1"/>
                                <w:sz w:val="24"/>
                              </w:rPr>
                              <m:t>e</m:t>
                            </m:r>
                          </m:sub>
                        </m:sSub>
                      </m:den>
                    </m:f>
                  </m:e>
                  <m:sub/>
                </m:sSub>
              </m:oMath>
            </m:oMathPara>
          </w:p>
        </w:tc>
        <w:tc>
          <w:tcPr>
            <w:tcW w:w="2623" w:type="dxa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30"/>
                <w:sz w:val="24"/>
              </w:rPr>
              <w:object w:dxaOrig="2116" w:dyaOrig="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2pt;height:28.85pt" o:ole="">
                  <v:imagedata r:id="rId8" o:title=""/>
                </v:shape>
                <o:OLEObject Type="Embed" ProgID="Equation.3" ShapeID="_x0000_i1025" DrawAspect="Content" ObjectID="_1755590169" r:id="rId9"/>
              </w:object>
            </w:r>
          </w:p>
        </w:tc>
        <w:tc>
          <w:tcPr>
            <w:tcW w:w="2054" w:type="dxa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30"/>
                <w:sz w:val="24"/>
              </w:rPr>
              <w:object w:dxaOrig="338" w:dyaOrig="651">
                <v:shape id="_x0000_i1026" type="#_x0000_t75" style="width:16.75pt;height:32.8pt" o:ole="">
                  <v:imagedata r:id="rId10" o:title=""/>
                </v:shape>
                <o:OLEObject Type="Embed" ProgID="Equation.3" ShapeID="_x0000_i1026" DrawAspect="Content" ObjectID="_1755590170" r:id="rId11"/>
              </w:object>
            </w: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versus </w:t>
            </w:r>
            <w:r w:rsidRPr="002C6F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C</w:t>
            </w:r>
            <w:r w:rsidRPr="002C6F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vertAlign w:val="subscript"/>
              </w:rPr>
              <w:t>e</w:t>
            </w:r>
          </w:p>
        </w:tc>
      </w:tr>
      <w:tr w:rsidR="002C6FDE" w:rsidRPr="002C6FDE">
        <w:trPr>
          <w:jc w:val="center"/>
        </w:trPr>
        <w:tc>
          <w:tcPr>
            <w:tcW w:w="1346" w:type="dxa"/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Freundlich</w:t>
            </w:r>
          </w:p>
        </w:tc>
        <w:tc>
          <w:tcPr>
            <w:tcW w:w="2624" w:type="dxa"/>
            <w:vAlign w:val="center"/>
          </w:tcPr>
          <w:p w:rsidR="00136476" w:rsidRPr="002C6FDE" w:rsidRDefault="00065AFC">
            <w:pPr>
              <w:widowControl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16"/>
                <w:sz w:val="24"/>
              </w:rPr>
              <w:object w:dxaOrig="1102" w:dyaOrig="488">
                <v:shape id="_x0000_i1027" type="#_x0000_t75" style="width:55.25pt;height:24.25pt" o:ole="">
                  <v:imagedata r:id="rId12" o:title=""/>
                </v:shape>
                <o:OLEObject Type="Embed" ProgID="Equation.3" ShapeID="_x0000_i1027" DrawAspect="Content" ObjectID="_1755590171" r:id="rId13"/>
              </w:object>
            </w:r>
          </w:p>
        </w:tc>
        <w:tc>
          <w:tcPr>
            <w:tcW w:w="2623" w:type="dxa"/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24"/>
                <w:sz w:val="24"/>
              </w:rPr>
              <w:object w:dxaOrig="2116" w:dyaOrig="538">
                <v:shape id="_x0000_i1028" type="#_x0000_t75" style="width:106.2pt;height:27.1pt" o:ole="">
                  <v:imagedata r:id="rId14" o:title=""/>
                </v:shape>
                <o:OLEObject Type="Embed" ProgID="Equation.3" ShapeID="_x0000_i1028" DrawAspect="Content" ObjectID="_1755590172" r:id="rId15"/>
              </w:object>
            </w:r>
          </w:p>
        </w:tc>
        <w:tc>
          <w:tcPr>
            <w:tcW w:w="2054" w:type="dxa"/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</w:rPr>
              <w:object w:dxaOrig="438" w:dyaOrig="338">
                <v:shape id="_x0000_i1029" type="#_x0000_t75" style="width:22.1pt;height:16.75pt" o:ole="">
                  <v:imagedata r:id="rId16" o:title=""/>
                </v:shape>
                <o:OLEObject Type="Embed" ProgID="Equation.3" ShapeID="_x0000_i1029" DrawAspect="Content" ObjectID="_1755590173" r:id="rId17"/>
              </w:object>
            </w: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versus </w:t>
            </w:r>
            <w:r w:rsidRPr="002C6FDE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</w:rPr>
              <w:object w:dxaOrig="451" w:dyaOrig="338">
                <v:shape id="_x0000_i1030" type="#_x0000_t75" style="width:22.45pt;height:16.75pt" o:ole="">
                  <v:imagedata r:id="rId18" o:title=""/>
                </v:shape>
                <o:OLEObject Type="Embed" ProgID="Equation.3" ShapeID="_x0000_i1030" DrawAspect="Content" ObjectID="_1755590174" r:id="rId19"/>
              </w:object>
            </w:r>
          </w:p>
        </w:tc>
      </w:tr>
      <w:tr w:rsidR="002C6FDE" w:rsidRPr="002C6FDE">
        <w:trPr>
          <w:jc w:val="center"/>
        </w:trPr>
        <w:tc>
          <w:tcPr>
            <w:tcW w:w="1346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D–R</w:t>
            </w:r>
          </w:p>
        </w:tc>
        <w:tc>
          <w:tcPr>
            <w:tcW w:w="2624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</w:rPr>
              <w:object w:dxaOrig="1402" w:dyaOrig="388">
                <v:shape id="_x0000_i1031" type="#_x0000_t75" style="width:70.2pt;height:19.6pt" o:ole="">
                  <v:imagedata r:id="rId20" o:title=""/>
                </v:shape>
                <o:OLEObject Type="Embed" ProgID="Equation.3" ShapeID="_x0000_i1031" DrawAspect="Content" ObjectID="_1755590175" r:id="rId21"/>
              </w:object>
            </w:r>
          </w:p>
        </w:tc>
        <w:tc>
          <w:tcPr>
            <w:tcW w:w="2623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position w:val="-12"/>
                <w:sz w:val="24"/>
              </w:rPr>
              <w:object w:dxaOrig="1678" w:dyaOrig="338">
                <v:shape id="_x0000_i1032" type="#_x0000_t75" style="width:84.1pt;height:16.75pt" o:ole="">
                  <v:imagedata r:id="rId22" o:title=""/>
                </v:shape>
                <o:OLEObject Type="Embed" ProgID="Equation.3" ShapeID="_x0000_i1032" DrawAspect="Content" ObjectID="_1755590176" r:id="rId23"/>
              </w:object>
            </w:r>
          </w:p>
        </w:tc>
        <w:tc>
          <w:tcPr>
            <w:tcW w:w="2054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>ln</w:t>
            </w:r>
            <w:r w:rsidRPr="002C6F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</w:rPr>
              <w:t>q</w:t>
            </w:r>
            <w:r w:rsidRPr="002C6F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vertAlign w:val="subscript"/>
              </w:rPr>
              <w:t>e</w:t>
            </w:r>
            <w:r w:rsidRPr="002C6F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versus </w:t>
            </w:r>
            <w:r w:rsidRPr="002C6FDE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ε</w:t>
            </w:r>
            <w:r w:rsidRPr="002C6FDE"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</w:rPr>
              <w:t>2</w:t>
            </w:r>
          </w:p>
        </w:tc>
      </w:tr>
    </w:tbl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Where q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>e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is the maximum capacity of adsorption in mg/g; K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>L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is a constant related to the affinity of the binding sites in L/mg; ‘K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>f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’ and ‘n’ are the measures of adsorption capacity and intensity of adsorption; q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>s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is the D-R isotherm constant in mg/g; K</w:t>
      </w:r>
      <w:r w:rsidRPr="002C6FD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  <w:vertAlign w:val="subscript"/>
        </w:rPr>
        <w:t xml:space="preserve">D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stands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lastRenderedPageBreak/>
        <w:t>for the constant that is relevant with the adsorption energy in mol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/kJ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; ε represents the Polanyi potential constant in kJ/mol;  </w:t>
      </w: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136476">
      <w:pPr>
        <w:widowControl/>
        <w:jc w:val="left"/>
        <w:rPr>
          <w:color w:val="000000" w:themeColor="text1"/>
        </w:rPr>
        <w:sectPr w:rsidR="00136476" w:rsidRPr="002C6F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6476" w:rsidRPr="002C6FDE" w:rsidRDefault="00065AFC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C6FD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Table S5. </w:t>
      </w:r>
      <w:r w:rsidRPr="002C6FDE">
        <w:rPr>
          <w:rFonts w:ascii="Times New Roman" w:hAnsi="Times New Roman" w:cs="Times New Roman"/>
          <w:color w:val="000000" w:themeColor="text1"/>
          <w:sz w:val="24"/>
        </w:rPr>
        <w:t>Adsorption isothermal model fitting parameters of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2" w:name="_Hlk110012098"/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>Cu-BTC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TpPa-1</w:t>
      </w:r>
      <w:bookmarkStart w:id="13" w:name="_Hlk110005592"/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Cu-BTC@TpPa-1(12)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Cu-BTC@TpPa-1(24)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>Cu-BTC@TpPa-1(36)</w:t>
      </w:r>
      <w:bookmarkEnd w:id="12"/>
      <w:bookmarkEnd w:id="13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9"/>
        <w:gridCol w:w="1140"/>
        <w:gridCol w:w="1140"/>
        <w:gridCol w:w="1140"/>
        <w:gridCol w:w="1139"/>
        <w:gridCol w:w="1140"/>
        <w:gridCol w:w="1140"/>
        <w:gridCol w:w="1140"/>
        <w:gridCol w:w="1140"/>
      </w:tblGrid>
      <w:tr w:rsidR="002C6FDE" w:rsidRPr="002C6FDE">
        <w:trPr>
          <w:trHeight w:val="732"/>
          <w:jc w:val="center"/>
        </w:trPr>
        <w:tc>
          <w:tcPr>
            <w:tcW w:w="2694" w:type="dxa"/>
            <w:vMerge w:val="restart"/>
            <w:tcBorders>
              <w:top w:val="single" w:sz="12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/>
                <w:color w:val="000000" w:themeColor="text1"/>
                <w:sz w:val="18"/>
                <w:szCs w:val="18"/>
              </w:rPr>
            </w:pPr>
            <w:bookmarkStart w:id="14" w:name="_Hlk110008052"/>
            <w:r w:rsidRPr="002C6FDE"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Samples</w:t>
            </w:r>
          </w:p>
        </w:tc>
        <w:tc>
          <w:tcPr>
            <w:tcW w:w="3419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36476" w:rsidRPr="002C6FDE" w:rsidRDefault="00065AFC">
            <w:pPr>
              <w:tabs>
                <w:tab w:val="left" w:pos="2535"/>
              </w:tabs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 w:rsidRPr="002C6FDE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1"/>
                <w:lang w:bidi="ar"/>
              </w:rPr>
              <w:t>Langmuir</w:t>
            </w:r>
            <w:r w:rsidRPr="002C6FDE">
              <w:rPr>
                <w:rFonts w:ascii="Times New Roman" w:eastAsia="宋体" w:hAnsi="Times New Roman" w:hint="eastAsia"/>
                <w:color w:val="000000" w:themeColor="text1"/>
                <w:kern w:val="0"/>
                <w:sz w:val="24"/>
                <w:szCs w:val="21"/>
                <w:lang w:bidi="ar"/>
              </w:rPr>
              <w:t xml:space="preserve"> </w:t>
            </w:r>
            <w:r w:rsidRPr="002C6FDE"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Model</w:t>
            </w:r>
          </w:p>
        </w:tc>
        <w:tc>
          <w:tcPr>
            <w:tcW w:w="3419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1"/>
                <w:lang w:bidi="ar"/>
              </w:rPr>
              <w:t>Freundlich</w:t>
            </w:r>
            <w:r w:rsidRPr="002C6FDE">
              <w:rPr>
                <w:rFonts w:ascii="Times New Roman" w:eastAsia="宋体" w:hAnsi="Times New Roman" w:hint="eastAsia"/>
                <w:color w:val="000000" w:themeColor="text1"/>
                <w:kern w:val="0"/>
                <w:sz w:val="24"/>
                <w:szCs w:val="21"/>
                <w:lang w:bidi="ar"/>
              </w:rPr>
              <w:t xml:space="preserve"> </w:t>
            </w:r>
            <w:r w:rsidRPr="002C6FDE"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Model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36476" w:rsidRPr="002C6FDE" w:rsidRDefault="00065AFC">
            <w:pPr>
              <w:tabs>
                <w:tab w:val="left" w:pos="2535"/>
              </w:tabs>
              <w:spacing w:line="360" w:lineRule="auto"/>
              <w:jc w:val="center"/>
              <w:rPr>
                <w:rFonts w:ascii="Times New Roman" w:eastAsia="宋体" w:hAnsi="Times New Roman"/>
                <w:bCs/>
                <w:color w:val="000000" w:themeColor="text1"/>
                <w:sz w:val="24"/>
                <w:szCs w:val="21"/>
              </w:rPr>
            </w:pPr>
            <w:r w:rsidRPr="002C6FDE"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1"/>
                <w:lang w:bidi="ar"/>
              </w:rPr>
              <w:t>D-R</w:t>
            </w:r>
            <w:r w:rsidRPr="002C6FDE">
              <w:rPr>
                <w:rFonts w:ascii="Times New Roman" w:eastAsia="宋体" w:hAnsi="Times New Roman" w:hint="eastAsia"/>
                <w:color w:val="000000" w:themeColor="text1"/>
                <w:kern w:val="0"/>
                <w:sz w:val="24"/>
                <w:szCs w:val="21"/>
                <w:lang w:bidi="ar"/>
              </w:rPr>
              <w:t xml:space="preserve"> </w:t>
            </w:r>
            <w:r w:rsidRPr="002C6FDE">
              <w:rPr>
                <w:rFonts w:ascii="Times New Roman" w:eastAsia="宋体" w:hAnsi="Times New Roman" w:hint="eastAsia"/>
                <w:bCs/>
                <w:color w:val="000000" w:themeColor="text1"/>
                <w:sz w:val="24"/>
                <w:szCs w:val="21"/>
              </w:rPr>
              <w:t>Model</w:t>
            </w:r>
          </w:p>
        </w:tc>
      </w:tr>
      <w:tr w:rsidR="002C6FDE" w:rsidRPr="002C6FDE">
        <w:trPr>
          <w:trHeight w:val="962"/>
          <w:jc w:val="center"/>
        </w:trPr>
        <w:tc>
          <w:tcPr>
            <w:tcW w:w="2694" w:type="dxa"/>
            <w:vMerge/>
            <w:tcBorders>
              <w:bottom w:val="single" w:sz="8" w:space="0" w:color="auto"/>
            </w:tcBorders>
            <w:vAlign w:val="center"/>
          </w:tcPr>
          <w:p w:rsidR="00136476" w:rsidRPr="002C6FDE" w:rsidRDefault="001364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q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L</w:t>
            </w:r>
          </w:p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(mg/g)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</w:pPr>
            <w:r w:rsidRPr="002C6FDE"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  <w:t>K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L</w:t>
            </w:r>
          </w:p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(L/mg)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R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K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f</w:t>
            </w:r>
          </w:p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(L/g)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R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q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s</w:t>
            </w:r>
          </w:p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(mg/g)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K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bscript"/>
              </w:rPr>
              <w:t>D</w:t>
            </w:r>
          </w:p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(mol</w:t>
            </w: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  <w:vertAlign w:val="superscript"/>
              </w:rPr>
              <w:t>2</w:t>
            </w: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/kJ</w:t>
            </w: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  <w:vertAlign w:val="superscript"/>
              </w:rPr>
              <w:t>2</w:t>
            </w:r>
            <w:r w:rsidRPr="002C6FDE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ecilia-Roman" w:hAnsi="Times New Roman" w:cs="Times New Roman"/>
                <w:i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</w:rPr>
              <w:t>R</w:t>
            </w:r>
            <w:r w:rsidRPr="002C6FDE">
              <w:rPr>
                <w:rFonts w:ascii="Times New Roman" w:eastAsia="宋体" w:hAnsi="Times New Roman" w:cs="Times New Roman"/>
                <w:i/>
                <w:color w:val="000000" w:themeColor="text1"/>
                <w:szCs w:val="21"/>
                <w:vertAlign w:val="superscript"/>
              </w:rPr>
              <w:t>2</w:t>
            </w:r>
          </w:p>
        </w:tc>
      </w:tr>
      <w:tr w:rsidR="002C6FDE" w:rsidRPr="002C6FDE">
        <w:trPr>
          <w:trHeight w:val="607"/>
          <w:jc w:val="center"/>
        </w:trPr>
        <w:tc>
          <w:tcPr>
            <w:tcW w:w="2694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Cu-BTC</w:t>
            </w:r>
          </w:p>
        </w:tc>
        <w:tc>
          <w:tcPr>
            <w:tcW w:w="1139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47.77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0.0196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.9911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7.1751</w:t>
            </w:r>
          </w:p>
        </w:tc>
        <w:tc>
          <w:tcPr>
            <w:tcW w:w="1139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2.01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.9111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41.51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10.6414</w:t>
            </w: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.9216</w:t>
            </w:r>
          </w:p>
        </w:tc>
      </w:tr>
      <w:tr w:rsidR="002C6FDE" w:rsidRPr="002C6FDE">
        <w:trPr>
          <w:trHeight w:val="509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TpPa-1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25.94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.0025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0.9993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7.2569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.73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.7298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26.95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9.5765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.9663</w:t>
            </w:r>
          </w:p>
        </w:tc>
      </w:tr>
      <w:tr w:rsidR="002C6FDE" w:rsidRPr="002C6FDE">
        <w:trPr>
          <w:trHeight w:val="562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Cu-BTC@ TpPa-1(12)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54.69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.0376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.9963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10.5157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2.34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.9141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4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7.33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8.0022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.9192</w:t>
            </w:r>
          </w:p>
        </w:tc>
      </w:tr>
      <w:tr w:rsidR="002C6FDE" w:rsidRPr="002C6FDE">
        <w:trPr>
          <w:trHeight w:val="562"/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Cu-BTC@ TpPa-1(24)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58.93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.0163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.9984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12.6362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2.32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.8287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56.6503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7.7706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0.9801</w:t>
            </w:r>
          </w:p>
        </w:tc>
      </w:tr>
      <w:tr w:rsidR="002C6FDE" w:rsidRPr="002C6FDE">
        <w:trPr>
          <w:trHeight w:val="562"/>
          <w:jc w:val="center"/>
        </w:trPr>
        <w:tc>
          <w:tcPr>
            <w:tcW w:w="2694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lang w:bidi="ar"/>
              </w:rPr>
              <w:t>Cu-BTC@ TpPa-1(36)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8.17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.0298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.9918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4.6415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.31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.8419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6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2.71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5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.3532</w:t>
            </w:r>
          </w:p>
        </w:tc>
        <w:tc>
          <w:tcPr>
            <w:tcW w:w="1140" w:type="dxa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.9394</w:t>
            </w:r>
          </w:p>
        </w:tc>
      </w:tr>
      <w:bookmarkEnd w:id="14"/>
    </w:tbl>
    <w:p w:rsidR="00136476" w:rsidRPr="002C6FDE" w:rsidRDefault="00136476">
      <w:pPr>
        <w:widowControl/>
        <w:jc w:val="left"/>
        <w:rPr>
          <w:color w:val="000000" w:themeColor="text1"/>
        </w:rPr>
        <w:sectPr w:rsidR="00136476" w:rsidRPr="002C6F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36476" w:rsidRPr="002C6FDE" w:rsidRDefault="00065AFC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15" w:name="_Hlk488220373"/>
      <w:r w:rsidRPr="002C6FDE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S</w:t>
      </w:r>
      <w:bookmarkEnd w:id="15"/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6.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>Kinetic</w:t>
      </w:r>
      <w:r w:rsidRPr="002C6FDE">
        <w:rPr>
          <w:rFonts w:ascii="Times New Roman" w:hAnsi="Times New Roman" w:cs="Times New Roman"/>
          <w:color w:val="000000" w:themeColor="text1"/>
          <w:sz w:val="24"/>
        </w:rPr>
        <w:t xml:space="preserve"> isotherm models used in this study and their linear forms</w:t>
      </w:r>
    </w:p>
    <w:tbl>
      <w:tblPr>
        <w:tblW w:w="666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3361"/>
      </w:tblGrid>
      <w:tr w:rsidR="002C6FDE" w:rsidRPr="002C6FDE">
        <w:trPr>
          <w:jc w:val="center"/>
        </w:trPr>
        <w:tc>
          <w:tcPr>
            <w:tcW w:w="33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  <w:t xml:space="preserve">Name </w:t>
            </w:r>
          </w:p>
        </w:tc>
        <w:tc>
          <w:tcPr>
            <w:tcW w:w="33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b/>
                <w:color w:val="000000" w:themeColor="text1"/>
                <w:szCs w:val="24"/>
              </w:rPr>
              <w:t>equations</w:t>
            </w:r>
          </w:p>
        </w:tc>
      </w:tr>
      <w:tr w:rsidR="002C6FDE" w:rsidRPr="002C6FDE">
        <w:trPr>
          <w:jc w:val="center"/>
        </w:trPr>
        <w:tc>
          <w:tcPr>
            <w:tcW w:w="3302" w:type="dxa"/>
            <w:vAlign w:val="center"/>
          </w:tcPr>
          <w:p w:rsidR="00136476" w:rsidRPr="002C6FDE" w:rsidRDefault="00065A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Pseudo-first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order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3361" w:type="dxa"/>
            <w:vAlign w:val="center"/>
          </w:tcPr>
          <w:p w:rsidR="00136476" w:rsidRPr="002C6FDE" w:rsidRDefault="00065AFC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2379" w:dyaOrig="351">
                <v:shape id="_x0000_i1033" type="#_x0000_t75" style="width:119.05pt;height:17.8pt" o:ole="">
                  <v:imagedata r:id="rId24" o:title=""/>
                </v:shape>
                <o:OLEObject Type="Embed" ProgID="Equation.3" ShapeID="_x0000_i1033" DrawAspect="Content" ObjectID="_1755590177" r:id="rId25"/>
              </w:object>
            </w:r>
          </w:p>
        </w:tc>
      </w:tr>
      <w:tr w:rsidR="002C6FDE" w:rsidRPr="002C6FDE">
        <w:trPr>
          <w:jc w:val="center"/>
        </w:trPr>
        <w:tc>
          <w:tcPr>
            <w:tcW w:w="3302" w:type="dxa"/>
            <w:vAlign w:val="center"/>
          </w:tcPr>
          <w:p w:rsidR="00136476" w:rsidRPr="002C6FDE" w:rsidRDefault="00065A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2C6FDE">
              <w:rPr>
                <w:rFonts w:ascii="Times New Roman" w:eastAsia="GulliverRM" w:hAnsi="Times New Roman" w:cs="Times New Roman"/>
                <w:color w:val="000000" w:themeColor="text1"/>
                <w:kern w:val="0"/>
                <w:sz w:val="24"/>
                <w:szCs w:val="24"/>
              </w:rPr>
              <w:t>Pseudo-second order model</w:t>
            </w:r>
          </w:p>
        </w:tc>
        <w:tc>
          <w:tcPr>
            <w:tcW w:w="3361" w:type="dxa"/>
            <w:vAlign w:val="center"/>
          </w:tcPr>
          <w:p w:rsidR="00136476" w:rsidRPr="002C6FDE" w:rsidRDefault="00065AFC">
            <w:pPr>
              <w:widowControl/>
              <w:spacing w:line="480" w:lineRule="auto"/>
              <w:ind w:firstLineChars="200" w:firstLine="48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C6FDE">
              <w:rPr>
                <w:rFonts w:ascii="Times New Roman" w:eastAsia="GulliverRM" w:hAnsi="Times New Roman" w:cs="Times New Roman"/>
                <w:color w:val="000000" w:themeColor="text1"/>
                <w:kern w:val="0"/>
                <w:position w:val="-30"/>
                <w:sz w:val="24"/>
                <w:szCs w:val="24"/>
              </w:rPr>
              <w:object w:dxaOrig="1540" w:dyaOrig="689">
                <v:shape id="_x0000_i1034" type="#_x0000_t75" style="width:77pt;height:34.55pt" o:ole="">
                  <v:imagedata r:id="rId26" o:title=""/>
                </v:shape>
                <o:OLEObject Type="Embed" ProgID="Equation.3" ShapeID="_x0000_i1034" DrawAspect="Content" ObjectID="_1755590178" r:id="rId27"/>
              </w:object>
            </w:r>
          </w:p>
        </w:tc>
      </w:tr>
      <w:tr w:rsidR="002C6FDE" w:rsidRPr="002C6FDE">
        <w:trPr>
          <w:jc w:val="center"/>
        </w:trPr>
        <w:tc>
          <w:tcPr>
            <w:tcW w:w="3302" w:type="dxa"/>
            <w:vAlign w:val="center"/>
          </w:tcPr>
          <w:p w:rsidR="00136476" w:rsidRPr="002C6FDE" w:rsidRDefault="00065A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bookmarkStart w:id="16" w:name="_Hlk110012666"/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Intra-particle diffusion model</w:t>
            </w:r>
            <w:bookmarkEnd w:id="16"/>
          </w:p>
        </w:tc>
        <w:tc>
          <w:tcPr>
            <w:tcW w:w="3361" w:type="dxa"/>
            <w:vAlign w:val="center"/>
          </w:tcPr>
          <w:p w:rsidR="00136476" w:rsidRPr="002C6FDE" w:rsidRDefault="00065A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position w:val="-12"/>
                <w:sz w:val="24"/>
                <w:szCs w:val="24"/>
              </w:rPr>
              <w:object w:dxaOrig="1052" w:dyaOrig="388">
                <v:shape id="_x0000_i1035" type="#_x0000_t75" style="width:52.4pt;height:19.6pt" o:ole="">
                  <v:imagedata r:id="rId28" o:title=""/>
                </v:shape>
                <o:OLEObject Type="Embed" ProgID="Equation.3" ShapeID="_x0000_i1035" DrawAspect="Content" ObjectID="_1755590179" r:id="rId29"/>
              </w:object>
            </w:r>
          </w:p>
        </w:tc>
      </w:tr>
      <w:tr w:rsidR="002C6FDE" w:rsidRPr="002C6FDE">
        <w:trPr>
          <w:jc w:val="center"/>
        </w:trPr>
        <w:tc>
          <w:tcPr>
            <w:tcW w:w="3302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Normalized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standard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deviation</w:t>
            </w:r>
          </w:p>
        </w:tc>
        <w:tc>
          <w:tcPr>
            <w:tcW w:w="3361" w:type="dxa"/>
            <w:tcBorders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4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position w:val="-32"/>
                <w:sz w:val="24"/>
                <w:szCs w:val="24"/>
              </w:rPr>
              <w:object w:dxaOrig="3030" w:dyaOrig="751">
                <v:shape id="_x0000_i1036" type="#_x0000_t75" style="width:151.5pt;height:37.45pt" o:ole="">
                  <v:imagedata r:id="rId30" o:title=""/>
                </v:shape>
                <o:OLEObject Type="Embed" ProgID="Equation.3" ShapeID="_x0000_i1036" DrawAspect="Content" ObjectID="_1755590180" r:id="rId31"/>
              </w:object>
            </w:r>
          </w:p>
        </w:tc>
      </w:tr>
    </w:tbl>
    <w:p w:rsidR="00136476" w:rsidRPr="002C6FDE" w:rsidRDefault="00065AFC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Where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q</w:t>
      </w:r>
      <w:r w:rsidRPr="002C6FDE">
        <w:rPr>
          <w:rFonts w:ascii="Times New Roman" w:eastAsia="宋体" w:hAnsi="Times New Roman" w:cs="Times New Roman" w:hint="eastAsia"/>
          <w:i/>
          <w:color w:val="000000" w:themeColor="text1"/>
          <w:szCs w:val="21"/>
          <w:vertAlign w:val="subscript"/>
        </w:rPr>
        <w:t>e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and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q</w:t>
      </w:r>
      <w:r w:rsidRPr="002C6FDE">
        <w:rPr>
          <w:rFonts w:ascii="Times New Roman" w:eastAsia="宋体" w:hAnsi="Times New Roman" w:cs="Times New Roman" w:hint="eastAsia"/>
          <w:i/>
          <w:color w:val="000000" w:themeColor="text1"/>
          <w:szCs w:val="21"/>
          <w:vertAlign w:val="subscript"/>
        </w:rPr>
        <w:t>t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(mg/g) are the uptake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>s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of 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>thiophene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at equilibrium and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at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time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t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(min), respectively,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K</w:t>
      </w:r>
      <w:r w:rsidRPr="002C6FDE">
        <w:rPr>
          <w:rFonts w:ascii="Times New Roman" w:eastAsia="宋体" w:hAnsi="Times New Roman" w:cs="Times New Roman" w:hint="eastAsia"/>
          <w:i/>
          <w:color w:val="000000" w:themeColor="text1"/>
          <w:szCs w:val="21"/>
          <w:vertAlign w:val="subscript"/>
        </w:rPr>
        <w:t>1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(1/min)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is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the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adsorption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rate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constant,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K</w:t>
      </w:r>
      <w:r w:rsidRPr="002C6FDE">
        <w:rPr>
          <w:rFonts w:ascii="Times New Roman" w:eastAsia="宋体" w:hAnsi="Times New Roman" w:cs="Times New Roman" w:hint="eastAsia"/>
          <w:i/>
          <w:color w:val="000000" w:themeColor="text1"/>
          <w:szCs w:val="21"/>
          <w:vertAlign w:val="subscript"/>
        </w:rPr>
        <w:t xml:space="preserve">2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(g/mg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>.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min) is the rate constant for the second-order equation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,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and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K</w:t>
      </w:r>
      <w:r w:rsidRPr="002C6FDE">
        <w:rPr>
          <w:rFonts w:ascii="Times New Roman" w:eastAsia="宋体" w:hAnsi="Times New Roman" w:cs="Times New Roman" w:hint="eastAsia"/>
          <w:i/>
          <w:color w:val="000000" w:themeColor="text1"/>
          <w:szCs w:val="21"/>
          <w:vertAlign w:val="subscript"/>
        </w:rPr>
        <w:t xml:space="preserve">3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(mg/g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>.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min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  <w:vertAlign w:val="superscript"/>
        </w:rPr>
        <w:t>1/2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) is the intra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>-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>particle diffusion rate constant</w:t>
      </w:r>
      <w:r w:rsidRPr="002C6FDE">
        <w:rPr>
          <w:rFonts w:ascii="Times New Roman" w:eastAsia="宋体" w:hAnsi="Times New Roman" w:cs="Times New Roman" w:hint="eastAsia"/>
          <w:color w:val="000000" w:themeColor="text1"/>
          <w:szCs w:val="21"/>
        </w:rPr>
        <w:t>.</w:t>
      </w:r>
    </w:p>
    <w:p w:rsidR="00136476" w:rsidRPr="002C6FDE" w:rsidRDefault="00065AFC">
      <w:pPr>
        <w:spacing w:line="48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bookmarkStart w:id="17" w:name="_Hlk487874871"/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Where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q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  <w:vertAlign w:val="subscript"/>
        </w:rPr>
        <w:t>e,exp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 and 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>q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  <w:vertAlign w:val="subscript"/>
        </w:rPr>
        <w:t>e,cal</w:t>
      </w:r>
      <w:r w:rsidRPr="002C6FDE">
        <w:rPr>
          <w:rFonts w:ascii="Times New Roman" w:eastAsia="宋体" w:hAnsi="Times New Roman" w:cs="Times New Roman"/>
          <w:i/>
          <w:color w:val="000000" w:themeColor="text1"/>
          <w:szCs w:val="21"/>
        </w:rPr>
        <w:t xml:space="preserve"> </w:t>
      </w:r>
      <w:r w:rsidRPr="002C6FDE">
        <w:rPr>
          <w:rFonts w:ascii="Times New Roman" w:eastAsia="宋体" w:hAnsi="Times New Roman" w:cs="Times New Roman"/>
          <w:color w:val="000000" w:themeColor="text1"/>
          <w:szCs w:val="21"/>
        </w:rPr>
        <w:t xml:space="preserve">are the experimental and calculation uptakes of MG, respectively. </w:t>
      </w:r>
      <w:bookmarkEnd w:id="17"/>
    </w:p>
    <w:p w:rsidR="00136476" w:rsidRPr="002C6FDE" w:rsidRDefault="00136476">
      <w:pPr>
        <w:widowControl/>
        <w:jc w:val="left"/>
        <w:rPr>
          <w:color w:val="000000" w:themeColor="text1"/>
        </w:rPr>
        <w:sectPr w:rsidR="00136476" w:rsidRPr="002C6F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36476" w:rsidRPr="002C6FDE" w:rsidRDefault="00065AF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Hlk76717116"/>
      <w:r w:rsidRPr="002C6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bookmarkStart w:id="19" w:name="_Hlk110011828"/>
      <w:r w:rsidRPr="002C6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>Kinetic</w:t>
      </w:r>
      <w:bookmarkEnd w:id="19"/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parameters of MG adsorbed onto </w:t>
      </w:r>
      <w:bookmarkStart w:id="20" w:name="_Hlk110012692"/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>Cu-BTC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TpPa-1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Cu-BTC@TpPa-1(12)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Cu-BTC@TpPa-1(24)</w:t>
      </w:r>
      <w:r w:rsidRPr="002C6FD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2C6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Cu-BTC@TpPa-1(36)</w:t>
      </w:r>
      <w:bookmarkEnd w:id="18"/>
      <w:bookmarkEnd w:id="20"/>
    </w:p>
    <w:tbl>
      <w:tblPr>
        <w:tblW w:w="584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851"/>
        <w:gridCol w:w="848"/>
        <w:gridCol w:w="851"/>
        <w:gridCol w:w="851"/>
        <w:gridCol w:w="851"/>
        <w:gridCol w:w="851"/>
        <w:gridCol w:w="848"/>
        <w:gridCol w:w="1418"/>
        <w:gridCol w:w="851"/>
        <w:gridCol w:w="851"/>
        <w:gridCol w:w="851"/>
        <w:gridCol w:w="848"/>
        <w:gridCol w:w="1562"/>
        <w:gridCol w:w="851"/>
      </w:tblGrid>
      <w:tr w:rsidR="002C6FDE" w:rsidRPr="002C6FDE">
        <w:trPr>
          <w:trHeight w:val="324"/>
          <w:jc w:val="center"/>
        </w:trPr>
        <w:tc>
          <w:tcPr>
            <w:tcW w:w="696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Samples</w:t>
            </w:r>
          </w:p>
        </w:tc>
        <w:tc>
          <w:tcPr>
            <w:tcW w:w="1565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Pseudo-first-order rate equation</w:t>
            </w:r>
          </w:p>
        </w:tc>
        <w:tc>
          <w:tcPr>
            <w:tcW w:w="1739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Pseudo-second-order rate equation</w:t>
            </w:r>
          </w:p>
        </w:tc>
        <w:tc>
          <w:tcPr>
            <w:tcW w:w="100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Intra-particle diffusion model</w:t>
            </w:r>
          </w:p>
        </w:tc>
      </w:tr>
      <w:tr w:rsidR="002C6FDE" w:rsidRPr="002C6FDE">
        <w:trPr>
          <w:jc w:val="center"/>
        </w:trPr>
        <w:tc>
          <w:tcPr>
            <w:tcW w:w="696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:rsidR="00136476" w:rsidRPr="002C6FDE" w:rsidRDefault="0013647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e,exp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(mg/g)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e,cal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(mg/g)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K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1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(1/min)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R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2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宋体" w:eastAsia="宋体" w:hAnsi="宋体" w:cs="宋体" w:hint="eastAsia"/>
                <w:bCs/>
                <w:color w:val="000000" w:themeColor="text1"/>
              </w:rPr>
              <w:t>△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(mg/g)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宋体" w:eastAsia="宋体" w:hAnsi="宋体" w:cs="宋体" w:hint="eastAsia"/>
                <w:bCs/>
                <w:color w:val="000000" w:themeColor="text1"/>
              </w:rPr>
              <w:t>△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(%)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e,exp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(mg/g)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e,cal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(mg/g)</w:t>
            </w:r>
          </w:p>
        </w:tc>
        <w:tc>
          <w:tcPr>
            <w:tcW w:w="43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K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2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(g·mg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-1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·min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-1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)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R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2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宋体" w:eastAsia="宋体" w:hAnsi="宋体" w:cs="宋体" w:hint="eastAsia"/>
                <w:bCs/>
                <w:color w:val="000000" w:themeColor="text1"/>
              </w:rPr>
              <w:t>△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(mg/g)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宋体" w:eastAsia="宋体" w:hAnsi="宋体" w:cs="宋体" w:hint="eastAsia"/>
                <w:bCs/>
                <w:color w:val="000000" w:themeColor="text1"/>
              </w:rPr>
              <w:t>△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q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(%)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C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 xml:space="preserve"> 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(mg/g)</w:t>
            </w:r>
          </w:p>
        </w:tc>
        <w:tc>
          <w:tcPr>
            <w:tcW w:w="47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K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bscript"/>
              </w:rPr>
              <w:t>3</w:t>
            </w:r>
          </w:p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(mg·g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-1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·min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-1/2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)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R</w:t>
            </w:r>
            <w:r w:rsidRPr="002C6FD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vertAlign w:val="superscript"/>
              </w:rPr>
              <w:t>2</w:t>
            </w:r>
          </w:p>
        </w:tc>
      </w:tr>
      <w:tr w:rsidR="002C6FDE" w:rsidRPr="002C6FDE">
        <w:trPr>
          <w:jc w:val="center"/>
        </w:trPr>
        <w:tc>
          <w:tcPr>
            <w:tcW w:w="696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  <w:szCs w:val="21"/>
              </w:rPr>
              <w:t>Cu-BTC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3.19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2.28</w:t>
            </w:r>
          </w:p>
        </w:tc>
        <w:tc>
          <w:tcPr>
            <w:tcW w:w="260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0.0492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0.9862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0.91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3.19</w:t>
            </w:r>
          </w:p>
        </w:tc>
        <w:tc>
          <w:tcPr>
            <w:tcW w:w="260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0.80</w:t>
            </w:r>
          </w:p>
        </w:tc>
        <w:tc>
          <w:tcPr>
            <w:tcW w:w="435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0.0011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0.9981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-7.61</w:t>
            </w:r>
          </w:p>
        </w:tc>
        <w:tc>
          <w:tcPr>
            <w:tcW w:w="261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-17.61</w:t>
            </w:r>
          </w:p>
        </w:tc>
        <w:tc>
          <w:tcPr>
            <w:tcW w:w="260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8.23</w:t>
            </w:r>
          </w:p>
        </w:tc>
        <w:tc>
          <w:tcPr>
            <w:tcW w:w="479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.7097</w:t>
            </w:r>
          </w:p>
        </w:tc>
        <w:tc>
          <w:tcPr>
            <w:tcW w:w="260" w:type="pct"/>
            <w:tcBorders>
              <w:top w:val="single" w:sz="8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0.3901</w:t>
            </w:r>
          </w:p>
        </w:tc>
      </w:tr>
      <w:tr w:rsidR="002C6FDE" w:rsidRPr="002C6FDE">
        <w:trPr>
          <w:jc w:val="center"/>
        </w:trPr>
        <w:tc>
          <w:tcPr>
            <w:tcW w:w="696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TpPa-1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5.26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4.64</w:t>
            </w:r>
          </w:p>
        </w:tc>
        <w:tc>
          <w:tcPr>
            <w:tcW w:w="260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0.0439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0.9235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2.04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.2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60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8.71</w:t>
            </w:r>
          </w:p>
        </w:tc>
        <w:tc>
          <w:tcPr>
            <w:tcW w:w="435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.0035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0.9903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--3.45</w:t>
            </w:r>
          </w:p>
        </w:tc>
        <w:tc>
          <w:tcPr>
            <w:tcW w:w="261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-13.66</w:t>
            </w:r>
          </w:p>
        </w:tc>
        <w:tc>
          <w:tcPr>
            <w:tcW w:w="260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0.66</w:t>
            </w:r>
          </w:p>
        </w:tc>
        <w:tc>
          <w:tcPr>
            <w:tcW w:w="479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.6779</w:t>
            </w:r>
          </w:p>
        </w:tc>
        <w:tc>
          <w:tcPr>
            <w:tcW w:w="260" w:type="pct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0.7374</w:t>
            </w:r>
          </w:p>
        </w:tc>
      </w:tr>
      <w:tr w:rsidR="002C6FDE" w:rsidRPr="002C6FDE">
        <w:trPr>
          <w:jc w:val="center"/>
        </w:trPr>
        <w:tc>
          <w:tcPr>
            <w:tcW w:w="696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Cu-BTC@ TpPa-1(12)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9.11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59.29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0.0551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0.8710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10.18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20.72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9.11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4.12</w:t>
            </w:r>
          </w:p>
        </w:tc>
        <w:tc>
          <w:tcPr>
            <w:tcW w:w="435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.0014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0.9938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-5.01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-10.20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13.53</w:t>
            </w:r>
          </w:p>
        </w:tc>
        <w:tc>
          <w:tcPr>
            <w:tcW w:w="479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.8807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0.8312</w:t>
            </w:r>
          </w:p>
        </w:tc>
      </w:tr>
      <w:tr w:rsidR="002C6FDE" w:rsidRPr="002C6FDE">
        <w:trPr>
          <w:jc w:val="center"/>
        </w:trPr>
        <w:tc>
          <w:tcPr>
            <w:tcW w:w="696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Cu-BTC@ TpPa-1(24)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4.28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4.00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.0692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.8183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9.72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15.12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4.28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8.14</w:t>
            </w:r>
          </w:p>
        </w:tc>
        <w:tc>
          <w:tcPr>
            <w:tcW w:w="435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.0015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.9909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3.86</w:t>
            </w:r>
          </w:p>
        </w:tc>
        <w:tc>
          <w:tcPr>
            <w:tcW w:w="261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5.66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7.37</w:t>
            </w:r>
          </w:p>
        </w:tc>
        <w:tc>
          <w:tcPr>
            <w:tcW w:w="479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.9728</w:t>
            </w:r>
          </w:p>
        </w:tc>
        <w:tc>
          <w:tcPr>
            <w:tcW w:w="260" w:type="pct"/>
            <w:tcBorders>
              <w:bottom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.7887</w:t>
            </w:r>
          </w:p>
        </w:tc>
      </w:tr>
      <w:tr w:rsidR="00136476" w:rsidRPr="002C6FDE">
        <w:trPr>
          <w:trHeight w:val="393"/>
          <w:jc w:val="center"/>
        </w:trPr>
        <w:tc>
          <w:tcPr>
            <w:tcW w:w="696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Cu-BTC@ TpPa-1(36)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6.22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0.94</w:t>
            </w:r>
          </w:p>
        </w:tc>
        <w:tc>
          <w:tcPr>
            <w:tcW w:w="260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0.0623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0.9171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14.72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26.18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6.22</w:t>
            </w:r>
          </w:p>
        </w:tc>
        <w:tc>
          <w:tcPr>
            <w:tcW w:w="260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435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.0017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0.9939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-4.10</w:t>
            </w:r>
          </w:p>
        </w:tc>
        <w:tc>
          <w:tcPr>
            <w:tcW w:w="261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-7.29</w:t>
            </w:r>
          </w:p>
        </w:tc>
        <w:tc>
          <w:tcPr>
            <w:tcW w:w="260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8.24</w:t>
            </w:r>
          </w:p>
        </w:tc>
        <w:tc>
          <w:tcPr>
            <w:tcW w:w="479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2C6FDE">
              <w:rPr>
                <w:rFonts w:ascii="Times New Roman" w:hAnsi="Times New Roman" w:cs="Times New Roman"/>
                <w:color w:val="000000" w:themeColor="text1"/>
              </w:rPr>
              <w:t>.2483</w:t>
            </w:r>
          </w:p>
        </w:tc>
        <w:tc>
          <w:tcPr>
            <w:tcW w:w="260" w:type="pct"/>
            <w:tcBorders>
              <w:top w:val="nil"/>
              <w:bottom w:val="single" w:sz="12" w:space="0" w:color="auto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C6FDE">
              <w:rPr>
                <w:rFonts w:ascii="Times New Roman" w:hAnsi="Times New Roman" w:cs="Times New Roman"/>
                <w:color w:val="000000" w:themeColor="text1"/>
              </w:rPr>
              <w:t>0.8246</w:t>
            </w:r>
          </w:p>
        </w:tc>
      </w:tr>
    </w:tbl>
    <w:p w:rsidR="00136476" w:rsidRPr="002C6FDE" w:rsidRDefault="00136476">
      <w:pPr>
        <w:rPr>
          <w:rFonts w:ascii="Times New Roman" w:hAnsi="Times New Roman" w:cs="Times New Roman"/>
          <w:color w:val="000000" w:themeColor="text1"/>
        </w:rPr>
      </w:pPr>
    </w:p>
    <w:p w:rsidR="00136476" w:rsidRPr="002C6FDE" w:rsidRDefault="00136476">
      <w:pPr>
        <w:widowControl/>
        <w:jc w:val="left"/>
        <w:rPr>
          <w:color w:val="000000" w:themeColor="text1"/>
        </w:rPr>
        <w:sectPr w:rsidR="00136476" w:rsidRPr="002C6F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36476" w:rsidRPr="002C6FDE" w:rsidRDefault="00065AFC">
      <w:pPr>
        <w:spacing w:line="480" w:lineRule="auto"/>
        <w:rPr>
          <w:rFonts w:ascii="Times New Roman" w:eastAsia="GulliverRM" w:hAnsi="Times New Roman" w:cs="Times New Roman"/>
          <w:color w:val="000000" w:themeColor="text1"/>
          <w:kern w:val="0"/>
          <w:sz w:val="24"/>
          <w:szCs w:val="24"/>
        </w:rPr>
      </w:pP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S8.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Diffusion coefficients of RhB adsorbed onto </w:t>
      </w:r>
      <w:r w:rsidRPr="002C6FDE">
        <w:rPr>
          <w:rFonts w:ascii="Times New Roman" w:eastAsia="GulliverRM" w:hAnsi="Times New Roman" w:cs="Times New Roman"/>
          <w:color w:val="000000" w:themeColor="text1"/>
          <w:kern w:val="0"/>
          <w:sz w:val="24"/>
          <w:szCs w:val="24"/>
        </w:rPr>
        <w:t>Cu-BTC and Cu-BTC@SPC</w:t>
      </w:r>
    </w:p>
    <w:tbl>
      <w:tblPr>
        <w:tblpPr w:leftFromText="180" w:rightFromText="180" w:vertAnchor="page" w:horzAnchor="margin" w:tblpXSpec="center" w:tblpY="273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34"/>
        <w:gridCol w:w="2180"/>
      </w:tblGrid>
      <w:tr w:rsidR="002C6FDE" w:rsidRPr="002C6FDE">
        <w:trPr>
          <w:trHeight w:val="692"/>
          <w:jc w:val="center"/>
        </w:trPr>
        <w:tc>
          <w:tcPr>
            <w:tcW w:w="32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1" w:name="_Hlk101256747"/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  <w:t>Samples</w:t>
            </w:r>
          </w:p>
        </w:tc>
        <w:tc>
          <w:tcPr>
            <w:tcW w:w="26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  <w:t>K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  <w:t xml:space="preserve"> </w:t>
            </w:r>
            <w:r w:rsidRPr="002C6FDE">
              <w:rPr>
                <w:rFonts w:ascii="Times New Roman" w:eastAsia="宋体" w:hAnsi="Times New Roman" w:cs="Times New Roman" w:hint="eastAsia"/>
                <w:b/>
                <w:bCs/>
                <w:iCs/>
                <w:color w:val="000000" w:themeColor="text1"/>
                <w:szCs w:val="21"/>
              </w:rPr>
              <w:t>(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  <w:t>s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  <w:vertAlign w:val="superscript"/>
              </w:rPr>
              <w:t>-1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  <w:vertAlign w:val="subscript"/>
              </w:rPr>
            </w:pPr>
            <w:r w:rsidRPr="002C6FDE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szCs w:val="21"/>
              </w:rPr>
              <w:t>D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  <w:vertAlign w:val="subscript"/>
              </w:rPr>
              <w:t xml:space="preserve">iq 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  <w:t>(cm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  <w:vertAlign w:val="superscript"/>
              </w:rPr>
              <w:t>2</w:t>
            </w:r>
            <w:r w:rsidRPr="002C6FDE">
              <w:rPr>
                <w:rFonts w:ascii="Times New Roman" w:eastAsia="宋体" w:hAnsi="Times New Roman" w:cs="Times New Roman"/>
                <w:b/>
                <w:bCs/>
                <w:iCs/>
                <w:color w:val="000000" w:themeColor="text1"/>
                <w:szCs w:val="21"/>
              </w:rPr>
              <w:t>/s)</w:t>
            </w:r>
          </w:p>
        </w:tc>
      </w:tr>
      <w:tr w:rsidR="002C6FDE" w:rsidRPr="002C6FDE">
        <w:trPr>
          <w:trHeight w:val="397"/>
          <w:jc w:val="center"/>
        </w:trPr>
        <w:tc>
          <w:tcPr>
            <w:tcW w:w="32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TpPa-1</w:t>
            </w:r>
          </w:p>
        </w:tc>
        <w:tc>
          <w:tcPr>
            <w:tcW w:w="26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422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1.4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233E-0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</w:t>
            </w:r>
          </w:p>
        </w:tc>
      </w:tr>
      <w:tr w:rsidR="002C6FDE" w:rsidRPr="002C6FDE">
        <w:trPr>
          <w:trHeight w:val="464"/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u-BTC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.0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2" w:name="_Hlk101256946"/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1221E-1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bookmarkEnd w:id="22"/>
          </w:p>
        </w:tc>
      </w:tr>
      <w:tr w:rsidR="002C6FDE" w:rsidRPr="002C6FDE">
        <w:trPr>
          <w:trHeight w:val="464"/>
          <w:jc w:val="center"/>
        </w:trPr>
        <w:tc>
          <w:tcPr>
            <w:tcW w:w="32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Cu-BTC@TpPa-1(24)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.0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36476" w:rsidRPr="002C6FDE" w:rsidRDefault="00065AF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bookmarkStart w:id="23" w:name="_Hlk101256877"/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</w:t>
            </w:r>
            <w:r w:rsidRPr="002C6FD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</w:t>
            </w:r>
            <w:r w:rsidRPr="002C6FDE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324E-10</w:t>
            </w:r>
            <w:bookmarkEnd w:id="23"/>
          </w:p>
        </w:tc>
      </w:tr>
      <w:bookmarkEnd w:id="21"/>
    </w:tbl>
    <w:p w:rsidR="00136476" w:rsidRPr="002C6FDE" w:rsidRDefault="00136476">
      <w:pPr>
        <w:rPr>
          <w:color w:val="000000" w:themeColor="text1"/>
        </w:rPr>
      </w:pP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065AFC">
      <w:pPr>
        <w:rPr>
          <w:color w:val="000000" w:themeColor="text1"/>
        </w:rPr>
      </w:pPr>
      <w:r w:rsidRPr="002C6FDE">
        <w:rPr>
          <w:noProof/>
          <w:color w:val="000000" w:themeColor="text1"/>
        </w:rPr>
        <w:drawing>
          <wp:inline distT="0" distB="0" distL="0" distR="0">
            <wp:extent cx="5029835" cy="38481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3951" cy="385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136476">
      <w:pPr>
        <w:rPr>
          <w:color w:val="000000" w:themeColor="text1"/>
        </w:rPr>
      </w:pPr>
    </w:p>
    <w:p w:rsidR="00136476" w:rsidRPr="002C6FDE" w:rsidRDefault="00065AF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2C6FD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Fig. S1 </w:t>
      </w:r>
      <w:r w:rsidRPr="002C6FD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Intra-particle diffusion model</w:t>
      </w:r>
      <w:r w:rsidRPr="002C6FD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for MG adsorption onto</w:t>
      </w:r>
      <w:r w:rsidRPr="002C6FDE">
        <w:rPr>
          <w:rFonts w:ascii="宋体" w:eastAsia="宋体" w:hAnsi="宋体" w:cs="宋体"/>
          <w:color w:val="000000" w:themeColor="text1"/>
          <w:kern w:val="0"/>
          <w:szCs w:val="21"/>
        </w:rPr>
        <w:t xml:space="preserve"> </w:t>
      </w:r>
      <w:r w:rsidRPr="002C6FDE">
        <w:rPr>
          <w:rFonts w:ascii="Times New Roman" w:hAnsi="Times New Roman" w:cs="Times New Roman"/>
          <w:color w:val="000000" w:themeColor="text1"/>
          <w:szCs w:val="21"/>
        </w:rPr>
        <w:t>Cu-BTC</w:t>
      </w:r>
      <w:r w:rsidRPr="002C6FDE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2C6FDE">
        <w:rPr>
          <w:rFonts w:ascii="Times New Roman" w:hAnsi="Times New Roman" w:cs="Times New Roman"/>
          <w:color w:val="000000" w:themeColor="text1"/>
          <w:szCs w:val="21"/>
        </w:rPr>
        <w:t xml:space="preserve"> TpPa-1</w:t>
      </w:r>
      <w:r w:rsidRPr="002C6FDE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2C6FDE">
        <w:rPr>
          <w:rFonts w:ascii="Times New Roman" w:hAnsi="Times New Roman" w:cs="Times New Roman"/>
          <w:color w:val="000000" w:themeColor="text1"/>
          <w:szCs w:val="21"/>
        </w:rPr>
        <w:t xml:space="preserve"> Cu-BTC@TpPa-1(12)</w:t>
      </w:r>
      <w:r w:rsidRPr="002C6FDE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2C6FDE">
        <w:rPr>
          <w:rFonts w:ascii="Times New Roman" w:hAnsi="Times New Roman" w:cs="Times New Roman"/>
          <w:color w:val="000000" w:themeColor="text1"/>
          <w:szCs w:val="21"/>
        </w:rPr>
        <w:t xml:space="preserve"> Cu-BTC@TpPa-1(24)</w:t>
      </w:r>
      <w:r w:rsidRPr="002C6FDE"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2C6FDE">
        <w:rPr>
          <w:rFonts w:ascii="Times New Roman" w:hAnsi="Times New Roman" w:cs="Times New Roman"/>
          <w:color w:val="000000" w:themeColor="text1"/>
          <w:szCs w:val="21"/>
        </w:rPr>
        <w:t xml:space="preserve"> Cu-BTC@TpPa-1(36)</w:t>
      </w:r>
    </w:p>
    <w:sectPr w:rsidR="00136476" w:rsidRPr="002C6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086" w:rsidRDefault="00455086" w:rsidP="00E3641E">
      <w:r>
        <w:separator/>
      </w:r>
    </w:p>
  </w:endnote>
  <w:endnote w:type="continuationSeparator" w:id="0">
    <w:p w:rsidR="00455086" w:rsidRDefault="00455086" w:rsidP="00E3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Ã¥Â¾Â®Ã¨Â½Â¯Ã©ÂÂÃ©Â»Â">
    <w:altName w:val="宋体"/>
    <w:charset w:val="86"/>
    <w:family w:val="roman"/>
    <w:pitch w:val="default"/>
  </w:font>
  <w:font w:name="å¾®è½¯éé»">
    <w:altName w:val="宋体"/>
    <w:charset w:val="86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ecilia-Roman">
    <w:altName w:val="宋体"/>
    <w:charset w:val="86"/>
    <w:family w:val="auto"/>
    <w:pitch w:val="default"/>
    <w:sig w:usb0="00000000" w:usb1="00000000" w:usb2="00000010" w:usb3="00000000" w:csb0="00040000" w:csb1="00000000"/>
  </w:font>
  <w:font w:name="GulliverRM">
    <w:altName w:val="Dotum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086" w:rsidRDefault="00455086" w:rsidP="00E3641E">
      <w:r>
        <w:separator/>
      </w:r>
    </w:p>
  </w:footnote>
  <w:footnote w:type="continuationSeparator" w:id="0">
    <w:p w:rsidR="00455086" w:rsidRDefault="00455086" w:rsidP="00E36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mNGVlNzliYzMzMjhhNDY0ZTA0MWM4ZmVlOWQwYmEifQ=="/>
  </w:docVars>
  <w:rsids>
    <w:rsidRoot w:val="007B3262"/>
    <w:rsid w:val="00021855"/>
    <w:rsid w:val="00065AFC"/>
    <w:rsid w:val="000802DD"/>
    <w:rsid w:val="0013176F"/>
    <w:rsid w:val="00136476"/>
    <w:rsid w:val="00193563"/>
    <w:rsid w:val="001D0261"/>
    <w:rsid w:val="00226E09"/>
    <w:rsid w:val="002C6FDE"/>
    <w:rsid w:val="003336F8"/>
    <w:rsid w:val="00340E3B"/>
    <w:rsid w:val="00366A1D"/>
    <w:rsid w:val="00422636"/>
    <w:rsid w:val="00455086"/>
    <w:rsid w:val="004739D5"/>
    <w:rsid w:val="00493916"/>
    <w:rsid w:val="004968CC"/>
    <w:rsid w:val="005F61A5"/>
    <w:rsid w:val="00624B23"/>
    <w:rsid w:val="006F7768"/>
    <w:rsid w:val="00720231"/>
    <w:rsid w:val="0075268E"/>
    <w:rsid w:val="00763108"/>
    <w:rsid w:val="007736CE"/>
    <w:rsid w:val="007957BA"/>
    <w:rsid w:val="00797F7D"/>
    <w:rsid w:val="007B3262"/>
    <w:rsid w:val="007B5040"/>
    <w:rsid w:val="007C37A2"/>
    <w:rsid w:val="007D6F3B"/>
    <w:rsid w:val="007F1053"/>
    <w:rsid w:val="007F55A6"/>
    <w:rsid w:val="008132D8"/>
    <w:rsid w:val="00833A9B"/>
    <w:rsid w:val="008B20B7"/>
    <w:rsid w:val="008B2B56"/>
    <w:rsid w:val="008B4935"/>
    <w:rsid w:val="008B5746"/>
    <w:rsid w:val="00900EEF"/>
    <w:rsid w:val="00904284"/>
    <w:rsid w:val="00934B27"/>
    <w:rsid w:val="00987C7B"/>
    <w:rsid w:val="009A7EBA"/>
    <w:rsid w:val="00A04561"/>
    <w:rsid w:val="00B04CED"/>
    <w:rsid w:val="00B061CE"/>
    <w:rsid w:val="00B8455D"/>
    <w:rsid w:val="00C85944"/>
    <w:rsid w:val="00C87B6C"/>
    <w:rsid w:val="00CB5393"/>
    <w:rsid w:val="00D02691"/>
    <w:rsid w:val="00D9734F"/>
    <w:rsid w:val="00DD28DA"/>
    <w:rsid w:val="00DE577E"/>
    <w:rsid w:val="00E22534"/>
    <w:rsid w:val="00E3641E"/>
    <w:rsid w:val="00EC2DA6"/>
    <w:rsid w:val="00EE2721"/>
    <w:rsid w:val="00F071CE"/>
    <w:rsid w:val="00F11D1B"/>
    <w:rsid w:val="00F26D24"/>
    <w:rsid w:val="00F34997"/>
    <w:rsid w:val="00F54652"/>
    <w:rsid w:val="16E11DAC"/>
    <w:rsid w:val="1F4C47EB"/>
    <w:rsid w:val="45134B62"/>
    <w:rsid w:val="4A8E0989"/>
    <w:rsid w:val="501F5CCC"/>
    <w:rsid w:val="5582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A56309-AEC9-4D1D-BF44-AA3E11DE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emf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4418</Words>
  <Characters>25189</Characters>
  <Application>Microsoft Office Word</Application>
  <DocSecurity>0</DocSecurity>
  <Lines>209</Lines>
  <Paragraphs>59</Paragraphs>
  <ScaleCrop>false</ScaleCrop>
  <Company>Microsoft</Company>
  <LinksUpToDate>false</LinksUpToDate>
  <CharactersWithSpaces>29548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三</dc:creator>
  <cp:lastModifiedBy>WIN</cp:lastModifiedBy>
  <cp:revision>60</cp:revision>
  <dcterms:created xsi:type="dcterms:W3CDTF">2022-07-29T01:49:00Z</dcterms:created>
  <dcterms:modified xsi:type="dcterms:W3CDTF">2023-09-07T03:09:00Z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5B9F380D76B94D378695D350F3A1DBCC_12</vt:lpwstr>
  </property>
</Properties>
</file>