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E4F8E" w14:textId="77777777" w:rsidR="00D455ED" w:rsidRPr="008D3FD4" w:rsidRDefault="00D455ED" w:rsidP="00D455ED">
      <w:pPr>
        <w:pStyle w:val="Titre1"/>
        <w:rPr>
          <w:rFonts w:ascii="Calibri" w:hAnsi="Calibri" w:cs="Calibri"/>
          <w:lang w:val="en-US"/>
        </w:rPr>
      </w:pPr>
      <w:r w:rsidRPr="008D3FD4">
        <w:rPr>
          <w:rFonts w:ascii="Calibri" w:hAnsi="Calibri" w:cs="Calibri"/>
          <w:lang w:val="en-US"/>
        </w:rPr>
        <w:t>Supplementary Material</w:t>
      </w:r>
    </w:p>
    <w:p w14:paraId="1F8EE0B7" w14:textId="77777777" w:rsidR="00D455ED" w:rsidRPr="008D3FD4" w:rsidRDefault="00D455ED" w:rsidP="00D455ED">
      <w:pPr>
        <w:rPr>
          <w:rFonts w:ascii="Calibri" w:hAnsi="Calibri" w:cs="Calibri"/>
          <w:lang w:val="en-US"/>
        </w:rPr>
      </w:pPr>
      <w:r w:rsidRPr="008D3FD4">
        <w:rPr>
          <w:rFonts w:ascii="Calibri" w:hAnsi="Calibri" w:cs="Calibri"/>
          <w:lang w:val="en-US"/>
        </w:rPr>
        <w:t>Table S1: Summary results of the surveys conducted in France and Switzerland</w:t>
      </w:r>
    </w:p>
    <w:p w14:paraId="474F960F" w14:textId="77777777" w:rsidR="00D455ED" w:rsidRPr="008D3FD4" w:rsidRDefault="00D455ED" w:rsidP="00D455ED">
      <w:pPr>
        <w:rPr>
          <w:rFonts w:ascii="Calibri" w:hAnsi="Calibri" w:cs="Calibri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4"/>
        <w:gridCol w:w="2262"/>
        <w:gridCol w:w="3827"/>
        <w:gridCol w:w="5954"/>
      </w:tblGrid>
      <w:tr w:rsidR="00D455ED" w:rsidRPr="008D3FD4" w14:paraId="5F4A7038" w14:textId="77777777" w:rsidTr="008F5A7F">
        <w:tc>
          <w:tcPr>
            <w:tcW w:w="1844" w:type="dxa"/>
          </w:tcPr>
          <w:p w14:paraId="533CA586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</w:rPr>
            </w:pPr>
            <w:r w:rsidRPr="008D3FD4">
              <w:rPr>
                <w:rFonts w:ascii="Calibri" w:hAnsi="Calibri" w:cs="Calibri"/>
                <w:sz w:val="20"/>
                <w:szCs w:val="20"/>
              </w:rPr>
              <w:t>Survey (date)</w:t>
            </w:r>
          </w:p>
        </w:tc>
        <w:tc>
          <w:tcPr>
            <w:tcW w:w="2262" w:type="dxa"/>
          </w:tcPr>
          <w:p w14:paraId="58A6EAFB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</w:rPr>
            </w:pPr>
            <w:r w:rsidRPr="008D3FD4">
              <w:rPr>
                <w:rFonts w:ascii="Calibri" w:hAnsi="Calibri" w:cs="Calibri"/>
                <w:sz w:val="20"/>
                <w:szCs w:val="20"/>
              </w:rPr>
              <w:t>Population</w:t>
            </w:r>
          </w:p>
        </w:tc>
        <w:tc>
          <w:tcPr>
            <w:tcW w:w="3827" w:type="dxa"/>
          </w:tcPr>
          <w:p w14:paraId="16918F34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</w:rPr>
            </w:pPr>
            <w:r w:rsidRPr="008D3FD4">
              <w:rPr>
                <w:rFonts w:ascii="Calibri" w:hAnsi="Calibri" w:cs="Calibri"/>
                <w:sz w:val="20"/>
                <w:szCs w:val="20"/>
              </w:rPr>
              <w:t>UCHP investigated</w:t>
            </w:r>
          </w:p>
        </w:tc>
        <w:tc>
          <w:tcPr>
            <w:tcW w:w="5954" w:type="dxa"/>
          </w:tcPr>
          <w:p w14:paraId="692F8692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</w:rPr>
            </w:pPr>
            <w:r w:rsidRPr="008D3FD4">
              <w:rPr>
                <w:rFonts w:ascii="Calibri" w:hAnsi="Calibri" w:cs="Calibri"/>
                <w:sz w:val="20"/>
                <w:szCs w:val="20"/>
              </w:rPr>
              <w:t xml:space="preserve">Main results </w:t>
            </w:r>
          </w:p>
        </w:tc>
      </w:tr>
      <w:tr w:rsidR="00D455ED" w:rsidRPr="00474A9A" w14:paraId="0BF1551C" w14:textId="77777777" w:rsidTr="008F5A7F">
        <w:tc>
          <w:tcPr>
            <w:tcW w:w="1844" w:type="dxa"/>
          </w:tcPr>
          <w:p w14:paraId="45C004BC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</w:rPr>
            </w:pPr>
            <w:r w:rsidRPr="008D3FD4">
              <w:rPr>
                <w:rFonts w:ascii="Calibri" w:hAnsi="Calibri" w:cs="Calibri"/>
                <w:sz w:val="20"/>
                <w:szCs w:val="20"/>
              </w:rPr>
              <w:t>IFOP (Nov. 2007)</w:t>
            </w:r>
          </w:p>
          <w:p w14:paraId="72828BD1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</w:rPr>
            </w:pPr>
            <w:r w:rsidRPr="008D3FD4">
              <w:rPr>
                <w:rFonts w:ascii="Calibri" w:hAnsi="Calibri" w:cs="Calibri"/>
                <w:sz w:val="20"/>
                <w:szCs w:val="20"/>
              </w:rPr>
              <w:t>France</w:t>
            </w:r>
          </w:p>
        </w:tc>
        <w:tc>
          <w:tcPr>
            <w:tcW w:w="2262" w:type="dxa"/>
          </w:tcPr>
          <w:p w14:paraId="153AC3DE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N = 958 </w:t>
            </w:r>
          </w:p>
          <w:p w14:paraId="0A78E7B4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Representative sample </w:t>
            </w:r>
          </w:p>
          <w:p w14:paraId="5B5DA5E0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Quota method</w:t>
            </w:r>
          </w:p>
          <w:p w14:paraId="32B17923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Age: 18 years and older</w:t>
            </w:r>
          </w:p>
        </w:tc>
        <w:tc>
          <w:tcPr>
            <w:tcW w:w="3827" w:type="dxa"/>
          </w:tcPr>
          <w:p w14:paraId="5D8109BB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Acupuncture, Homeopathy, Osteopathy, Phytotherapy, Thalassotherapy, Other</w:t>
            </w:r>
          </w:p>
        </w:tc>
        <w:tc>
          <w:tcPr>
            <w:tcW w:w="5954" w:type="dxa"/>
          </w:tcPr>
          <w:p w14:paraId="3A5F38DB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Lifetime: NA</w:t>
            </w:r>
          </w:p>
          <w:p w14:paraId="7214EEF1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Last year: 39% (from 4% for thalassotherapy to 27% for homeopathy)</w:t>
            </w:r>
          </w:p>
          <w:p w14:paraId="281F7509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Good/very good opinion: NA</w:t>
            </w:r>
          </w:p>
          <w:p w14:paraId="59D999E2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UCHP use in addition to conventional treatments: 55%</w:t>
            </w:r>
          </w:p>
        </w:tc>
      </w:tr>
      <w:tr w:rsidR="00D455ED" w:rsidRPr="00474A9A" w14:paraId="68C2EF4D" w14:textId="77777777" w:rsidTr="008F5A7F">
        <w:tc>
          <w:tcPr>
            <w:tcW w:w="1844" w:type="dxa"/>
          </w:tcPr>
          <w:p w14:paraId="445ADD20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Harris (Oct. 2019)</w:t>
            </w:r>
          </w:p>
          <w:p w14:paraId="6CE1F92D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</w:rPr>
              <w:t>France</w:t>
            </w:r>
          </w:p>
        </w:tc>
        <w:tc>
          <w:tcPr>
            <w:tcW w:w="2262" w:type="dxa"/>
          </w:tcPr>
          <w:p w14:paraId="34212A69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N = 1,500</w:t>
            </w:r>
          </w:p>
          <w:p w14:paraId="7764C9BE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Representative sample </w:t>
            </w:r>
          </w:p>
          <w:p w14:paraId="709C88CA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Quota method</w:t>
            </w:r>
          </w:p>
          <w:p w14:paraId="40389682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Age: 18 years and older</w:t>
            </w:r>
          </w:p>
        </w:tc>
        <w:tc>
          <w:tcPr>
            <w:tcW w:w="3827" w:type="dxa"/>
          </w:tcPr>
          <w:p w14:paraId="55F2CD12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Acupuncture, Chiropractic, Dietary, Homeopathy, Hypnosis, Naturopathy, Osteopathy, Phytotherapy, Reflexology, Shiatsu, Sophrology</w:t>
            </w:r>
          </w:p>
        </w:tc>
        <w:tc>
          <w:tcPr>
            <w:tcW w:w="5954" w:type="dxa"/>
          </w:tcPr>
          <w:p w14:paraId="5EB20F31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Lifetime: Osteopathy (49%) homeopathy (33%), acupuncture (28%)</w:t>
            </w:r>
          </w:p>
          <w:p w14:paraId="6FFDBAF7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Last year: from 5% (hypnosis) to 32% (osteopathy) </w:t>
            </w:r>
          </w:p>
          <w:p w14:paraId="73FA92B5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Good/very good opinion: 86% </w:t>
            </w:r>
          </w:p>
          <w:p w14:paraId="6EDB290E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UCHP use in addition to conventional treatments: 54%</w:t>
            </w:r>
          </w:p>
        </w:tc>
      </w:tr>
      <w:tr w:rsidR="00D455ED" w:rsidRPr="00474A9A" w14:paraId="52352378" w14:textId="77777777" w:rsidTr="008F5A7F">
        <w:tc>
          <w:tcPr>
            <w:tcW w:w="1844" w:type="dxa"/>
          </w:tcPr>
          <w:p w14:paraId="1963487F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Harris (Feb. 2021)</w:t>
            </w:r>
          </w:p>
          <w:p w14:paraId="10E0FCB7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</w:rPr>
              <w:t>France</w:t>
            </w:r>
          </w:p>
        </w:tc>
        <w:tc>
          <w:tcPr>
            <w:tcW w:w="2262" w:type="dxa"/>
          </w:tcPr>
          <w:p w14:paraId="224BC463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N = 1,575</w:t>
            </w:r>
          </w:p>
          <w:p w14:paraId="4FB9BD84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Representative sample</w:t>
            </w:r>
          </w:p>
          <w:p w14:paraId="23A84998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Quota method</w:t>
            </w:r>
          </w:p>
          <w:p w14:paraId="0A1C217E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Age: 18 years and older</w:t>
            </w:r>
          </w:p>
        </w:tc>
        <w:tc>
          <w:tcPr>
            <w:tcW w:w="3827" w:type="dxa"/>
          </w:tcPr>
          <w:p w14:paraId="743D8702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Acupuncture, Chiropractic, Dietary, Homeopathy, Hypnosis, Naturopathy, Osteopathy, Phytotherapy, Psychology, Reflexology, Shiatsu, Sophrology</w:t>
            </w:r>
          </w:p>
        </w:tc>
        <w:tc>
          <w:tcPr>
            <w:tcW w:w="5954" w:type="dxa"/>
          </w:tcPr>
          <w:p w14:paraId="77714651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Lifetime: 56% </w:t>
            </w:r>
          </w:p>
          <w:p w14:paraId="4FA39586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Last year: NA </w:t>
            </w:r>
          </w:p>
          <w:p w14:paraId="51AC1882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Good/very good opinion: 85%</w:t>
            </w:r>
          </w:p>
        </w:tc>
      </w:tr>
      <w:tr w:rsidR="00D455ED" w:rsidRPr="00474A9A" w14:paraId="6C7DDF03" w14:textId="77777777" w:rsidTr="008F5A7F">
        <w:tc>
          <w:tcPr>
            <w:tcW w:w="1844" w:type="dxa"/>
          </w:tcPr>
          <w:p w14:paraId="5B9E902E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Odoxa – Unadfi </w:t>
            </w:r>
          </w:p>
          <w:p w14:paraId="6D0E0987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(Apr. 2023)</w:t>
            </w:r>
          </w:p>
          <w:p w14:paraId="4E90718F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</w:rPr>
              <w:t>France</w:t>
            </w:r>
          </w:p>
        </w:tc>
        <w:tc>
          <w:tcPr>
            <w:tcW w:w="2262" w:type="dxa"/>
          </w:tcPr>
          <w:p w14:paraId="16615BFC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N = 1,005</w:t>
            </w:r>
          </w:p>
          <w:p w14:paraId="30128EA4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Representative sample </w:t>
            </w:r>
          </w:p>
          <w:p w14:paraId="52F6F6FA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Quota method</w:t>
            </w:r>
          </w:p>
          <w:p w14:paraId="676DC702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Age: 18 years and older</w:t>
            </w:r>
          </w:p>
        </w:tc>
        <w:tc>
          <w:tcPr>
            <w:tcW w:w="3827" w:type="dxa"/>
          </w:tcPr>
          <w:p w14:paraId="79789108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Acupuncture, Ayurveda, Bach Flowers, Essential oils, Fasting, Homeopathy, Hypnosis, Kinesiology, Magnetism, Meditation, Naturopathy, Osteopathy, Phytotherapy, Prayer, Shiatsu/reflexology, Sophrology, Yoga</w:t>
            </w:r>
          </w:p>
        </w:tc>
        <w:tc>
          <w:tcPr>
            <w:tcW w:w="5954" w:type="dxa"/>
          </w:tcPr>
          <w:p w14:paraId="2160E308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Lifetime: 8% (prayer) to 46% (osteopathy).</w:t>
            </w:r>
          </w:p>
          <w:p w14:paraId="1CF27EF4" w14:textId="77777777" w:rsidR="00D455ED" w:rsidRPr="008D3FD4" w:rsidRDefault="00D455ED" w:rsidP="00D455ED">
            <w:pPr>
              <w:pStyle w:val="Paragraphedeliste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All together: 89% with a very large panel of UCHP</w:t>
            </w:r>
          </w:p>
          <w:p w14:paraId="1DFD1056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Last year: 7.5% (prayer) to 35.9% (osteopathy)</w:t>
            </w:r>
          </w:p>
          <w:p w14:paraId="106887D7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Good/very good opinion: 70%</w:t>
            </w:r>
          </w:p>
          <w:p w14:paraId="152FF95B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UCHP are complementary to conventional treatments: 76%</w:t>
            </w:r>
          </w:p>
        </w:tc>
      </w:tr>
      <w:tr w:rsidR="00D455ED" w:rsidRPr="00474A9A" w14:paraId="63A347C2" w14:textId="77777777" w:rsidTr="008F5A7F">
        <w:tc>
          <w:tcPr>
            <w:tcW w:w="1844" w:type="dxa"/>
          </w:tcPr>
          <w:p w14:paraId="33E176D1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Swiss Health Surveys</w:t>
            </w:r>
          </w:p>
          <w:p w14:paraId="6B980C29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(2007)</w:t>
            </w:r>
          </w:p>
          <w:p w14:paraId="431771BD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2262" w:type="dxa"/>
          </w:tcPr>
          <w:p w14:paraId="7573286A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N = 14,432</w:t>
            </w:r>
          </w:p>
          <w:p w14:paraId="5DE252A8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Representative sample</w:t>
            </w:r>
          </w:p>
          <w:p w14:paraId="4E89E374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Quota method</w:t>
            </w:r>
          </w:p>
          <w:p w14:paraId="1AE7AC9D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Age: 15 years and older</w:t>
            </w:r>
          </w:p>
        </w:tc>
        <w:tc>
          <w:tcPr>
            <w:tcW w:w="3827" w:type="dxa"/>
          </w:tcPr>
          <w:p w14:paraId="44D5C3D9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Acupuncture, Ayurveda, Herbal medicine, Homeopathy, Naturopathy, Osteopathy, Shiatsu/reflexology, TCM, Other</w:t>
            </w:r>
          </w:p>
        </w:tc>
        <w:tc>
          <w:tcPr>
            <w:tcW w:w="5954" w:type="dxa"/>
          </w:tcPr>
          <w:p w14:paraId="57C73A3E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Lifetime: NA</w:t>
            </w:r>
          </w:p>
          <w:p w14:paraId="11123145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Last year: 1% (Ayurveda) to 24% (any method)</w:t>
            </w:r>
          </w:p>
          <w:p w14:paraId="01F8E841" w14:textId="77777777" w:rsidR="00D455ED" w:rsidRPr="008D3FD4" w:rsidRDefault="00D455ED" w:rsidP="00D455ED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Homeopathy 6.4%</w:t>
            </w:r>
          </w:p>
          <w:p w14:paraId="44F2C454" w14:textId="77777777" w:rsidR="00D455ED" w:rsidRPr="008D3FD4" w:rsidRDefault="00D455ED" w:rsidP="00D455ED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Osteopathy 5.4%</w:t>
            </w:r>
          </w:p>
          <w:p w14:paraId="3062A5A2" w14:textId="77777777" w:rsidR="00D455ED" w:rsidRPr="008D3FD4" w:rsidRDefault="00D455ED" w:rsidP="00D455ED">
            <w:pPr>
              <w:pStyle w:val="Paragraphedeliste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Herbal medicine 2.7%</w:t>
            </w:r>
          </w:p>
          <w:p w14:paraId="5378FD89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Good/very good opinion: NA</w:t>
            </w:r>
          </w:p>
        </w:tc>
      </w:tr>
      <w:tr w:rsidR="00D455ED" w:rsidRPr="00474A9A" w14:paraId="2B4AAD6E" w14:textId="77777777" w:rsidTr="008F5A7F">
        <w:tc>
          <w:tcPr>
            <w:tcW w:w="1844" w:type="dxa"/>
            <w:tcBorders>
              <w:bottom w:val="single" w:sz="4" w:space="0" w:color="auto"/>
            </w:tcBorders>
          </w:tcPr>
          <w:p w14:paraId="0A04D943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Swiss Health Surveys</w:t>
            </w:r>
          </w:p>
          <w:p w14:paraId="770F9583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(2012)</w:t>
            </w:r>
          </w:p>
          <w:p w14:paraId="2BE7A8F2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7149042F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N = 18,357</w:t>
            </w:r>
          </w:p>
          <w:p w14:paraId="193268BA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Representative sample</w:t>
            </w:r>
          </w:p>
          <w:p w14:paraId="3DE85F8B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Quota method</w:t>
            </w:r>
          </w:p>
          <w:p w14:paraId="16A62546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Age: 15 years and older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EF0B6BB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Acupuncture, Ayurveda, Herbal medicine, Homeopathy, Naturopathy, Osteopathy, Shiatsu/reflexology, TCM, Other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739F2EFF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Lifetime: NA</w:t>
            </w:r>
          </w:p>
          <w:p w14:paraId="3CDAF1A3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Last year: 0.9% (Ayurveda) to 25% (any method)</w:t>
            </w:r>
          </w:p>
          <w:p w14:paraId="3674BD94" w14:textId="77777777" w:rsidR="00D455ED" w:rsidRPr="008D3FD4" w:rsidRDefault="00D455ED" w:rsidP="00D455ED">
            <w:pPr>
              <w:pStyle w:val="Paragraphedeliste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Homeopathy 8.2%</w:t>
            </w:r>
          </w:p>
          <w:p w14:paraId="3799958E" w14:textId="77777777" w:rsidR="00D455ED" w:rsidRPr="008D3FD4" w:rsidRDefault="00D455ED" w:rsidP="00D455ED">
            <w:pPr>
              <w:pStyle w:val="Paragraphedeliste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Osteopathy 6.8%</w:t>
            </w:r>
          </w:p>
          <w:p w14:paraId="1A0B4AAB" w14:textId="77777777" w:rsidR="00D455ED" w:rsidRPr="008D3FD4" w:rsidRDefault="00D455ED" w:rsidP="00D455ED">
            <w:pPr>
              <w:pStyle w:val="Paragraphedeliste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Herbal medicine 5.0%</w:t>
            </w:r>
          </w:p>
          <w:p w14:paraId="3E3C530B" w14:textId="77777777" w:rsidR="00D455ED" w:rsidRPr="008D3FD4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Good/very good opinion: NA</w:t>
            </w:r>
          </w:p>
        </w:tc>
      </w:tr>
      <w:tr w:rsidR="00D455ED" w:rsidRPr="00474A9A" w14:paraId="007BEF48" w14:textId="77777777" w:rsidTr="008F5A7F">
        <w:tc>
          <w:tcPr>
            <w:tcW w:w="13887" w:type="dxa"/>
            <w:gridSpan w:val="4"/>
            <w:tcBorders>
              <w:left w:val="nil"/>
              <w:bottom w:val="nil"/>
              <w:right w:val="nil"/>
            </w:tcBorders>
          </w:tcPr>
          <w:p w14:paraId="6C252560" w14:textId="77777777" w:rsidR="00D455ED" w:rsidRDefault="00D455ED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D3FD4">
              <w:rPr>
                <w:rFonts w:ascii="Calibri" w:hAnsi="Calibri" w:cs="Calibri"/>
                <w:i/>
                <w:iCs/>
                <w:sz w:val="20"/>
                <w:szCs w:val="20"/>
                <w:u w:val="single"/>
                <w:lang w:val="en-US"/>
              </w:rPr>
              <w:t>Note</w:t>
            </w:r>
            <w:r w:rsidRPr="008D3FD4">
              <w:rPr>
                <w:rFonts w:ascii="Calibri" w:hAnsi="Calibri" w:cs="Calibri"/>
                <w:sz w:val="20"/>
                <w:szCs w:val="20"/>
                <w:lang w:val="en-US"/>
              </w:rPr>
              <w:t>: Lifetime = use at least once lifetime; Last year = use at least once in the last year; NA = not available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</w:p>
          <w:p w14:paraId="6AEC2608" w14:textId="77777777" w:rsidR="00474A9A" w:rsidRPr="008D3FD4" w:rsidRDefault="00474A9A" w:rsidP="008F5A7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</w:tbl>
    <w:p w14:paraId="2D973FB3" w14:textId="77777777" w:rsidR="00D455ED" w:rsidRPr="008D3FD4" w:rsidRDefault="00D455ED" w:rsidP="00D455ED">
      <w:pPr>
        <w:rPr>
          <w:rFonts w:ascii="Calibri" w:hAnsi="Calibri" w:cs="Calibri"/>
          <w:lang w:val="en-US"/>
        </w:rPr>
      </w:pPr>
      <w:r w:rsidRPr="008D3FD4">
        <w:rPr>
          <w:rFonts w:ascii="Calibri" w:hAnsi="Calibri" w:cs="Calibri"/>
          <w:lang w:val="en-US"/>
        </w:rPr>
        <w:lastRenderedPageBreak/>
        <w:t>Table S2: Number and percentage of referrals or articles from 2003 to 2023</w:t>
      </w:r>
    </w:p>
    <w:tbl>
      <w:tblPr>
        <w:tblpPr w:leftFromText="141" w:rightFromText="141" w:vertAnchor="text" w:horzAnchor="margin" w:tblpXSpec="center" w:tblpY="118"/>
        <w:tblW w:w="15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194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 w:rsidR="00474A9A" w:rsidRPr="007502D3" w14:paraId="1BC8B331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4E1C26" w14:textId="77777777" w:rsidR="00474A9A" w:rsidRPr="00474A9A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474A9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9A989F" w14:textId="77777777" w:rsidR="00474A9A" w:rsidRPr="00474A9A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474A9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DDFC2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1F4FB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4105E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8B54A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3AF17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4F476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7382C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6CDAE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64B6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584BF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67575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8D795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740FC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8E796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D4F13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3586D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81EB9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8271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40ADB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562CB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FD2D8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</w:tr>
      <w:tr w:rsidR="00474A9A" w:rsidRPr="007502D3" w14:paraId="4F678F35" w14:textId="77777777" w:rsidTr="00EB7A7F">
        <w:trPr>
          <w:trHeight w:val="280"/>
        </w:trPr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D8F312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Miviludes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95D4A2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AF3BCB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39BE25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E471B5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8F0BC7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67BBFC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4783FB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431C30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412973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83FE60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667AA1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1F4827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C3D770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D0C2E1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752284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5E06E3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DF1B4F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CB9029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0A5029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560590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C435D8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6D33D3A7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DC09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number</w:t>
            </w:r>
            <w:proofErr w:type="gram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14C2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22C1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308C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3EB8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0111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C277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231E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2586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6DC5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1825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086F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2342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5BD5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2800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E959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E996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2337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FD78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2160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BA75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2323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06E6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2581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85A8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2779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5E99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2804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E820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3008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FD17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4020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28FA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EBF7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39B60758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B99F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D782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Health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78CF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8CCC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4ECB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952E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EA45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4570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BA02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CC94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23DA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2E9C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F828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EA1C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1F08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4D6E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1069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4A1A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944D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23A5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5778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7079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1011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A7F9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CF6D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68C9513B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49D3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F8C6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Communication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98A2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5F25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F4E0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1022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CD1C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7EAC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68BF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45B0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3C16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055C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8863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0F52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9632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CEF4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3A3F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7527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471F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58BA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BDEA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9D46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7746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13902A7E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E3F1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73C7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Economic/financial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72BF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DBBC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9AB7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3E85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4AEE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6651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07A9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BFA4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C4BB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12C2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7C65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18A5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614E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D038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D974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0757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698A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A99B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85FB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CE5F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E2F0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15075605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AE7B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8E77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Protection of minors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4CE1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25C7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1DF2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9BAA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B2FA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EF08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F52D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A31D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5D06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7EE9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89FB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35A2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5CED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C53E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B002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0FBE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DC2B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4880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262C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56DE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4F99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2F5CC8EE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BBA9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1CBE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Security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76A3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2233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D8BA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493D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85BB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3A01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1BB6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EFA2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EBCE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11A1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3DFF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301B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6536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A628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35D5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FB8B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DA7C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A8E0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8863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1515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2426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B23E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424E7C5F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529E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55BC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Alternative medicines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EF1D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03A9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588C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C274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BFDD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56D7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5E75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9D94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0D08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DC30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FF60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E488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04E2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357C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C5CA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BD60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D9B9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69E4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42E3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DD4F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ED6A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560962E7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613F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8C13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Media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88C8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4108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9E93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4162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3B59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9EAE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638C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BEF8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FBB7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8C13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A33A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C562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0D5E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AD55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6221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6F03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A9E1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EA01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112E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F4C1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6CF3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1A5BC88D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4088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8810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BD7A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C9B7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461B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4B81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8114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B4AA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BA03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D422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ECD0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C1B5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1F9B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5361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9306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2B8A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2EBA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86C9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9E84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060A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7D7D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0BE7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7567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4EC84615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9961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0328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Health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EB5C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FE27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ED26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AB2F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0061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69D3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9059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852D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DD13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F70F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E5D1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7457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143A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CE13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7DCE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199E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9F78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AC4C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ABC2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0620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CB1A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4153679C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57B7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EEE1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Communication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071B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794B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1B18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59CC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D6D5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9839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A2CE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91C8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8C1A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B317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5625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B9C9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2608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D426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947D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57BC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9C97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2F47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8302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B016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0EA9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3422D8D8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AA89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23EF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Economic and financial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62D4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2A77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FA1C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E1A7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9685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5F70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1A9D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CA99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1F61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9D49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CE28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BD1D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E6CA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A9E4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5F2D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0EF2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4747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5521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A700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7ACA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872A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3A9952DA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5931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88AC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Protection of minors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1FC8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2362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3CE2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8AE8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C03E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F6C3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87BD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491F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1ACC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DBFD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5260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161E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639C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282B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EA6D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43F1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4D77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A5A4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6272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95A2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3CF6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2F855027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C4F4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97D8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Security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27D9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9BF6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FFA2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C850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9509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576E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FC27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4A98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74B8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A0E9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F147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20AD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7285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233B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7E01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C5A3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E195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E25B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AEAC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CA3D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62BA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294B58C5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0C1A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1390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Alternative medicines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648F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B04A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D4B7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5BA5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9D9A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054F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7FAB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9414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A06A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D0D0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A9F4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CAA9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A9B6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9CCF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8D8D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3003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C884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542D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228A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E033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DC3B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05BD1220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A99440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CIC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4D283F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B1CD3D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BF80C4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5FB5DC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749634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57349C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2E32C9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032850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D2563A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E6C29C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68A73C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889838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E867AE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8269D2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C66DC5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11F0DC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F5F888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F0617C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7CA507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77D706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24DAF0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93F8AD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2DBB43FE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D10D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number</w:t>
            </w:r>
            <w:proofErr w:type="gram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B0EC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37F0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CFDF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8D9E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D657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95BB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F859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5E2F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07B5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8842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1E9C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2B15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A30F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5762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3A59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56F3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99D5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65AE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9A47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70F3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FB4C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7238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1D500E45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C3F7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B8A0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Health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BFC0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144B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5A06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788A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2447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93BE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B1ED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B4B3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060E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27EC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663C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F94C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AA7F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BD37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BDFA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10E8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7DFE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5B95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36A2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C8BE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FCAB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1C429797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02D5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8D00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Media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2745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508F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6A94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8F1B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CF88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7478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0FDB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2E58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CF3F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7345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0255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4F00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9986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7BEE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3223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3AB2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B0DC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D68A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5DB0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0E3F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6C36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5C1FD06A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E418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5222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AFB0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DB18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094C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7B4F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61D1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66EB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161C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000D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D9FE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D6D8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F24C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2357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8F96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4DDF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3A4F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BA07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708A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40DA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D1D8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2BE0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0E14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55D8FED3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B480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60B8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4361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C159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4A6F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5D6E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223D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6240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2206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1D7C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098C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20B2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35AA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9469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679E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F8BB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F4AB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3000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54F2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99A7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80CF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6470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0D06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292152AE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4CFF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A7B5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Health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9845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66EC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5C6B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5AB0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E329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85E1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D927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87C0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A029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3091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193D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1BE6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255B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E9D8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E144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D495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2EB5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A470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4F2F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A234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85F6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3A1E6E50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DA9B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4966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Media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B3E8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B32C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73BA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772B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7DD0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7039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2DFC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08AD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A81D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3EFF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AC9C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B9D5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0592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9877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D8BB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6800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AEA2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6CBC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4DF8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EE02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B24C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07CEBD61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AB73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4D0F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16ED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6298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366A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5C30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88DE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8E25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0BE9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D42B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40F8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3E98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3EC0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3145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0769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1898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57BE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FE6F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BC66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82EB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6257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8E68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1ADA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7D7FE0E7" w14:textId="77777777" w:rsidTr="00EB7A7F">
        <w:trPr>
          <w:trHeight w:val="280"/>
        </w:trPr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143D51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Articles (media)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2524BD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A3530D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59F232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514B63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69DFE3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62D84D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B4D897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8A05D6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B2BD57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BAA088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516275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DF1127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45D7C5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1775EF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B83B36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6873A2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CCFF1E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07FA95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C9075E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D08E09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89CAC0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7A162FE2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3FAC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762E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Miviludes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A18E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924D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803C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6FEA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3E46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ECCF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9EF6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1395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2E94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AF9C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CB2E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8854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D356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696F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B81A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A261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4C15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AC15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6F13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03B3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DB42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128</w:t>
            </w:r>
          </w:p>
        </w:tc>
      </w:tr>
      <w:tr w:rsidR="00474A9A" w:rsidRPr="007502D3" w14:paraId="3DE9841F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7F5E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0671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Acupuncture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0D47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2FE7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A02E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938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0C24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A3F4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9D7E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C048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7239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DECB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F088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76AE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BFDE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92BF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8657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A668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CBF3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F3BF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DA23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60C9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E2EE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74</w:t>
            </w:r>
          </w:p>
        </w:tc>
      </w:tr>
      <w:tr w:rsidR="00474A9A" w:rsidRPr="007502D3" w14:paraId="082E10F2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E61F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03BB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Homeopathy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0655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C0CA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F156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5C28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3826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EF52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F881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40F8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3901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BC67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932E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2647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50AF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16DA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7AE8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F406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623E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B49A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47CA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E0FD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2A5C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</w:tr>
      <w:tr w:rsidR="00474A9A" w:rsidRPr="007502D3" w14:paraId="074F4B5B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CC4F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E1D2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Naturopathy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0B1E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53A1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1678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D9F9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FD32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41F3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F371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1FFB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CFC4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825D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052F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CA25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D4CD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A588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4281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3A2E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E0F0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34A7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CD00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4C49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6322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</w:tr>
      <w:tr w:rsidR="00474A9A" w:rsidRPr="007502D3" w14:paraId="351D8D89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A8A4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84DD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Osteopathy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F0ED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930D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4513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BCCE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F69D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C4D5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02CE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8083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F0AF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413A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3900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8BDD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70F5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50FB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9D0B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94E3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A0A8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32E5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4BFA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8540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CC13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</w:p>
        </w:tc>
      </w:tr>
      <w:tr w:rsidR="00474A9A" w:rsidRPr="007502D3" w14:paraId="0C128A2B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B94D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9CE4E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All exc. Mivil.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C43C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1010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184A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A87A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2159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2FD1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5822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FD23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F4D2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0E46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8406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C881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DA2D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BD1D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DFB7F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6218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15BE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FDD13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0FD2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D173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156F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344</w:t>
            </w:r>
          </w:p>
        </w:tc>
      </w:tr>
      <w:tr w:rsidR="00474A9A" w:rsidRPr="007502D3" w14:paraId="100BBCC8" w14:textId="77777777" w:rsidTr="00EB7A7F">
        <w:trPr>
          <w:trHeight w:val="280"/>
        </w:trPr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E4B42D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Articles (Pubmed)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84F832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D6640B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6CE4B8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334751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E7C3D7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5F4F80E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81038D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716168A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0F95CC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9695DD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A40E9C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75447E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756A0D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16515A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DFB537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6DBE133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2FF3D8A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8CC71F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63BDF2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1ECA24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E1A3FB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74A9A" w:rsidRPr="007502D3" w14:paraId="212EE566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601F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5911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BA94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8AED4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7C5CB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BE139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C37CC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58320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4196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F2F6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B4C7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1148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1C30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3D42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1295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F02F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1579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9BC2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1386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419E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1465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1B44B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1409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E55C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1468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D4D1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1845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2719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1816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CE50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1726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C283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1342</w:t>
            </w:r>
          </w:p>
        </w:tc>
      </w:tr>
      <w:tr w:rsidR="00474A9A" w:rsidRPr="007502D3" w14:paraId="79F175B0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34EB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FF2CA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1F23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62916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2E33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2C377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17EF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01E7F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ECF6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726B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4155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3778E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E715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E8F57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DBEB2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96E1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0F70A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22B8C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D8FE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53B2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AF22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98C60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B2B8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</w:tr>
      <w:tr w:rsidR="00474A9A" w:rsidRPr="007502D3" w14:paraId="28068E3D" w14:textId="77777777" w:rsidTr="00EB7A7F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CE21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B521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846B8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DD3F1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888E3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8391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406C5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48982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C272D" w14:textId="77777777" w:rsidR="00474A9A" w:rsidRPr="007502D3" w:rsidRDefault="00474A9A" w:rsidP="00EB7A7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7D95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AB3E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48D2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79151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EB834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D6C6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43FC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05E88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7770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EF9ED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6C88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784D6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FDC95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E2DF9" w14:textId="77777777" w:rsidR="00474A9A" w:rsidRPr="007502D3" w:rsidRDefault="00474A9A" w:rsidP="00EB7A7F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02D3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</w:tr>
    </w:tbl>
    <w:p w14:paraId="1E7385C1" w14:textId="63DA7DC6" w:rsidR="00D455ED" w:rsidRDefault="00D455ED" w:rsidP="00D455ED">
      <w:pPr>
        <w:rPr>
          <w:rFonts w:ascii="Calibri" w:hAnsi="Calibri" w:cs="Calibri"/>
          <w:noProof/>
          <w:lang w:val="en-US"/>
          <w14:ligatures w14:val="standardContextual"/>
        </w:rPr>
      </w:pPr>
    </w:p>
    <w:p w14:paraId="5234DEBD" w14:textId="77777777" w:rsidR="00474A9A" w:rsidRDefault="00474A9A" w:rsidP="00D455ED">
      <w:pPr>
        <w:rPr>
          <w:rFonts w:ascii="Calibri" w:hAnsi="Calibri" w:cs="Calibri"/>
          <w:noProof/>
          <w:lang w:val="en-US"/>
          <w14:ligatures w14:val="standardContextual"/>
        </w:rPr>
      </w:pPr>
    </w:p>
    <w:p w14:paraId="772CA12A" w14:textId="6E526033" w:rsidR="00A867E5" w:rsidRPr="00D455ED" w:rsidRDefault="00D455ED">
      <w:pPr>
        <w:rPr>
          <w:rFonts w:ascii="Calibri" w:hAnsi="Calibri" w:cs="Calibri"/>
          <w:sz w:val="20"/>
          <w:szCs w:val="20"/>
          <w:lang w:val="en-US"/>
        </w:rPr>
      </w:pPr>
      <w:r w:rsidRPr="008D3FD4">
        <w:rPr>
          <w:rFonts w:ascii="Calibri" w:hAnsi="Calibri" w:cs="Calibri"/>
          <w:i/>
          <w:iCs/>
          <w:sz w:val="20"/>
          <w:szCs w:val="20"/>
          <w:u w:val="single"/>
          <w:lang w:val="en-US"/>
        </w:rPr>
        <w:t>Note</w:t>
      </w:r>
      <w:r w:rsidRPr="008D3FD4">
        <w:rPr>
          <w:rFonts w:ascii="Calibri" w:hAnsi="Calibri" w:cs="Calibri"/>
          <w:sz w:val="20"/>
          <w:szCs w:val="20"/>
          <w:lang w:val="en-US"/>
        </w:rPr>
        <w:t>: “Communication” refers to call for communications by the media or institutions; “Security” includes referrals related to the security of the nation (e.g., religious extremism, ecological terrorism, etc…); “Economic and financial” includes referrals of financial misconducts linked to sectarian deviances; “Protection of minors” includes referrals related to sectarian deviances representing a threat for minors; “Alternative medicine” includes referrals specifically related to unconventional health care practices; Media includes communications effectively made in the media</w:t>
      </w:r>
    </w:p>
    <w:sectPr w:rsidR="00A867E5" w:rsidRPr="00D455ED" w:rsidSect="00833F89">
      <w:pgSz w:w="16840" w:h="11900" w:orient="landscape"/>
      <w:pgMar w:top="1417" w:right="1417" w:bottom="109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27068"/>
    <w:multiLevelType w:val="hybridMultilevel"/>
    <w:tmpl w:val="EB4C867E"/>
    <w:lvl w:ilvl="0" w:tplc="E6FE628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35B85"/>
    <w:multiLevelType w:val="hybridMultilevel"/>
    <w:tmpl w:val="DD128A00"/>
    <w:lvl w:ilvl="0" w:tplc="A59019B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D504E"/>
    <w:multiLevelType w:val="hybridMultilevel"/>
    <w:tmpl w:val="6F50B046"/>
    <w:lvl w:ilvl="0" w:tplc="1B68B2B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731023">
    <w:abstractNumId w:val="0"/>
  </w:num>
  <w:num w:numId="2" w16cid:durableId="875315454">
    <w:abstractNumId w:val="1"/>
  </w:num>
  <w:num w:numId="3" w16cid:durableId="575091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ED"/>
    <w:rsid w:val="00474A9A"/>
    <w:rsid w:val="0052169E"/>
    <w:rsid w:val="00865F3E"/>
    <w:rsid w:val="00A867E5"/>
    <w:rsid w:val="00C551A9"/>
    <w:rsid w:val="00C90776"/>
    <w:rsid w:val="00D455ED"/>
    <w:rsid w:val="00D65D62"/>
    <w:rsid w:val="00F07DAF"/>
    <w:rsid w:val="00F7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2AD6A7"/>
  <w14:defaultImageDpi w14:val="32767"/>
  <w15:chartTrackingRefBased/>
  <w15:docId w15:val="{5CDCBDDD-FD3F-EE4D-A750-F31D6AA0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455ED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455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55E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paragraph" w:styleId="Paragraphedeliste">
    <w:name w:val="List Paragraph"/>
    <w:basedOn w:val="Normal"/>
    <w:uiPriority w:val="34"/>
    <w:qFormat/>
    <w:rsid w:val="00D455ED"/>
    <w:pPr>
      <w:ind w:left="720"/>
      <w:contextualSpacing/>
    </w:pPr>
  </w:style>
  <w:style w:type="table" w:styleId="Grilledutableau">
    <w:name w:val="Table Grid"/>
    <w:basedOn w:val="TableauNormal"/>
    <w:uiPriority w:val="39"/>
    <w:rsid w:val="00D45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474A9A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74A9A"/>
    <w:rPr>
      <w:color w:val="954F72"/>
      <w:u w:val="single"/>
    </w:rPr>
  </w:style>
  <w:style w:type="paragraph" w:customStyle="1" w:styleId="msonormal0">
    <w:name w:val="msonormal"/>
    <w:basedOn w:val="Normal"/>
    <w:rsid w:val="00474A9A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474A9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Normal"/>
    <w:rsid w:val="00474A9A"/>
    <w:pP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Normal"/>
    <w:rsid w:val="00474A9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"/>
    <w:rsid w:val="00474A9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9">
    <w:name w:val="xl69"/>
    <w:basedOn w:val="Normal"/>
    <w:rsid w:val="00474A9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0">
    <w:name w:val="xl70"/>
    <w:basedOn w:val="Normal"/>
    <w:rsid w:val="00474A9A"/>
    <w:pPr>
      <w:shd w:val="clear" w:color="000000" w:fill="D0CECE"/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Normal"/>
    <w:rsid w:val="00474A9A"/>
    <w:pPr>
      <w:pBdr>
        <w:left w:val="single" w:sz="4" w:space="0" w:color="auto"/>
      </w:pBdr>
      <w:shd w:val="clear" w:color="000000" w:fill="D0CECE"/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Normal"/>
    <w:rsid w:val="00474A9A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Normal"/>
    <w:rsid w:val="00474A9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Normal"/>
    <w:rsid w:val="00474A9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5">
    <w:name w:val="xl75"/>
    <w:basedOn w:val="Normal"/>
    <w:rsid w:val="00474A9A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Normal"/>
    <w:rsid w:val="00474A9A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971</Words>
  <Characters>5343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BERNA</dc:creator>
  <cp:keywords/>
  <dc:description/>
  <cp:lastModifiedBy>Fabrice BERNA</cp:lastModifiedBy>
  <cp:revision>2</cp:revision>
  <dcterms:created xsi:type="dcterms:W3CDTF">2023-10-05T17:50:00Z</dcterms:created>
  <dcterms:modified xsi:type="dcterms:W3CDTF">2023-10-05T17:50:00Z</dcterms:modified>
</cp:coreProperties>
</file>