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F97AD" w14:textId="4DFA9FB0" w:rsidR="00655572" w:rsidRPr="00CA3720" w:rsidRDefault="00655572" w:rsidP="00655572">
      <w:pPr>
        <w:spacing w:line="480" w:lineRule="auto"/>
        <w:rPr>
          <w:rFonts w:ascii="Times New Roman" w:hAnsi="Times New Roman" w:cs="Times New Roman"/>
          <w:color w:val="000000" w:themeColor="text1"/>
          <w:sz w:val="24"/>
          <w:szCs w:val="24"/>
        </w:rPr>
      </w:pPr>
      <w:r>
        <w:rPr>
          <w:rFonts w:ascii="Times New Roman" w:hAnsi="Times New Roman" w:cs="Times New Roman"/>
          <w:iCs/>
          <w:color w:val="000000" w:themeColor="text1"/>
          <w:sz w:val="24"/>
          <w:szCs w:val="24"/>
        </w:rPr>
        <w:t>Additional file 2</w:t>
      </w:r>
      <w:r w:rsidRPr="00CA3720">
        <w:rPr>
          <w:rFonts w:ascii="Times New Roman" w:hAnsi="Times New Roman" w:cs="Times New Roman"/>
          <w:color w:val="000000" w:themeColor="text1"/>
          <w:sz w:val="24"/>
          <w:szCs w:val="24"/>
        </w:rPr>
        <w:t>. Methods for RNA isolation, library preparation/sequencing, and data analysis.</w:t>
      </w:r>
    </w:p>
    <w:p w14:paraId="725AA14F" w14:textId="77777777" w:rsidR="00655572" w:rsidRPr="00CA3720" w:rsidRDefault="00655572" w:rsidP="00655572">
      <w:pPr>
        <w:spacing w:line="480" w:lineRule="auto"/>
        <w:rPr>
          <w:rFonts w:ascii="Times New Roman" w:hAnsi="Times New Roman" w:cs="Times New Roman"/>
          <w:i/>
          <w:color w:val="000000" w:themeColor="text1"/>
          <w:sz w:val="24"/>
          <w:szCs w:val="24"/>
        </w:rPr>
      </w:pPr>
      <w:r w:rsidRPr="00CA3720">
        <w:rPr>
          <w:rFonts w:ascii="Times New Roman" w:hAnsi="Times New Roman" w:cs="Times New Roman"/>
          <w:i/>
          <w:color w:val="000000" w:themeColor="text1"/>
          <w:sz w:val="24"/>
          <w:szCs w:val="24"/>
        </w:rPr>
        <w:t xml:space="preserve">RNA isolation </w:t>
      </w:r>
    </w:p>
    <w:p w14:paraId="19EB4F42" w14:textId="77777777" w:rsidR="00655572" w:rsidRPr="00CA3720" w:rsidRDefault="00655572" w:rsidP="00655572">
      <w:pPr>
        <w:spacing w:line="480" w:lineRule="auto"/>
        <w:ind w:firstLine="800"/>
        <w:rPr>
          <w:rFonts w:ascii="Times New Roman" w:hAnsi="Times New Roman" w:cs="Times New Roman"/>
          <w:color w:val="000000" w:themeColor="text1"/>
          <w:sz w:val="24"/>
          <w:szCs w:val="24"/>
        </w:rPr>
      </w:pPr>
      <w:r w:rsidRPr="00CA3720">
        <w:rPr>
          <w:rFonts w:ascii="Times New Roman" w:hAnsi="Times New Roman" w:cs="Times New Roman"/>
          <w:color w:val="000000" w:themeColor="text1"/>
          <w:sz w:val="24"/>
          <w:szCs w:val="24"/>
        </w:rPr>
        <w:t xml:space="preserve">One lobe in each rat (3 rats in Group 3 and 3 rats from the control group) were selected after the radiologist reviewed the correlated chest CT. The radiologist chose lobes with lesions similar to those of the other lobes. Lobes with no or too few lesions were excluded from consideration. Then, the selected lobes were ground and lysed using lysis buffer containing 2-mercaptoethanol. The total RNA was isolated using </w:t>
      </w:r>
      <w:proofErr w:type="spellStart"/>
      <w:r w:rsidRPr="00CA3720">
        <w:rPr>
          <w:rFonts w:ascii="Times New Roman" w:hAnsi="Times New Roman" w:cs="Times New Roman"/>
          <w:color w:val="000000" w:themeColor="text1"/>
          <w:sz w:val="24"/>
          <w:szCs w:val="24"/>
        </w:rPr>
        <w:t>Trizol</w:t>
      </w:r>
      <w:proofErr w:type="spellEnd"/>
      <w:r w:rsidRPr="00CA3720">
        <w:rPr>
          <w:rFonts w:ascii="Times New Roman" w:hAnsi="Times New Roman" w:cs="Times New Roman"/>
          <w:color w:val="000000" w:themeColor="text1"/>
          <w:sz w:val="24"/>
          <w:szCs w:val="24"/>
        </w:rPr>
        <w:t xml:space="preserve"> reagent (Invitrogen, Carlsbad, CA). The RNA quality was assessed by an Agilent 2100 Bioanalyzer (Agilent Technologies, Santa Clara, CA, USA) using the RNA 6000 Nano Chip (Agilent Technologies, Amstelveen, The Netherlands) and RNA quantification was performed using a </w:t>
      </w:r>
      <w:proofErr w:type="spellStart"/>
      <w:r w:rsidRPr="00CA3720">
        <w:rPr>
          <w:rFonts w:ascii="Times New Roman" w:hAnsi="Times New Roman" w:cs="Times New Roman"/>
          <w:color w:val="000000" w:themeColor="text1"/>
          <w:sz w:val="24"/>
          <w:szCs w:val="24"/>
        </w:rPr>
        <w:t>NanoDrop</w:t>
      </w:r>
      <w:proofErr w:type="spellEnd"/>
      <w:r w:rsidRPr="00CA3720">
        <w:rPr>
          <w:rFonts w:ascii="Times New Roman" w:hAnsi="Times New Roman" w:cs="Times New Roman"/>
          <w:color w:val="000000" w:themeColor="text1"/>
          <w:sz w:val="24"/>
          <w:szCs w:val="24"/>
        </w:rPr>
        <w:t xml:space="preserve"> 2000 spectrophotometer (Thermo Scientific, Wilmington, DE, USA). </w:t>
      </w:r>
    </w:p>
    <w:p w14:paraId="734C5EAE" w14:textId="77777777" w:rsidR="00655572" w:rsidRPr="00CA3720" w:rsidRDefault="00655572" w:rsidP="00655572">
      <w:pPr>
        <w:spacing w:line="480" w:lineRule="auto"/>
        <w:rPr>
          <w:rFonts w:ascii="Times New Roman" w:hAnsi="Times New Roman" w:cs="Times New Roman"/>
          <w:color w:val="FF0000"/>
          <w:sz w:val="24"/>
          <w:szCs w:val="24"/>
        </w:rPr>
      </w:pPr>
    </w:p>
    <w:p w14:paraId="53D932E5" w14:textId="77777777" w:rsidR="00655572" w:rsidRPr="00CA3720" w:rsidRDefault="00655572" w:rsidP="00655572">
      <w:pPr>
        <w:spacing w:line="480" w:lineRule="auto"/>
        <w:rPr>
          <w:rFonts w:ascii="Times New Roman" w:hAnsi="Times New Roman" w:cs="Times New Roman"/>
          <w:i/>
          <w:color w:val="000000" w:themeColor="text1"/>
          <w:sz w:val="24"/>
          <w:szCs w:val="24"/>
        </w:rPr>
      </w:pPr>
      <w:r w:rsidRPr="00CA3720">
        <w:rPr>
          <w:rFonts w:ascii="Times New Roman" w:hAnsi="Times New Roman" w:cs="Times New Roman"/>
          <w:i/>
          <w:color w:val="000000" w:themeColor="text1"/>
          <w:sz w:val="24"/>
          <w:szCs w:val="24"/>
        </w:rPr>
        <w:t xml:space="preserve">Library preparation and sequencing </w:t>
      </w:r>
    </w:p>
    <w:p w14:paraId="4E82546E" w14:textId="77777777" w:rsidR="00655572" w:rsidRPr="00CA3720" w:rsidRDefault="00655572" w:rsidP="00655572">
      <w:pPr>
        <w:spacing w:line="480" w:lineRule="auto"/>
        <w:ind w:firstLine="800"/>
        <w:rPr>
          <w:rFonts w:ascii="Times New Roman" w:hAnsi="Times New Roman" w:cs="Times New Roman"/>
          <w:color w:val="000000" w:themeColor="text1"/>
          <w:sz w:val="24"/>
          <w:szCs w:val="24"/>
        </w:rPr>
      </w:pPr>
      <w:r w:rsidRPr="00CA3720">
        <w:rPr>
          <w:rFonts w:ascii="Times New Roman" w:hAnsi="Times New Roman" w:cs="Times New Roman"/>
          <w:color w:val="000000" w:themeColor="text1"/>
          <w:sz w:val="24"/>
          <w:szCs w:val="24"/>
        </w:rPr>
        <w:t xml:space="preserve">For the control and test RNAs, the construction of the library was performed using a </w:t>
      </w:r>
      <w:proofErr w:type="spellStart"/>
      <w:r w:rsidRPr="00CA3720">
        <w:rPr>
          <w:rFonts w:ascii="Times New Roman" w:hAnsi="Times New Roman" w:cs="Times New Roman"/>
          <w:color w:val="000000" w:themeColor="text1"/>
          <w:sz w:val="24"/>
          <w:szCs w:val="24"/>
        </w:rPr>
        <w:t>QuantSeq</w:t>
      </w:r>
      <w:proofErr w:type="spellEnd"/>
      <w:r w:rsidRPr="00CA3720">
        <w:rPr>
          <w:rFonts w:ascii="Times New Roman" w:hAnsi="Times New Roman" w:cs="Times New Roman"/>
          <w:color w:val="000000" w:themeColor="text1"/>
          <w:sz w:val="24"/>
          <w:szCs w:val="24"/>
        </w:rPr>
        <w:t xml:space="preserve"> 3’ mRNA-Seq Library Prep Kit (</w:t>
      </w:r>
      <w:proofErr w:type="spellStart"/>
      <w:r w:rsidRPr="00CA3720">
        <w:rPr>
          <w:rFonts w:ascii="Times New Roman" w:hAnsi="Times New Roman" w:cs="Times New Roman"/>
          <w:color w:val="000000" w:themeColor="text1"/>
          <w:sz w:val="24"/>
          <w:szCs w:val="24"/>
        </w:rPr>
        <w:t>Lexogen</w:t>
      </w:r>
      <w:proofErr w:type="spellEnd"/>
      <w:r w:rsidRPr="00CA3720">
        <w:rPr>
          <w:rFonts w:ascii="Times New Roman" w:hAnsi="Times New Roman" w:cs="Times New Roman"/>
          <w:color w:val="000000" w:themeColor="text1"/>
          <w:sz w:val="24"/>
          <w:szCs w:val="24"/>
        </w:rPr>
        <w:t xml:space="preserve">, Inc., Austria) according to the manufacturer’s instructions. In brief, 500 ng of the total RNA was prepared and an oligo-dT primer containing an Illumina-compatible sequence at its 5’ end was hybridized to the RNA and reverse transcription was performed. After degradation of the RNA template, second strand synthesis was initiated by a random primer containing an Illumina-compatible linker sequence at its 5’ end. The double-stranded library was purified by using magnetic beads to remove all reaction components. The library was amplified to add the complete adapter sequences required for cluster generation. The finished library was purified from PCR components. High-throughput sequencing was performed as single-end 75 sequencing using a </w:t>
      </w:r>
      <w:proofErr w:type="spellStart"/>
      <w:r w:rsidRPr="00CA3720">
        <w:rPr>
          <w:rFonts w:ascii="Times New Roman" w:hAnsi="Times New Roman" w:cs="Times New Roman"/>
          <w:color w:val="000000" w:themeColor="text1"/>
          <w:sz w:val="24"/>
          <w:szCs w:val="24"/>
        </w:rPr>
        <w:t>NextSeq</w:t>
      </w:r>
      <w:proofErr w:type="spellEnd"/>
      <w:r w:rsidRPr="00CA3720">
        <w:rPr>
          <w:rFonts w:ascii="Times New Roman" w:hAnsi="Times New Roman" w:cs="Times New Roman"/>
          <w:color w:val="000000" w:themeColor="text1"/>
          <w:sz w:val="24"/>
          <w:szCs w:val="24"/>
        </w:rPr>
        <w:t xml:space="preserve"> 500 </w:t>
      </w:r>
      <w:r w:rsidRPr="00CA3720">
        <w:rPr>
          <w:rFonts w:ascii="Times New Roman" w:hAnsi="Times New Roman" w:cs="Times New Roman"/>
          <w:color w:val="000000" w:themeColor="text1"/>
          <w:sz w:val="24"/>
          <w:szCs w:val="24"/>
        </w:rPr>
        <w:lastRenderedPageBreak/>
        <w:t xml:space="preserve">(Illumina, Inc., USA). </w:t>
      </w:r>
    </w:p>
    <w:p w14:paraId="78EDE69C" w14:textId="77777777" w:rsidR="00655572" w:rsidRPr="00CA3720" w:rsidRDefault="00655572" w:rsidP="00655572">
      <w:pPr>
        <w:spacing w:line="480" w:lineRule="auto"/>
        <w:rPr>
          <w:rFonts w:ascii="Times New Roman" w:hAnsi="Times New Roman" w:cs="Times New Roman"/>
          <w:color w:val="000000" w:themeColor="text1"/>
          <w:sz w:val="24"/>
          <w:szCs w:val="24"/>
        </w:rPr>
      </w:pPr>
    </w:p>
    <w:p w14:paraId="59B4E907" w14:textId="77777777" w:rsidR="00655572" w:rsidRPr="00CA3720" w:rsidRDefault="00655572" w:rsidP="00655572">
      <w:pPr>
        <w:spacing w:line="480" w:lineRule="auto"/>
        <w:rPr>
          <w:rFonts w:ascii="Times New Roman" w:hAnsi="Times New Roman" w:cs="Times New Roman"/>
          <w:i/>
          <w:color w:val="000000" w:themeColor="text1"/>
          <w:sz w:val="24"/>
          <w:szCs w:val="24"/>
        </w:rPr>
      </w:pPr>
      <w:r w:rsidRPr="00CA3720">
        <w:rPr>
          <w:rFonts w:ascii="Times New Roman" w:hAnsi="Times New Roman" w:cs="Times New Roman"/>
          <w:i/>
          <w:color w:val="000000" w:themeColor="text1"/>
          <w:sz w:val="24"/>
          <w:szCs w:val="24"/>
        </w:rPr>
        <w:t xml:space="preserve">Data analysis </w:t>
      </w:r>
    </w:p>
    <w:p w14:paraId="0C5CA336" w14:textId="77777777" w:rsidR="00655572" w:rsidRPr="00CA3720" w:rsidRDefault="00655572" w:rsidP="00655572">
      <w:pPr>
        <w:spacing w:line="480" w:lineRule="auto"/>
        <w:ind w:firstLine="800"/>
        <w:rPr>
          <w:rFonts w:ascii="Times New Roman" w:hAnsi="Times New Roman" w:cs="Times New Roman"/>
          <w:color w:val="000000" w:themeColor="text1"/>
          <w:sz w:val="24"/>
          <w:szCs w:val="24"/>
        </w:rPr>
      </w:pPr>
      <w:proofErr w:type="spellStart"/>
      <w:r w:rsidRPr="00CA3720">
        <w:rPr>
          <w:rFonts w:ascii="Times New Roman" w:hAnsi="Times New Roman" w:cs="Times New Roman"/>
          <w:color w:val="000000" w:themeColor="text1"/>
          <w:sz w:val="24"/>
          <w:szCs w:val="24"/>
        </w:rPr>
        <w:t>QuantSeq</w:t>
      </w:r>
      <w:proofErr w:type="spellEnd"/>
      <w:r w:rsidRPr="00CA3720">
        <w:rPr>
          <w:rFonts w:ascii="Times New Roman" w:hAnsi="Times New Roman" w:cs="Times New Roman"/>
          <w:color w:val="000000" w:themeColor="text1"/>
          <w:sz w:val="24"/>
          <w:szCs w:val="24"/>
        </w:rPr>
        <w:t xml:space="preserve"> 3’ mRNA-Seq reads were aligned using Bowtie2 (1). Bowtie2 indices were either generated from the genome assembly sequence or the representative transcript sequences for aligning to the genome and transcriptome. The alignment file was used for assembling transcripts, estimating their abundances, and detecting differential expression of genes. Differentially expressed genes were determined based on counts from unique and multiple alignments using coverage in </w:t>
      </w:r>
      <w:proofErr w:type="spellStart"/>
      <w:r w:rsidRPr="00CA3720">
        <w:rPr>
          <w:rFonts w:ascii="Times New Roman" w:hAnsi="Times New Roman" w:cs="Times New Roman"/>
          <w:color w:val="000000" w:themeColor="text1"/>
          <w:sz w:val="24"/>
          <w:szCs w:val="24"/>
        </w:rPr>
        <w:t>Bedtools</w:t>
      </w:r>
      <w:proofErr w:type="spellEnd"/>
      <w:r w:rsidRPr="00CA3720">
        <w:rPr>
          <w:rFonts w:ascii="Times New Roman" w:hAnsi="Times New Roman" w:cs="Times New Roman"/>
          <w:color w:val="000000" w:themeColor="text1"/>
          <w:sz w:val="24"/>
          <w:szCs w:val="24"/>
        </w:rPr>
        <w:t xml:space="preserve"> (2). The read count (RC) data was processed based on the quantile normalization method using </w:t>
      </w:r>
      <w:proofErr w:type="spellStart"/>
      <w:r w:rsidRPr="00CA3720">
        <w:rPr>
          <w:rFonts w:ascii="Times New Roman" w:hAnsi="Times New Roman" w:cs="Times New Roman"/>
          <w:color w:val="000000" w:themeColor="text1"/>
          <w:sz w:val="24"/>
          <w:szCs w:val="24"/>
        </w:rPr>
        <w:t>EdgeR</w:t>
      </w:r>
      <w:proofErr w:type="spellEnd"/>
      <w:r w:rsidRPr="00CA3720">
        <w:rPr>
          <w:rFonts w:ascii="Times New Roman" w:hAnsi="Times New Roman" w:cs="Times New Roman"/>
          <w:color w:val="000000" w:themeColor="text1"/>
          <w:sz w:val="24"/>
          <w:szCs w:val="24"/>
        </w:rPr>
        <w:t xml:space="preserve"> within R using Bioconductor (3, 4). The gene lists were further analyzed in the Gene Ontology database to identify expressed genes with similar functions through the online website http://david.niaid.nih.gov using DAVID and Medline databases (</w:t>
      </w:r>
      <w:hyperlink r:id="rId4" w:history="1">
        <w:r w:rsidRPr="00CA3720">
          <w:rPr>
            <w:rStyle w:val="a3"/>
            <w:rFonts w:ascii="Times New Roman" w:hAnsi="Times New Roman" w:cs="Times New Roman"/>
            <w:color w:val="000000" w:themeColor="text1"/>
            <w:sz w:val="24"/>
            <w:szCs w:val="24"/>
          </w:rPr>
          <w:t>http://www.ncbi.nlm.nih.gov/</w:t>
        </w:r>
      </w:hyperlink>
      <w:r w:rsidRPr="00CA3720">
        <w:rPr>
          <w:rFonts w:ascii="Times New Roman" w:hAnsi="Times New Roman" w:cs="Times New Roman"/>
          <w:color w:val="000000" w:themeColor="text1"/>
          <w:sz w:val="24"/>
          <w:szCs w:val="24"/>
        </w:rPr>
        <w:t>). The genes whose expression significantly changed (standard P-value&lt;0.05 and log &gt;2 or &lt; -2) by PHMG exposure were identified.</w:t>
      </w:r>
    </w:p>
    <w:p w14:paraId="58EE1726" w14:textId="77777777" w:rsidR="00655572" w:rsidRPr="00CA3720" w:rsidRDefault="00655572" w:rsidP="00655572">
      <w:pPr>
        <w:rPr>
          <w:sz w:val="24"/>
          <w:szCs w:val="24"/>
        </w:rPr>
      </w:pPr>
    </w:p>
    <w:p w14:paraId="40FAE00D" w14:textId="77777777" w:rsidR="00655572" w:rsidRPr="00CA3720" w:rsidRDefault="00655572" w:rsidP="00655572">
      <w:pPr>
        <w:rPr>
          <w:rFonts w:ascii="Times New Roman" w:hAnsi="Times New Roman" w:cs="Times New Roman"/>
          <w:b/>
          <w:color w:val="000000" w:themeColor="text1"/>
          <w:sz w:val="24"/>
          <w:szCs w:val="24"/>
        </w:rPr>
      </w:pPr>
      <w:r w:rsidRPr="00CA3720">
        <w:rPr>
          <w:rFonts w:ascii="Times New Roman" w:hAnsi="Times New Roman" w:cs="Times New Roman" w:hint="eastAsia"/>
          <w:b/>
          <w:color w:val="000000" w:themeColor="text1"/>
          <w:sz w:val="24"/>
          <w:szCs w:val="24"/>
        </w:rPr>
        <w:t>References</w:t>
      </w:r>
    </w:p>
    <w:p w14:paraId="737224FE" w14:textId="77777777" w:rsidR="00655572" w:rsidRPr="002241EF" w:rsidRDefault="00655572" w:rsidP="00655572">
      <w:pPr>
        <w:rPr>
          <w:rFonts w:ascii="Times New Roman" w:hAnsi="Times New Roman" w:cs="Times New Roman"/>
          <w:sz w:val="24"/>
          <w:szCs w:val="24"/>
        </w:rPr>
      </w:pPr>
      <w:r w:rsidRPr="002241EF">
        <w:rPr>
          <w:rFonts w:ascii="Times New Roman" w:hAnsi="Times New Roman" w:cs="Times New Roman"/>
          <w:sz w:val="24"/>
          <w:szCs w:val="24"/>
        </w:rPr>
        <w:t xml:space="preserve">1. Langmead B, </w:t>
      </w:r>
      <w:proofErr w:type="spellStart"/>
      <w:r w:rsidRPr="002241EF">
        <w:rPr>
          <w:rFonts w:ascii="Times New Roman" w:hAnsi="Times New Roman" w:cs="Times New Roman"/>
          <w:sz w:val="24"/>
          <w:szCs w:val="24"/>
        </w:rPr>
        <w:t>Salzberg</w:t>
      </w:r>
      <w:proofErr w:type="spellEnd"/>
      <w:r w:rsidRPr="002241EF">
        <w:rPr>
          <w:rFonts w:ascii="Times New Roman" w:hAnsi="Times New Roman" w:cs="Times New Roman"/>
          <w:sz w:val="24"/>
          <w:szCs w:val="24"/>
        </w:rPr>
        <w:t xml:space="preserve"> </w:t>
      </w:r>
      <w:proofErr w:type="spellStart"/>
      <w:r w:rsidRPr="002241EF">
        <w:rPr>
          <w:rFonts w:ascii="Times New Roman" w:hAnsi="Times New Roman" w:cs="Times New Roman"/>
          <w:sz w:val="24"/>
          <w:szCs w:val="24"/>
        </w:rPr>
        <w:t>SLJNm</w:t>
      </w:r>
      <w:proofErr w:type="spellEnd"/>
      <w:r w:rsidRPr="002241EF">
        <w:rPr>
          <w:rFonts w:ascii="Times New Roman" w:hAnsi="Times New Roman" w:cs="Times New Roman"/>
          <w:sz w:val="24"/>
          <w:szCs w:val="24"/>
        </w:rPr>
        <w:t xml:space="preserve">. Fast gapped-read alignment with Bowtie 2. 2012;9(4):357. </w:t>
      </w:r>
    </w:p>
    <w:p w14:paraId="7D020F0B" w14:textId="77777777" w:rsidR="00655572" w:rsidRPr="002241EF" w:rsidRDefault="00655572" w:rsidP="00655572">
      <w:pPr>
        <w:rPr>
          <w:rFonts w:ascii="Times New Roman" w:hAnsi="Times New Roman" w:cs="Times New Roman"/>
          <w:sz w:val="24"/>
          <w:szCs w:val="24"/>
        </w:rPr>
      </w:pPr>
      <w:r w:rsidRPr="002241EF">
        <w:rPr>
          <w:rFonts w:ascii="Times New Roman" w:hAnsi="Times New Roman" w:cs="Times New Roman"/>
          <w:sz w:val="24"/>
          <w:szCs w:val="24"/>
        </w:rPr>
        <w:t xml:space="preserve">2. Quinlan AR, Hall IMJB. </w:t>
      </w:r>
      <w:proofErr w:type="spellStart"/>
      <w:r w:rsidRPr="002241EF">
        <w:rPr>
          <w:rFonts w:ascii="Times New Roman" w:hAnsi="Times New Roman" w:cs="Times New Roman"/>
          <w:sz w:val="24"/>
          <w:szCs w:val="24"/>
        </w:rPr>
        <w:t>BEDTools</w:t>
      </w:r>
      <w:proofErr w:type="spellEnd"/>
      <w:r w:rsidRPr="002241EF">
        <w:rPr>
          <w:rFonts w:ascii="Times New Roman" w:hAnsi="Times New Roman" w:cs="Times New Roman"/>
          <w:sz w:val="24"/>
          <w:szCs w:val="24"/>
        </w:rPr>
        <w:t xml:space="preserve">: a flexible suite of utilities for comparing genomic features. 2010;26(6):841-842. </w:t>
      </w:r>
    </w:p>
    <w:p w14:paraId="5308130E" w14:textId="77777777" w:rsidR="00655572" w:rsidRPr="002241EF" w:rsidRDefault="00655572" w:rsidP="00655572">
      <w:pPr>
        <w:rPr>
          <w:rFonts w:ascii="Times New Roman" w:hAnsi="Times New Roman" w:cs="Times New Roman"/>
          <w:sz w:val="24"/>
          <w:szCs w:val="24"/>
        </w:rPr>
      </w:pPr>
      <w:r w:rsidRPr="002241EF">
        <w:rPr>
          <w:rFonts w:ascii="Times New Roman" w:hAnsi="Times New Roman" w:cs="Times New Roman"/>
          <w:sz w:val="24"/>
          <w:szCs w:val="24"/>
        </w:rPr>
        <w:t xml:space="preserve">3. Gentleman RC, Carey VJ, Bates DM, </w:t>
      </w:r>
      <w:proofErr w:type="spellStart"/>
      <w:r w:rsidRPr="002241EF">
        <w:rPr>
          <w:rFonts w:ascii="Times New Roman" w:hAnsi="Times New Roman" w:cs="Times New Roman"/>
          <w:sz w:val="24"/>
          <w:szCs w:val="24"/>
        </w:rPr>
        <w:t>Bolstad</w:t>
      </w:r>
      <w:proofErr w:type="spellEnd"/>
      <w:r w:rsidRPr="002241EF">
        <w:rPr>
          <w:rFonts w:ascii="Times New Roman" w:hAnsi="Times New Roman" w:cs="Times New Roman"/>
          <w:sz w:val="24"/>
          <w:szCs w:val="24"/>
        </w:rPr>
        <w:t xml:space="preserve"> B, </w:t>
      </w:r>
      <w:proofErr w:type="spellStart"/>
      <w:r w:rsidRPr="002241EF">
        <w:rPr>
          <w:rFonts w:ascii="Times New Roman" w:hAnsi="Times New Roman" w:cs="Times New Roman"/>
          <w:sz w:val="24"/>
          <w:szCs w:val="24"/>
        </w:rPr>
        <w:t>Dettling</w:t>
      </w:r>
      <w:proofErr w:type="spellEnd"/>
      <w:r w:rsidRPr="002241EF">
        <w:rPr>
          <w:rFonts w:ascii="Times New Roman" w:hAnsi="Times New Roman" w:cs="Times New Roman"/>
          <w:sz w:val="24"/>
          <w:szCs w:val="24"/>
        </w:rPr>
        <w:t xml:space="preserve"> M, </w:t>
      </w:r>
      <w:proofErr w:type="spellStart"/>
      <w:r w:rsidRPr="002241EF">
        <w:rPr>
          <w:rFonts w:ascii="Times New Roman" w:hAnsi="Times New Roman" w:cs="Times New Roman"/>
          <w:sz w:val="24"/>
          <w:szCs w:val="24"/>
        </w:rPr>
        <w:t>Dudoit</w:t>
      </w:r>
      <w:proofErr w:type="spellEnd"/>
      <w:r w:rsidRPr="002241EF">
        <w:rPr>
          <w:rFonts w:ascii="Times New Roman" w:hAnsi="Times New Roman" w:cs="Times New Roman"/>
          <w:sz w:val="24"/>
          <w:szCs w:val="24"/>
        </w:rPr>
        <w:t xml:space="preserve"> S, Ellis B, Gautier L, Ge Y, Gentry </w:t>
      </w:r>
      <w:proofErr w:type="spellStart"/>
      <w:r w:rsidRPr="002241EF">
        <w:rPr>
          <w:rFonts w:ascii="Times New Roman" w:hAnsi="Times New Roman" w:cs="Times New Roman"/>
          <w:sz w:val="24"/>
          <w:szCs w:val="24"/>
        </w:rPr>
        <w:t>JJGb</w:t>
      </w:r>
      <w:proofErr w:type="spellEnd"/>
      <w:r w:rsidRPr="002241EF">
        <w:rPr>
          <w:rFonts w:ascii="Times New Roman" w:hAnsi="Times New Roman" w:cs="Times New Roman"/>
          <w:sz w:val="24"/>
          <w:szCs w:val="24"/>
        </w:rPr>
        <w:t>. Bioconductor: open software development for computational biology and bioinformatics. 2004;5(10</w:t>
      </w:r>
      <w:proofErr w:type="gramStart"/>
      <w:r w:rsidRPr="002241EF">
        <w:rPr>
          <w:rFonts w:ascii="Times New Roman" w:hAnsi="Times New Roman" w:cs="Times New Roman"/>
          <w:sz w:val="24"/>
          <w:szCs w:val="24"/>
        </w:rPr>
        <w:t>):R</w:t>
      </w:r>
      <w:proofErr w:type="gramEnd"/>
      <w:r w:rsidRPr="002241EF">
        <w:rPr>
          <w:rFonts w:ascii="Times New Roman" w:hAnsi="Times New Roman" w:cs="Times New Roman"/>
          <w:sz w:val="24"/>
          <w:szCs w:val="24"/>
        </w:rPr>
        <w:t xml:space="preserve">80. </w:t>
      </w:r>
    </w:p>
    <w:p w14:paraId="77CFD5E0" w14:textId="77777777" w:rsidR="00655572" w:rsidRPr="002241EF" w:rsidRDefault="00655572" w:rsidP="00655572">
      <w:pPr>
        <w:rPr>
          <w:rFonts w:ascii="Times New Roman" w:hAnsi="Times New Roman" w:cs="Times New Roman"/>
          <w:sz w:val="24"/>
          <w:szCs w:val="24"/>
        </w:rPr>
      </w:pPr>
      <w:r w:rsidRPr="002241EF">
        <w:rPr>
          <w:rFonts w:ascii="Times New Roman" w:hAnsi="Times New Roman" w:cs="Times New Roman"/>
          <w:sz w:val="24"/>
          <w:szCs w:val="24"/>
        </w:rPr>
        <w:t>4. Team RC. R: A language and environment for statistical computing. 2013.</w:t>
      </w:r>
    </w:p>
    <w:p w14:paraId="7B4CF1C0" w14:textId="77777777" w:rsidR="00655572" w:rsidRPr="00CA3720" w:rsidRDefault="00655572" w:rsidP="00655572">
      <w:pPr>
        <w:spacing w:line="480" w:lineRule="auto"/>
        <w:rPr>
          <w:rFonts w:ascii="Times New Roman" w:hAnsi="Times New Roman" w:cs="Times New Roman"/>
          <w:sz w:val="24"/>
          <w:szCs w:val="24"/>
        </w:rPr>
      </w:pPr>
    </w:p>
    <w:p w14:paraId="45DA8426" w14:textId="77777777" w:rsidR="0012618F" w:rsidRDefault="0012618F"/>
    <w:sectPr w:rsidR="0012618F">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572"/>
    <w:rsid w:val="0012618F"/>
    <w:rsid w:val="0065557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195C8"/>
  <w15:chartTrackingRefBased/>
  <w15:docId w15:val="{946776B4-8CFB-4F9A-B192-6008BF050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5572"/>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655572"/>
    <w:rPr>
      <w:strike w:val="0"/>
      <w:dstrike w:val="0"/>
      <w:color w:val="183C90"/>
      <w:u w:val="none"/>
      <w:effect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ncbi.nlm.nih.gov/"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504</Words>
  <Characters>2875</Characters>
  <Application>Microsoft Office Word</Application>
  <DocSecurity>0</DocSecurity>
  <Lines>23</Lines>
  <Paragraphs>6</Paragraphs>
  <ScaleCrop>false</ScaleCrop>
  <Company/>
  <LinksUpToDate>false</LinksUpToDate>
  <CharactersWithSpaces>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2020-06-02T11:35:00Z</dcterms:created>
  <dcterms:modified xsi:type="dcterms:W3CDTF">2020-06-02T11:36:00Z</dcterms:modified>
</cp:coreProperties>
</file>