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Times New Roman" w:hAnsi="Times New Roman"/>
          <w:b/>
          <w:bCs/>
        </w:rPr>
      </w:pPr>
      <w:r>
        <w:rPr>
          <w:rFonts w:hint="eastAsia" w:ascii="Times New Roman" w:hAnsi="Times New Roman"/>
          <w:b/>
          <w:bCs/>
        </w:rPr>
        <w:t>Polydatin combined with hawthorn flavonoids alleviate high fat diet induced atherosclerosis by remodeling the gut microbiota and glycolipid metabolism</w:t>
      </w:r>
    </w:p>
    <w:p>
      <w:pPr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 xml:space="preserve">Dan Li </w:t>
      </w:r>
      <w:r>
        <w:rPr>
          <w:rFonts w:ascii="Times New Roman" w:hAnsi="Times New Roman"/>
          <w:i/>
          <w:iCs/>
        </w:rPr>
        <w:t>et.al.</w:t>
      </w:r>
    </w:p>
    <w:p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Data Supplementary</w:t>
      </w:r>
    </w:p>
    <w:p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Table S1. Realtime PCR reaction condition</w:t>
      </w:r>
    </w:p>
    <w:tbl>
      <w:tblPr>
        <w:tblStyle w:val="4"/>
        <w:tblW w:w="867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5"/>
        <w:gridCol w:w="2376"/>
        <w:gridCol w:w="2004"/>
        <w:gridCol w:w="201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275" w:type="dxa"/>
            <w:tcBorders>
              <w:top w:val="single" w:color="auto" w:sz="12" w:space="0"/>
              <w:left w:val="nil"/>
              <w:bottom w:val="single" w:color="000000" w:sz="8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</w:rPr>
              <w:t>procedure</w:t>
            </w:r>
          </w:p>
        </w:tc>
        <w:tc>
          <w:tcPr>
            <w:tcW w:w="2376" w:type="dxa"/>
            <w:tcBorders>
              <w:top w:val="single" w:color="auto" w:sz="12" w:space="0"/>
              <w:left w:val="nil"/>
              <w:bottom w:val="single" w:color="000000" w:sz="8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</w:rPr>
              <w:t>temperature</w:t>
            </w:r>
          </w:p>
        </w:tc>
        <w:tc>
          <w:tcPr>
            <w:tcW w:w="2004" w:type="dxa"/>
            <w:tcBorders>
              <w:top w:val="single" w:color="auto" w:sz="12" w:space="0"/>
              <w:left w:val="nil"/>
              <w:bottom w:val="single" w:color="000000" w:sz="8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</w:rPr>
              <w:t>time</w:t>
            </w:r>
          </w:p>
        </w:tc>
        <w:tc>
          <w:tcPr>
            <w:tcW w:w="2015" w:type="dxa"/>
            <w:tcBorders>
              <w:top w:val="single" w:color="auto" w:sz="12" w:space="0"/>
              <w:left w:val="nil"/>
              <w:bottom w:val="single" w:color="000000" w:sz="8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</w:rPr>
              <w:t>cycle number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</w:rPr>
              <w:t>predegeneration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jc w:val="center"/>
              <w:rPr>
                <w:rFonts w:ascii="Times New Roman" w:hAnsi="Times New Roman"/>
                <w:bCs/>
                <w:kern w:val="0"/>
              </w:rPr>
            </w:pPr>
            <w:r>
              <w:rPr>
                <w:rFonts w:ascii="Times New Roman" w:hAnsi="Times New Roman"/>
                <w:bCs/>
                <w:kern w:val="0"/>
              </w:rPr>
              <w:t>95℃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jc w:val="center"/>
              <w:rPr>
                <w:rFonts w:ascii="Times New Roman" w:hAnsi="Times New Roman"/>
                <w:bCs/>
                <w:kern w:val="0"/>
              </w:rPr>
            </w:pPr>
            <w:r>
              <w:rPr>
                <w:rFonts w:ascii="Times New Roman" w:hAnsi="Times New Roman"/>
                <w:bCs/>
                <w:kern w:val="0"/>
              </w:rPr>
              <w:t>5 min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kern w:val="0"/>
              </w:rPr>
            </w:pPr>
            <w:r>
              <w:rPr>
                <w:rFonts w:ascii="Times New Roman" w:hAnsi="Times New Roman"/>
                <w:bCs/>
                <w:kern w:val="0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</w:rPr>
              <w:t>denaturation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jc w:val="center"/>
              <w:rPr>
                <w:rFonts w:ascii="Times New Roman" w:hAnsi="Times New Roman"/>
                <w:bCs/>
                <w:kern w:val="0"/>
              </w:rPr>
            </w:pPr>
            <w:r>
              <w:rPr>
                <w:rFonts w:ascii="Times New Roman" w:hAnsi="Times New Roman"/>
                <w:bCs/>
                <w:kern w:val="0"/>
              </w:rPr>
              <w:t>95℃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jc w:val="center"/>
              <w:rPr>
                <w:rFonts w:ascii="Times New Roman" w:hAnsi="Times New Roman"/>
                <w:bCs/>
                <w:kern w:val="0"/>
              </w:rPr>
            </w:pPr>
            <w:r>
              <w:rPr>
                <w:rFonts w:ascii="Times New Roman" w:hAnsi="Times New Roman"/>
                <w:bCs/>
                <w:kern w:val="0"/>
              </w:rPr>
              <w:t>10 sec</w:t>
            </w:r>
          </w:p>
        </w:tc>
        <w:tc>
          <w:tcPr>
            <w:tcW w:w="2015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kern w:val="0"/>
              </w:rPr>
            </w:pPr>
            <w:r>
              <w:rPr>
                <w:rFonts w:ascii="Times New Roman" w:hAnsi="Times New Roman"/>
                <w:bCs/>
                <w:kern w:val="0"/>
              </w:rPr>
              <w:t>40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jc w:val="center"/>
        </w:trPr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</w:rPr>
              <w:t>anneal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jc w:val="center"/>
              <w:rPr>
                <w:rFonts w:ascii="Times New Roman" w:hAnsi="Times New Roman"/>
                <w:bCs/>
                <w:kern w:val="0"/>
              </w:rPr>
            </w:pPr>
            <w:r>
              <w:rPr>
                <w:rFonts w:ascii="Times New Roman" w:hAnsi="Times New Roman"/>
                <w:bCs/>
                <w:kern w:val="0"/>
              </w:rPr>
              <w:t>58℃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jc w:val="center"/>
              <w:rPr>
                <w:rFonts w:ascii="Times New Roman" w:hAnsi="Times New Roman"/>
                <w:bCs/>
                <w:kern w:val="0"/>
              </w:rPr>
            </w:pPr>
            <w:r>
              <w:rPr>
                <w:rFonts w:ascii="Times New Roman" w:hAnsi="Times New Roman"/>
                <w:bCs/>
                <w:kern w:val="0"/>
              </w:rPr>
              <w:t>20 sec</w:t>
            </w:r>
          </w:p>
        </w:tc>
        <w:tc>
          <w:tcPr>
            <w:tcW w:w="2015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Cs/>
                <w:kern w:val="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275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</w:rPr>
              <w:t>extend</w:t>
            </w:r>
          </w:p>
        </w:tc>
        <w:tc>
          <w:tcPr>
            <w:tcW w:w="2376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jc w:val="center"/>
              <w:rPr>
                <w:rFonts w:ascii="Times New Roman" w:hAnsi="Times New Roman"/>
                <w:bCs/>
                <w:kern w:val="0"/>
              </w:rPr>
            </w:pPr>
            <w:r>
              <w:rPr>
                <w:rFonts w:ascii="Times New Roman" w:hAnsi="Times New Roman"/>
                <w:bCs/>
                <w:kern w:val="0"/>
              </w:rPr>
              <w:t>72℃</w:t>
            </w:r>
          </w:p>
        </w:tc>
        <w:tc>
          <w:tcPr>
            <w:tcW w:w="2004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jc w:val="center"/>
              <w:rPr>
                <w:rFonts w:ascii="Times New Roman" w:hAnsi="Times New Roman"/>
                <w:bCs/>
                <w:kern w:val="0"/>
              </w:rPr>
            </w:pPr>
            <w:r>
              <w:rPr>
                <w:rFonts w:ascii="Times New Roman" w:hAnsi="Times New Roman"/>
                <w:bCs/>
                <w:kern w:val="0"/>
              </w:rPr>
              <w:t>20 sec</w:t>
            </w:r>
          </w:p>
        </w:tc>
        <w:tc>
          <w:tcPr>
            <w:tcW w:w="2015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Cs/>
                <w:kern w:val="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275" w:type="dxa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</w:rPr>
              <w:t>melting curve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jc w:val="center"/>
              <w:rPr>
                <w:rFonts w:ascii="Times New Roman" w:hAnsi="Times New Roman"/>
                <w:bCs/>
                <w:kern w:val="0"/>
              </w:rPr>
            </w:pPr>
            <w:r>
              <w:rPr>
                <w:rFonts w:ascii="Times New Roman" w:hAnsi="Times New Roman"/>
                <w:bCs/>
                <w:kern w:val="0"/>
              </w:rPr>
              <w:t>95℃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jc w:val="center"/>
              <w:rPr>
                <w:rFonts w:ascii="Times New Roman" w:hAnsi="Times New Roman"/>
                <w:bCs/>
                <w:kern w:val="0"/>
              </w:rPr>
            </w:pPr>
            <w:r>
              <w:rPr>
                <w:rFonts w:ascii="Times New Roman" w:hAnsi="Times New Roman"/>
                <w:bCs/>
                <w:kern w:val="0"/>
              </w:rPr>
              <w:t>15 sec</w:t>
            </w:r>
          </w:p>
        </w:tc>
        <w:tc>
          <w:tcPr>
            <w:tcW w:w="2015" w:type="dxa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kern w:val="0"/>
              </w:rPr>
            </w:pPr>
            <w:r>
              <w:rPr>
                <w:rFonts w:ascii="Times New Roman" w:hAnsi="Times New Roman"/>
                <w:bCs/>
                <w:kern w:val="0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275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jc w:val="center"/>
              <w:rPr>
                <w:rFonts w:ascii="Times New Roman" w:hAnsi="Times New Roman"/>
                <w:bCs/>
                <w:kern w:val="0"/>
              </w:rPr>
            </w:pPr>
            <w:r>
              <w:rPr>
                <w:rFonts w:ascii="Times New Roman" w:hAnsi="Times New Roman"/>
                <w:bCs/>
                <w:kern w:val="0"/>
              </w:rPr>
              <w:t>60℃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jc w:val="center"/>
              <w:rPr>
                <w:rFonts w:ascii="Times New Roman" w:hAnsi="Times New Roman"/>
                <w:bCs/>
                <w:kern w:val="0"/>
              </w:rPr>
            </w:pPr>
            <w:r>
              <w:rPr>
                <w:rFonts w:ascii="Times New Roman" w:hAnsi="Times New Roman"/>
                <w:bCs/>
                <w:kern w:val="0"/>
              </w:rPr>
              <w:t>60 sec</w:t>
            </w:r>
          </w:p>
        </w:tc>
        <w:tc>
          <w:tcPr>
            <w:tcW w:w="2015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Cs/>
                <w:kern w:val="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275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jc w:val="center"/>
              <w:rPr>
                <w:rFonts w:ascii="Times New Roman" w:hAnsi="Times New Roman"/>
                <w:bCs/>
                <w:kern w:val="0"/>
              </w:rPr>
            </w:pPr>
            <w:r>
              <w:rPr>
                <w:rFonts w:ascii="Times New Roman" w:hAnsi="Times New Roman"/>
                <w:bCs/>
                <w:kern w:val="0"/>
              </w:rPr>
              <w:t>95℃</w:t>
            </w:r>
          </w:p>
        </w:tc>
        <w:tc>
          <w:tcPr>
            <w:tcW w:w="2004" w:type="dxa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jc w:val="center"/>
              <w:rPr>
                <w:rFonts w:ascii="Times New Roman" w:hAnsi="Times New Roman"/>
                <w:bCs/>
                <w:kern w:val="0"/>
              </w:rPr>
            </w:pPr>
            <w:r>
              <w:rPr>
                <w:rFonts w:ascii="Times New Roman" w:hAnsi="Times New Roman"/>
                <w:bCs/>
                <w:kern w:val="0"/>
              </w:rPr>
              <w:t>15 sec</w:t>
            </w:r>
          </w:p>
        </w:tc>
        <w:tc>
          <w:tcPr>
            <w:tcW w:w="2015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Cs/>
                <w:kern w:val="0"/>
              </w:rPr>
            </w:pPr>
          </w:p>
        </w:tc>
      </w:tr>
    </w:tbl>
    <w:p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</w:t>
      </w:r>
    </w:p>
    <w:p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Table S2. Primer sequences</w:t>
      </w:r>
    </w:p>
    <w:tbl>
      <w:tblPr>
        <w:tblStyle w:val="4"/>
        <w:tblW w:w="7884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5"/>
        <w:gridCol w:w="874"/>
        <w:gridCol w:w="500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200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pStyle w:val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Primer sequences</w:t>
            </w:r>
          </w:p>
        </w:tc>
        <w:tc>
          <w:tcPr>
            <w:tcW w:w="87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pStyle w:val="7"/>
              <w:ind w:firstLine="4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0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pStyle w:val="7"/>
              <w:ind w:firstLine="4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5’-3’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005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7"/>
              <w:ind w:firstLine="4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FMO3</w:t>
            </w:r>
          </w:p>
        </w:tc>
        <w:tc>
          <w:tcPr>
            <w:tcW w:w="874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</w:t>
            </w:r>
          </w:p>
        </w:tc>
        <w:tc>
          <w:tcPr>
            <w:tcW w:w="5005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7"/>
              <w:ind w:firstLine="4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TACTGGCAAATGGGAAGTCAC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7"/>
              <w:ind w:firstLine="4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</w:p>
        </w:tc>
        <w:tc>
          <w:tcPr>
            <w:tcW w:w="5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7"/>
              <w:ind w:firstLine="4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CCTTTAAAACGGTTCAGTCCT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7"/>
              <w:ind w:firstLine="4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β-actin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</w:t>
            </w:r>
          </w:p>
        </w:tc>
        <w:tc>
          <w:tcPr>
            <w:tcW w:w="5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7"/>
              <w:ind w:firstLine="4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CTCCTGAGCGCAAGTACTCT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2005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pStyle w:val="7"/>
              <w:ind w:firstLine="4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pStyle w:val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</w:p>
        </w:tc>
        <w:tc>
          <w:tcPr>
            <w:tcW w:w="5005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pStyle w:val="7"/>
              <w:ind w:firstLine="4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TACTCCTGCTTGCTGATCCAC</w:t>
            </w:r>
          </w:p>
        </w:tc>
      </w:tr>
    </w:tbl>
    <w:p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</w:t>
      </w:r>
    </w:p>
    <w:p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Table S3. Mobile phase gradient condition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>The mobile phase was water (A containing 0.1 % formic acid) and acetonitrile (B containing 5 mmol/l ammonium formate, 0.1 % formic acid, Acetonitrile: Water 95:5).</w:t>
      </w:r>
    </w:p>
    <w:tbl>
      <w:tblPr>
        <w:tblStyle w:val="5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9"/>
        <w:gridCol w:w="2079"/>
        <w:gridCol w:w="2079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9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420" w:lineRule="exact"/>
              <w:jc w:val="center"/>
              <w:rPr>
                <w:rFonts w:ascii="Times New Roman" w:hAnsi="Times New Roman" w:eastAsia="新宋体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新宋体"/>
                <w:color w:val="000000"/>
                <w:kern w:val="0"/>
                <w:sz w:val="20"/>
              </w:rPr>
              <w:t>Time（min）</w:t>
            </w:r>
          </w:p>
        </w:tc>
        <w:tc>
          <w:tcPr>
            <w:tcW w:w="2079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420" w:lineRule="exact"/>
              <w:jc w:val="center"/>
              <w:rPr>
                <w:rFonts w:ascii="Times New Roman" w:hAnsi="Times New Roman" w:eastAsia="新宋体"/>
                <w:color w:val="000000"/>
                <w:kern w:val="0"/>
                <w:sz w:val="21"/>
              </w:rPr>
            </w:pPr>
            <w:r>
              <w:rPr>
                <w:rFonts w:ascii="Times New Roman" w:hAnsi="Times New Roman" w:eastAsia="新宋体"/>
                <w:color w:val="000000"/>
                <w:kern w:val="0"/>
                <w:sz w:val="21"/>
              </w:rPr>
              <w:t>A%</w:t>
            </w:r>
          </w:p>
        </w:tc>
        <w:tc>
          <w:tcPr>
            <w:tcW w:w="2079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420" w:lineRule="exact"/>
              <w:jc w:val="center"/>
              <w:rPr>
                <w:rFonts w:ascii="Times New Roman" w:hAnsi="Times New Roman" w:eastAsia="新宋体"/>
                <w:color w:val="000000"/>
                <w:kern w:val="0"/>
                <w:sz w:val="21"/>
              </w:rPr>
            </w:pPr>
            <w:r>
              <w:rPr>
                <w:rFonts w:ascii="Times New Roman" w:hAnsi="Times New Roman" w:eastAsia="新宋体"/>
                <w:color w:val="000000"/>
                <w:kern w:val="0"/>
                <w:sz w:val="21"/>
              </w:rPr>
              <w:t>B%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>
            <w:pPr>
              <w:spacing w:line="420" w:lineRule="exact"/>
              <w:jc w:val="center"/>
              <w:rPr>
                <w:rFonts w:ascii="Times New Roman" w:hAnsi="Times New Roman" w:eastAsia="新宋体"/>
                <w:color w:val="000000"/>
                <w:kern w:val="0"/>
                <w:sz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</w:rPr>
              <w:t>0</w:t>
            </w:r>
          </w:p>
        </w:tc>
        <w:tc>
          <w:tcPr>
            <w:tcW w:w="207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>
            <w:pPr>
              <w:spacing w:line="420" w:lineRule="exact"/>
              <w:jc w:val="center"/>
              <w:rPr>
                <w:rFonts w:ascii="Times New Roman" w:hAnsi="Times New Roman" w:eastAsia="新宋体"/>
                <w:color w:val="000000"/>
                <w:kern w:val="0"/>
                <w:sz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</w:rPr>
              <w:t>10</w:t>
            </w:r>
          </w:p>
        </w:tc>
        <w:tc>
          <w:tcPr>
            <w:tcW w:w="207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>
            <w:pPr>
              <w:spacing w:line="420" w:lineRule="exact"/>
              <w:jc w:val="center"/>
              <w:rPr>
                <w:rFonts w:ascii="Times New Roman" w:hAnsi="Times New Roman" w:eastAsia="新宋体"/>
                <w:color w:val="000000"/>
                <w:kern w:val="0"/>
                <w:sz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</w:rPr>
              <w:t>90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420" w:lineRule="exact"/>
              <w:jc w:val="center"/>
              <w:rPr>
                <w:rFonts w:ascii="Times New Roman" w:hAnsi="Times New Roman" w:eastAsia="新宋体"/>
                <w:color w:val="000000"/>
                <w:kern w:val="0"/>
                <w:sz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</w:rPr>
              <w:t>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420" w:lineRule="exact"/>
              <w:jc w:val="center"/>
              <w:rPr>
                <w:rFonts w:ascii="Times New Roman" w:hAnsi="Times New Roman" w:eastAsia="新宋体"/>
                <w:color w:val="000000"/>
                <w:kern w:val="0"/>
                <w:sz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</w:rPr>
              <w:t>10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420" w:lineRule="exact"/>
              <w:jc w:val="center"/>
              <w:rPr>
                <w:rFonts w:ascii="Times New Roman" w:hAnsi="Times New Roman" w:eastAsia="新宋体"/>
                <w:color w:val="000000"/>
                <w:kern w:val="0"/>
                <w:sz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</w:rPr>
              <w:t>90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420" w:lineRule="exact"/>
              <w:jc w:val="center"/>
              <w:rPr>
                <w:rFonts w:ascii="Times New Roman" w:hAnsi="Times New Roman" w:eastAsia="新宋体"/>
                <w:color w:val="000000"/>
                <w:kern w:val="0"/>
                <w:sz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</w:rPr>
              <w:t>3.5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420" w:lineRule="exact"/>
              <w:jc w:val="center"/>
              <w:rPr>
                <w:rFonts w:ascii="Times New Roman" w:hAnsi="Times New Roman" w:eastAsia="新宋体"/>
                <w:color w:val="000000"/>
                <w:kern w:val="0"/>
                <w:sz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</w:rPr>
              <w:t>50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420" w:lineRule="exact"/>
              <w:jc w:val="center"/>
              <w:rPr>
                <w:rFonts w:ascii="Times New Roman" w:hAnsi="Times New Roman" w:eastAsia="新宋体"/>
                <w:color w:val="000000"/>
                <w:kern w:val="0"/>
                <w:sz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</w:rPr>
              <w:t>50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420" w:lineRule="exact"/>
              <w:jc w:val="center"/>
              <w:rPr>
                <w:rFonts w:ascii="Times New Roman" w:hAnsi="Times New Roman" w:eastAsia="新宋体"/>
                <w:color w:val="000000"/>
                <w:kern w:val="0"/>
                <w:sz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</w:rPr>
              <w:t>3.6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420" w:lineRule="exact"/>
              <w:jc w:val="center"/>
              <w:rPr>
                <w:rFonts w:ascii="Times New Roman" w:hAnsi="Times New Roman" w:eastAsia="新宋体"/>
                <w:color w:val="000000"/>
                <w:kern w:val="0"/>
                <w:sz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</w:rPr>
              <w:t>10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420" w:lineRule="exact"/>
              <w:jc w:val="center"/>
              <w:rPr>
                <w:rFonts w:ascii="Times New Roman" w:hAnsi="Times New Roman" w:eastAsia="新宋体"/>
                <w:color w:val="000000"/>
                <w:kern w:val="0"/>
                <w:sz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</w:rPr>
              <w:t>90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bottom"/>
          </w:tcPr>
          <w:p>
            <w:pPr>
              <w:spacing w:line="420" w:lineRule="exact"/>
              <w:jc w:val="center"/>
              <w:rPr>
                <w:rFonts w:ascii="Times New Roman" w:hAnsi="Times New Roman" w:eastAsia="新宋体"/>
                <w:color w:val="000000"/>
                <w:kern w:val="0"/>
                <w:sz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</w:rPr>
              <w:t>5</w:t>
            </w:r>
          </w:p>
        </w:tc>
        <w:tc>
          <w:tcPr>
            <w:tcW w:w="207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bottom"/>
          </w:tcPr>
          <w:p>
            <w:pPr>
              <w:spacing w:line="420" w:lineRule="exact"/>
              <w:jc w:val="center"/>
              <w:rPr>
                <w:rFonts w:ascii="Times New Roman" w:hAnsi="Times New Roman" w:eastAsia="新宋体"/>
                <w:color w:val="000000"/>
                <w:kern w:val="0"/>
                <w:sz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</w:rPr>
              <w:t>10</w:t>
            </w:r>
          </w:p>
        </w:tc>
        <w:tc>
          <w:tcPr>
            <w:tcW w:w="207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bottom"/>
          </w:tcPr>
          <w:p>
            <w:pPr>
              <w:spacing w:line="420" w:lineRule="exact"/>
              <w:jc w:val="center"/>
              <w:rPr>
                <w:rFonts w:ascii="Times New Roman" w:hAnsi="Times New Roman" w:eastAsia="新宋体"/>
                <w:color w:val="000000"/>
                <w:kern w:val="0"/>
                <w:sz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</w:rPr>
              <w:t>90</w:t>
            </w:r>
          </w:p>
        </w:tc>
      </w:tr>
    </w:tbl>
    <w:p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</w:t>
      </w:r>
    </w:p>
    <w:p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Table S4. Mass spectrum condition</w:t>
      </w:r>
    </w:p>
    <w:tbl>
      <w:tblPr>
        <w:tblStyle w:val="5"/>
        <w:tblW w:w="8980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2"/>
        <w:gridCol w:w="1560"/>
        <w:gridCol w:w="1584"/>
        <w:gridCol w:w="1464"/>
        <w:gridCol w:w="1404"/>
        <w:gridCol w:w="148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</w:tcPr>
          <w:p>
            <w:pPr>
              <w:spacing w:line="420" w:lineRule="exact"/>
              <w:jc w:val="center"/>
              <w:rPr>
                <w:rFonts w:ascii="Times New Roman" w:hAnsi="Times New Roman" w:eastAsia="新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新宋体"/>
                <w:color w:val="000000"/>
                <w:kern w:val="0"/>
                <w:sz w:val="20"/>
              </w:rPr>
              <w:t>Ion source voltage</w:t>
            </w:r>
          </w:p>
        </w:tc>
        <w:tc>
          <w:tcPr>
            <w:tcW w:w="1560" w:type="dxa"/>
          </w:tcPr>
          <w:p>
            <w:pPr>
              <w:spacing w:line="420" w:lineRule="exact"/>
              <w:jc w:val="center"/>
              <w:rPr>
                <w:rFonts w:ascii="Times New Roman" w:hAnsi="Times New Roman" w:eastAsia="新宋体"/>
                <w:b/>
                <w:bCs/>
                <w:color w:val="000000"/>
                <w:kern w:val="0"/>
                <w:sz w:val="21"/>
              </w:rPr>
            </w:pPr>
            <w:r>
              <w:rPr>
                <w:rFonts w:ascii="Times New Roman" w:hAnsi="Times New Roman" w:eastAsia="新宋体"/>
                <w:color w:val="000000"/>
                <w:kern w:val="0"/>
                <w:sz w:val="21"/>
              </w:rPr>
              <w:t>Cone-hole voltage</w:t>
            </w:r>
          </w:p>
        </w:tc>
        <w:tc>
          <w:tcPr>
            <w:tcW w:w="1584" w:type="dxa"/>
          </w:tcPr>
          <w:p>
            <w:pPr>
              <w:spacing w:line="420" w:lineRule="exact"/>
              <w:jc w:val="center"/>
              <w:rPr>
                <w:rFonts w:ascii="Times New Roman" w:hAnsi="Times New Roman" w:eastAsia="新宋体"/>
                <w:b/>
                <w:bCs/>
                <w:color w:val="000000"/>
                <w:kern w:val="0"/>
                <w:sz w:val="21"/>
              </w:rPr>
            </w:pPr>
            <w:r>
              <w:rPr>
                <w:rFonts w:ascii="Times New Roman" w:hAnsi="Times New Roman" w:eastAsia="新宋体"/>
                <w:color w:val="000000"/>
                <w:kern w:val="0"/>
                <w:sz w:val="21"/>
              </w:rPr>
              <w:t>Ion source temperature</w:t>
            </w:r>
          </w:p>
        </w:tc>
        <w:tc>
          <w:tcPr>
            <w:tcW w:w="1464" w:type="dxa"/>
          </w:tcPr>
          <w:p>
            <w:pPr>
              <w:spacing w:line="420" w:lineRule="exact"/>
              <w:jc w:val="center"/>
              <w:rPr>
                <w:rFonts w:ascii="Times New Roman" w:hAnsi="Times New Roman" w:eastAsia="新宋体"/>
                <w:b/>
                <w:bCs/>
                <w:color w:val="000000"/>
                <w:kern w:val="0"/>
                <w:sz w:val="21"/>
              </w:rPr>
            </w:pPr>
            <w:r>
              <w:rPr>
                <w:rFonts w:ascii="Times New Roman" w:hAnsi="Times New Roman" w:eastAsia="新宋体"/>
                <w:color w:val="000000"/>
                <w:kern w:val="0"/>
                <w:sz w:val="21"/>
              </w:rPr>
              <w:t>Desolvation temperature</w:t>
            </w:r>
          </w:p>
        </w:tc>
        <w:tc>
          <w:tcPr>
            <w:tcW w:w="1404" w:type="dxa"/>
          </w:tcPr>
          <w:p>
            <w:pPr>
              <w:spacing w:line="420" w:lineRule="exact"/>
              <w:jc w:val="center"/>
              <w:rPr>
                <w:rFonts w:ascii="Times New Roman" w:hAnsi="Times New Roman" w:eastAsia="新宋体"/>
                <w:b/>
                <w:bCs/>
                <w:color w:val="000000"/>
                <w:kern w:val="0"/>
                <w:sz w:val="21"/>
              </w:rPr>
            </w:pPr>
            <w:r>
              <w:rPr>
                <w:rFonts w:ascii="Times New Roman" w:hAnsi="Times New Roman" w:eastAsia="新宋体"/>
                <w:color w:val="000000"/>
                <w:kern w:val="0"/>
                <w:sz w:val="21"/>
              </w:rPr>
              <w:t>Cone-hole gas flow rate</w:t>
            </w:r>
          </w:p>
        </w:tc>
        <w:tc>
          <w:tcPr>
            <w:tcW w:w="1486" w:type="dxa"/>
          </w:tcPr>
          <w:p>
            <w:pPr>
              <w:spacing w:line="420" w:lineRule="exact"/>
              <w:jc w:val="center"/>
              <w:rPr>
                <w:rFonts w:ascii="Times New Roman" w:hAnsi="Times New Roman" w:eastAsia="新宋体"/>
                <w:b/>
                <w:bCs/>
                <w:color w:val="000000"/>
                <w:kern w:val="0"/>
                <w:sz w:val="21"/>
              </w:rPr>
            </w:pPr>
            <w:r>
              <w:rPr>
                <w:rFonts w:ascii="Times New Roman" w:hAnsi="Times New Roman" w:eastAsia="新宋体"/>
                <w:color w:val="000000"/>
                <w:kern w:val="0"/>
                <w:sz w:val="21"/>
              </w:rPr>
              <w:t>Desolvation gas flow rate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vAlign w:val="bottom"/>
          </w:tcPr>
          <w:p>
            <w:pPr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</w:rPr>
              <w:t>2.0 kV</w:t>
            </w:r>
          </w:p>
        </w:tc>
        <w:tc>
          <w:tcPr>
            <w:tcW w:w="1560" w:type="dxa"/>
            <w:vAlign w:val="bottom"/>
          </w:tcPr>
          <w:p>
            <w:pPr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</w:rPr>
              <w:t>10 V</w:t>
            </w:r>
          </w:p>
        </w:tc>
        <w:tc>
          <w:tcPr>
            <w:tcW w:w="1584" w:type="dxa"/>
            <w:vAlign w:val="bottom"/>
          </w:tcPr>
          <w:p>
            <w:pPr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</w:rPr>
              <w:t>150℃</w:t>
            </w:r>
          </w:p>
        </w:tc>
        <w:tc>
          <w:tcPr>
            <w:tcW w:w="1464" w:type="dxa"/>
            <w:vAlign w:val="bottom"/>
          </w:tcPr>
          <w:p>
            <w:pPr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</w:rPr>
              <w:t>450℃</w:t>
            </w:r>
          </w:p>
        </w:tc>
        <w:tc>
          <w:tcPr>
            <w:tcW w:w="1404" w:type="dxa"/>
            <w:vAlign w:val="bottom"/>
          </w:tcPr>
          <w:p>
            <w:pPr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</w:rPr>
              <w:t>10 L/h</w:t>
            </w:r>
          </w:p>
        </w:tc>
        <w:tc>
          <w:tcPr>
            <w:tcW w:w="1486" w:type="dxa"/>
            <w:vAlign w:val="bottom"/>
          </w:tcPr>
          <w:p>
            <w:pPr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</w:rPr>
              <w:t>900L/h</w:t>
            </w:r>
          </w:p>
        </w:tc>
      </w:tr>
    </w:tbl>
    <w:p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Table S5. Alpha diversity index comparison among groups</w:t>
      </w:r>
    </w:p>
    <w:tbl>
      <w:tblPr>
        <w:tblStyle w:val="4"/>
        <w:tblW w:w="8965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6"/>
        <w:gridCol w:w="1536"/>
        <w:gridCol w:w="1314"/>
        <w:gridCol w:w="1284"/>
        <w:gridCol w:w="1141"/>
        <w:gridCol w:w="1284"/>
        <w:gridCol w:w="10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39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pStyle w:val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Estimators</w:t>
            </w:r>
          </w:p>
        </w:tc>
        <w:tc>
          <w:tcPr>
            <w:tcW w:w="153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pStyle w:val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Control-Mean</w:t>
            </w:r>
          </w:p>
        </w:tc>
        <w:tc>
          <w:tcPr>
            <w:tcW w:w="131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pStyle w:val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Control-Sd</w:t>
            </w:r>
          </w:p>
        </w:tc>
        <w:tc>
          <w:tcPr>
            <w:tcW w:w="128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pStyle w:val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PHH-Mean</w:t>
            </w:r>
          </w:p>
        </w:tc>
        <w:tc>
          <w:tcPr>
            <w:tcW w:w="114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pStyle w:val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PHH-Sd</w:t>
            </w:r>
          </w:p>
        </w:tc>
        <w:tc>
          <w:tcPr>
            <w:tcW w:w="128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pStyle w:val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P</w:t>
            </w:r>
            <w:r>
              <w:rPr>
                <w:rFonts w:ascii="Times New Roman" w:hAnsi="Times New Roman"/>
              </w:rPr>
              <w:t>-value</w:t>
            </w:r>
          </w:p>
        </w:tc>
        <w:tc>
          <w:tcPr>
            <w:tcW w:w="101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pStyle w:val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Q-value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396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sobs</w:t>
            </w:r>
          </w:p>
        </w:tc>
        <w:tc>
          <w:tcPr>
            <w:tcW w:w="1536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413.83</w:t>
            </w:r>
          </w:p>
        </w:tc>
        <w:tc>
          <w:tcPr>
            <w:tcW w:w="1314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21.451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296.67</w:t>
            </w:r>
          </w:p>
        </w:tc>
        <w:tc>
          <w:tcPr>
            <w:tcW w:w="1141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46.638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0.0002306</w:t>
            </w:r>
          </w:p>
        </w:tc>
        <w:tc>
          <w:tcPr>
            <w:tcW w:w="101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0.000745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shannon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4.0461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0.16123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3.3894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0.50054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0.01206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0.02413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simpson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0.045524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0.0099807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0.081402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0.03517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0.03707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0.05146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chao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492.66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35.123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369.84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41.447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0.0002483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0.000745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shannoneven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0.67155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0.023577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0.59539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0.076927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0.04288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0.05146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396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pStyle w:val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simpsoneven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pStyle w:val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0.055359</w:t>
            </w:r>
          </w:p>
        </w:tc>
        <w:tc>
          <w:tcPr>
            <w:tcW w:w="1314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pStyle w:val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0.013055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pStyle w:val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0.052466</w:t>
            </w:r>
          </w:p>
        </w:tc>
        <w:tc>
          <w:tcPr>
            <w:tcW w:w="1141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pStyle w:val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0.032931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pStyle w:val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0.8455</w:t>
            </w:r>
          </w:p>
        </w:tc>
        <w:tc>
          <w:tcPr>
            <w:tcW w:w="1010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pStyle w:val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0.8455</w:t>
            </w:r>
          </w:p>
        </w:tc>
      </w:tr>
    </w:tbl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5229860" cy="3830955"/>
            <wp:effectExtent l="0" t="0" r="8890" b="0"/>
            <wp:docPr id="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29860" cy="383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</w:p>
    <w:p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Figure S1. The distribution of coverage index and abundance index </w:t>
      </w:r>
      <w:r>
        <w:rPr>
          <w:rFonts w:hint="eastAsia" w:ascii="Times New Roman" w:hAnsi="Times New Roman"/>
          <w:b/>
          <w:bCs/>
          <w:lang w:val="en-US" w:eastAsia="zh-CN"/>
        </w:rPr>
        <w:t>S</w:t>
      </w:r>
      <w:r>
        <w:rPr>
          <w:rFonts w:ascii="Times New Roman" w:hAnsi="Times New Roman"/>
          <w:b/>
          <w:bCs/>
        </w:rPr>
        <w:t xml:space="preserve">obs, </w:t>
      </w:r>
      <w:r>
        <w:rPr>
          <w:rFonts w:hint="eastAsia" w:ascii="Times New Roman" w:hAnsi="Times New Roman"/>
          <w:b/>
          <w:bCs/>
          <w:lang w:val="en-US" w:eastAsia="zh-CN"/>
        </w:rPr>
        <w:t>A</w:t>
      </w:r>
      <w:r>
        <w:rPr>
          <w:rFonts w:ascii="Times New Roman" w:hAnsi="Times New Roman"/>
          <w:b/>
          <w:bCs/>
        </w:rPr>
        <w:t xml:space="preserve">ce and </w:t>
      </w:r>
      <w:r>
        <w:rPr>
          <w:rFonts w:hint="eastAsia" w:ascii="Times New Roman" w:hAnsi="Times New Roman"/>
          <w:b/>
          <w:bCs/>
          <w:lang w:val="en-US" w:eastAsia="zh-CN"/>
        </w:rPr>
        <w:t>C</w:t>
      </w:r>
      <w:r>
        <w:rPr>
          <w:rFonts w:ascii="Times New Roman" w:hAnsi="Times New Roman"/>
          <w:b/>
          <w:bCs/>
        </w:rPr>
        <w:t>hao</w:t>
      </w:r>
    </w:p>
    <w:p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</w:t>
      </w:r>
    </w:p>
    <w:p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5410200" cy="2057400"/>
            <wp:effectExtent l="0" t="0" r="0" b="0"/>
            <wp:docPr id="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</w:p>
    <w:p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Figure S2. The distribution of diversity index </w:t>
      </w:r>
      <w:r>
        <w:rPr>
          <w:rFonts w:hint="eastAsia" w:ascii="Times New Roman" w:hAnsi="Times New Roman"/>
          <w:b/>
          <w:bCs/>
          <w:lang w:val="en-US" w:eastAsia="zh-CN"/>
        </w:rPr>
        <w:t>S</w:t>
      </w:r>
      <w:r>
        <w:rPr>
          <w:rFonts w:ascii="Times New Roman" w:hAnsi="Times New Roman"/>
          <w:b/>
          <w:bCs/>
        </w:rPr>
        <w:t xml:space="preserve">hannon and </w:t>
      </w:r>
      <w:r>
        <w:rPr>
          <w:rFonts w:hint="eastAsia" w:ascii="Times New Roman" w:hAnsi="Times New Roman"/>
          <w:b/>
          <w:bCs/>
          <w:lang w:val="en-US" w:eastAsia="zh-CN"/>
        </w:rPr>
        <w:t>S</w:t>
      </w:r>
      <w:r>
        <w:rPr>
          <w:rFonts w:ascii="Times New Roman" w:hAnsi="Times New Roman"/>
          <w:b/>
          <w:bCs/>
        </w:rPr>
        <w:t>impson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4987925" cy="5832475"/>
            <wp:effectExtent l="0" t="0" r="3175" b="0"/>
            <wp:docPr id="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87925" cy="583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Figure S3.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 xml:space="preserve">Venn analysis pie plot </w:t>
      </w:r>
      <w:r>
        <w:rPr>
          <w:rFonts w:hint="eastAsia" w:ascii="Times New Roman" w:hAnsi="Times New Roman"/>
          <w:b/>
          <w:bCs/>
          <w:lang w:val="en-US" w:eastAsia="zh-CN"/>
        </w:rPr>
        <w:t>at</w:t>
      </w:r>
      <w:r>
        <w:rPr>
          <w:rFonts w:ascii="Times New Roman" w:hAnsi="Times New Roman"/>
          <w:b/>
          <w:bCs/>
        </w:rPr>
        <w:t xml:space="preserve"> phylum level</w:t>
      </w:r>
    </w:p>
    <w:p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5278755" cy="5805170"/>
            <wp:effectExtent l="0" t="0" r="0" b="5080"/>
            <wp:docPr id="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755" cy="580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Figure S4. Venn analysis pie plot </w:t>
      </w:r>
      <w:r>
        <w:rPr>
          <w:rFonts w:hint="eastAsia" w:ascii="Times New Roman" w:hAnsi="Times New Roman"/>
          <w:b/>
          <w:bCs/>
          <w:lang w:val="en-US" w:eastAsia="zh-CN"/>
        </w:rPr>
        <w:t>at</w:t>
      </w:r>
      <w:r>
        <w:rPr>
          <w:rFonts w:ascii="Times New Roman" w:hAnsi="Times New Roman"/>
          <w:b/>
          <w:bCs/>
        </w:rPr>
        <w:t xml:space="preserve"> family level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5278755" cy="5084445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755" cy="508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Figure S5. Venn analysis pie plot </w:t>
      </w:r>
      <w:r>
        <w:rPr>
          <w:rFonts w:hint="eastAsia" w:ascii="Times New Roman" w:hAnsi="Times New Roman"/>
          <w:b/>
          <w:bCs/>
          <w:lang w:val="en-US" w:eastAsia="zh-CN"/>
        </w:rPr>
        <w:t>at</w:t>
      </w:r>
      <w:r>
        <w:rPr>
          <w:rFonts w:ascii="Times New Roman" w:hAnsi="Times New Roman"/>
          <w:b/>
          <w:bCs/>
        </w:rPr>
        <w:t xml:space="preserve"> genus level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5278755" cy="2286000"/>
            <wp:effectExtent l="0" t="0" r="0" b="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75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Figure S6.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 xml:space="preserve">PCoA and </w:t>
      </w:r>
      <w:r>
        <w:rPr>
          <w:rFonts w:hint="eastAsia" w:ascii="Times New Roman" w:hAnsi="Times New Roman"/>
          <w:b/>
          <w:bCs/>
        </w:rPr>
        <w:t>b</w:t>
      </w:r>
      <w:r>
        <w:rPr>
          <w:rFonts w:ascii="Times New Roman" w:hAnsi="Times New Roman"/>
          <w:b/>
          <w:bCs/>
        </w:rPr>
        <w:t>arplot of typing analysis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5153660" cy="7343140"/>
            <wp:effectExtent l="0" t="0" r="8890" b="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53660" cy="734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Figure S7.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Glycolysis/Gluconeogenesis pathway</w:t>
      </w:r>
    </w:p>
    <w:p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714115" cy="1371600"/>
            <wp:effectExtent l="0" t="0" r="635" b="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18552" cy="1373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</w:p>
    <w:p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Figure S8. Chemical structure of polydatin</w:t>
      </w:r>
    </w:p>
    <w:p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333750" cy="1537335"/>
            <wp:effectExtent l="0" t="0" r="3810" b="1905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43671" cy="154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Figure S9.</w:t>
      </w:r>
      <w:r>
        <w:rPr>
          <w:rFonts w:ascii="Times New Roman" w:hAnsi="Times New Roman"/>
        </w:rPr>
        <w:t xml:space="preserve"> </w:t>
      </w:r>
      <w:r>
        <w:rPr>
          <w:rFonts w:hint="eastAsia" w:ascii="Times New Roman" w:hAnsi="Times New Roman"/>
          <w:b/>
          <w:bCs/>
        </w:rPr>
        <w:t>Chemical structure of the predominant hawthorn leaf flavonoids.</w:t>
      </w:r>
      <w:r>
        <w:rPr>
          <w:rFonts w:hint="eastAsia" w:ascii="Times New Roman" w:hAnsi="Times New Roman"/>
          <w:b/>
          <w:bCs/>
          <w:lang w:val="en-US" w:eastAsia="zh-CN"/>
        </w:rPr>
        <w:t xml:space="preserve"> </w:t>
      </w:r>
      <w:r>
        <w:rPr>
          <w:rFonts w:ascii="Times New Roman" w:hAnsi="Times New Roman"/>
        </w:rPr>
        <w:t>(A) quercetin and (B) isoquercetin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lkNmFmYzVkYWFjODZhZGExMjU4Yjc3ZmFhZjM0MTEifQ=="/>
  </w:docVars>
  <w:rsids>
    <w:rsidRoot w:val="00206DD7"/>
    <w:rsid w:val="00040D6D"/>
    <w:rsid w:val="00206DD7"/>
    <w:rsid w:val="00280D93"/>
    <w:rsid w:val="00430BDB"/>
    <w:rsid w:val="00607B21"/>
    <w:rsid w:val="0092776D"/>
    <w:rsid w:val="00A25697"/>
    <w:rsid w:val="00A51ABA"/>
    <w:rsid w:val="00D92B87"/>
    <w:rsid w:val="00E11603"/>
    <w:rsid w:val="23D17B03"/>
    <w:rsid w:val="2F170558"/>
    <w:rsid w:val="371151BF"/>
    <w:rsid w:val="419F1474"/>
    <w:rsid w:val="535F573A"/>
    <w:rsid w:val="5B470B72"/>
    <w:rsid w:val="73E42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表格"/>
    <w:basedOn w:val="1"/>
    <w:qFormat/>
    <w:uiPriority w:val="0"/>
  </w:style>
  <w:style w:type="character" w:customStyle="1" w:styleId="8">
    <w:name w:val="页眉 字符"/>
    <w:basedOn w:val="6"/>
    <w:link w:val="3"/>
    <w:qFormat/>
    <w:uiPriority w:val="99"/>
    <w:rPr>
      <w:rFonts w:ascii="等线" w:hAnsi="等线" w:eastAsia="等线" w:cs="Times New Roman"/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rFonts w:ascii="等线" w:hAnsi="等线" w:eastAsia="等线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307</Words>
  <Characters>1730</Characters>
  <Lines>15</Lines>
  <Paragraphs>4</Paragraphs>
  <TotalTime>0</TotalTime>
  <ScaleCrop>false</ScaleCrop>
  <LinksUpToDate>false</LinksUpToDate>
  <CharactersWithSpaces>1919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2023-06-15T05:40:00Z</dcterms:created>
  <dc:creator>li dan</dc:creator>
  <cp:lastModifiedBy>༄PLAYboy</cp:lastModifiedBy>
  <dcterms:modified xsi:type="dcterms:W3CDTF">2023-08-30T14:36:54Z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EA103D643F5649A3A1E91A07342594D0_12</vt:lpwstr>
  </property>
</Properties>
</file>