
<file path=[Content_Types].xml><?xml version="1.0" encoding="utf-8"?>
<Types xmlns="http://schemas.openxmlformats.org/package/2006/content-types">
  <Default Extension="xml" ContentType="application/xml"/>
  <Default Extension="tiff" ContentType="image/tif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val="0"/>
        <w:spacing w:line="480" w:lineRule="auto"/>
        <w:jc w:val="center"/>
        <w:rPr>
          <w:rFonts w:eastAsia="等线"/>
          <w:kern w:val="0"/>
          <w:sz w:val="30"/>
          <w:szCs w:val="30"/>
        </w:rPr>
      </w:pPr>
      <w:bookmarkStart w:id="0" w:name="OLE_LINK7"/>
      <w:bookmarkStart w:id="1" w:name="OLE_LINK1"/>
      <w:r>
        <w:rPr>
          <w:rFonts w:eastAsia="等线"/>
          <w:b/>
          <w:sz w:val="30"/>
          <w:szCs w:val="30"/>
        </w:rPr>
        <w:t>Supporting Information</w:t>
      </w:r>
    </w:p>
    <w:bookmarkEnd w:id="0"/>
    <w:bookmarkEnd w:id="1"/>
    <w:p>
      <w:pPr>
        <w:kinsoku w:val="0"/>
        <w:adjustRightInd w:val="0"/>
        <w:snapToGrid w:val="0"/>
        <w:spacing w:line="360" w:lineRule="auto"/>
        <w:rPr>
          <w:rFonts w:eastAsia="Times New Roman"/>
          <w:b/>
          <w:bCs/>
          <w:sz w:val="30"/>
          <w:szCs w:val="30"/>
        </w:rPr>
      </w:pPr>
      <w:bookmarkStart w:id="2" w:name="_Hlk121691927"/>
      <w:bookmarkEnd w:id="2"/>
      <w:bookmarkStart w:id="3" w:name="OLE_LINK3"/>
      <w:bookmarkStart w:id="4" w:name="OLE_LINK292"/>
      <w:r>
        <w:rPr>
          <w:rFonts w:eastAsia="Times New Roman"/>
          <w:b/>
          <w:bCs/>
          <w:sz w:val="30"/>
          <w:szCs w:val="30"/>
        </w:rPr>
        <w:t>F</w:t>
      </w:r>
      <w:r>
        <w:rPr>
          <w:b/>
          <w:bCs/>
          <w:sz w:val="30"/>
          <w:szCs w:val="30"/>
        </w:rPr>
        <w:t>abrication</w:t>
      </w:r>
      <w:r>
        <w:rPr>
          <w:rFonts w:eastAsia="Times New Roman"/>
          <w:b/>
          <w:bCs/>
          <w:sz w:val="30"/>
          <w:szCs w:val="30"/>
        </w:rPr>
        <w:t xml:space="preserve"> of </w:t>
      </w:r>
      <w:bookmarkStart w:id="5" w:name="_Hlk138342136"/>
      <w:r>
        <w:rPr>
          <w:rFonts w:eastAsia="Times New Roman"/>
          <w:b/>
          <w:bCs/>
          <w:sz w:val="30"/>
          <w:szCs w:val="30"/>
        </w:rPr>
        <w:t>3D aligned porous</w:t>
      </w:r>
      <w:bookmarkEnd w:id="5"/>
      <w:r>
        <w:rPr>
          <w:rFonts w:eastAsia="Times New Roman"/>
          <w:b/>
          <w:bCs/>
          <w:sz w:val="30"/>
          <w:szCs w:val="30"/>
        </w:rPr>
        <w:t xml:space="preserve"> nanocellulose-based </w:t>
      </w:r>
      <w:bookmarkStart w:id="6" w:name="_Hlk138342336"/>
      <w:r>
        <w:rPr>
          <w:rFonts w:eastAsia="Times New Roman"/>
          <w:b/>
          <w:bCs/>
          <w:sz w:val="30"/>
          <w:szCs w:val="30"/>
        </w:rPr>
        <w:t>aerogel</w:t>
      </w:r>
      <w:bookmarkEnd w:id="6"/>
      <w:r>
        <w:rPr>
          <w:rFonts w:ascii="Calibri" w:hAnsi="Calibri"/>
          <w:szCs w:val="24"/>
        </w:rPr>
        <w:t xml:space="preserve"> </w:t>
      </w:r>
      <w:r>
        <w:rPr>
          <w:rFonts w:hint="eastAsia"/>
          <w:b/>
          <w:bCs/>
          <w:sz w:val="30"/>
          <w:szCs w:val="30"/>
        </w:rPr>
        <w:t>for</w:t>
      </w:r>
      <w:r>
        <w:rPr>
          <w:rFonts w:eastAsia="Times New Roman"/>
          <w:b/>
          <w:bCs/>
          <w:sz w:val="30"/>
          <w:szCs w:val="30"/>
        </w:rPr>
        <w:t xml:space="preserve"> </w:t>
      </w:r>
      <w:r>
        <w:rPr>
          <w:rFonts w:hint="eastAsia"/>
          <w:b/>
          <w:bCs/>
          <w:sz w:val="30"/>
          <w:szCs w:val="30"/>
        </w:rPr>
        <w:t>rapid</w:t>
      </w:r>
      <w:r>
        <w:rPr>
          <w:rFonts w:eastAsia="Times New Roman"/>
          <w:b/>
          <w:bCs/>
          <w:sz w:val="30"/>
          <w:szCs w:val="30"/>
        </w:rPr>
        <w:t xml:space="preserve"> enrichment of </w:t>
      </w:r>
      <w:bookmarkStart w:id="7" w:name="OLE_LINK2"/>
      <w:r>
        <w:rPr>
          <w:rFonts w:eastAsia="Times New Roman"/>
          <w:b/>
          <w:bCs/>
          <w:sz w:val="30"/>
          <w:szCs w:val="30"/>
        </w:rPr>
        <w:t>the histidine-containing polypeptides</w:t>
      </w:r>
      <w:bookmarkEnd w:id="7"/>
    </w:p>
    <w:bookmarkEnd w:id="3"/>
    <w:p>
      <w:pPr>
        <w:widowControl w:val="0"/>
        <w:spacing w:line="480" w:lineRule="auto"/>
        <w:rPr>
          <w:b/>
          <w:bCs/>
          <w:color w:val="000000"/>
          <w:sz w:val="24"/>
          <w:szCs w:val="24"/>
        </w:rPr>
      </w:pPr>
      <w:r>
        <w:rPr>
          <w:bCs/>
          <w:color w:val="000000"/>
          <w:sz w:val="24"/>
          <w:szCs w:val="24"/>
        </w:rPr>
        <w:t>Jiahui Ou</w:t>
      </w:r>
      <w:r>
        <w:rPr>
          <w:bCs/>
          <w:color w:val="000000"/>
          <w:sz w:val="24"/>
          <w:szCs w:val="24"/>
          <w:vertAlign w:val="superscript"/>
        </w:rPr>
        <w:t>a</w:t>
      </w:r>
      <w:r>
        <w:rPr>
          <w:bCs/>
          <w:color w:val="000000"/>
          <w:sz w:val="24"/>
          <w:szCs w:val="24"/>
        </w:rPr>
        <w:t xml:space="preserve">, </w:t>
      </w:r>
      <w:r>
        <w:rPr>
          <w:rFonts w:hint="eastAsia"/>
          <w:bCs/>
          <w:color w:val="000000"/>
          <w:sz w:val="24"/>
          <w:szCs w:val="24"/>
        </w:rPr>
        <w:t>Shuaipeng Zhou</w:t>
      </w:r>
      <w:r>
        <w:rPr>
          <w:rFonts w:hint="eastAsia"/>
          <w:bCs/>
          <w:color w:val="000000"/>
          <w:sz w:val="24"/>
          <w:szCs w:val="24"/>
          <w:vertAlign w:val="superscript"/>
        </w:rPr>
        <w:t>a</w:t>
      </w:r>
      <w:r>
        <w:rPr>
          <w:rFonts w:hint="eastAsia"/>
          <w:bCs/>
          <w:color w:val="000000"/>
          <w:sz w:val="24"/>
          <w:szCs w:val="24"/>
        </w:rPr>
        <w:t xml:space="preserve">, </w:t>
      </w:r>
      <w:r>
        <w:rPr>
          <w:bCs/>
          <w:color w:val="000000"/>
          <w:sz w:val="24"/>
          <w:szCs w:val="24"/>
        </w:rPr>
        <w:t>Chuanqing Huang</w:t>
      </w:r>
      <w:r>
        <w:rPr>
          <w:bCs/>
          <w:color w:val="000000"/>
          <w:sz w:val="24"/>
          <w:szCs w:val="24"/>
          <w:vertAlign w:val="superscript"/>
        </w:rPr>
        <w:t>c</w:t>
      </w:r>
      <w:r>
        <w:rPr>
          <w:bCs/>
          <w:color w:val="000000"/>
          <w:sz w:val="24"/>
          <w:szCs w:val="24"/>
        </w:rPr>
        <w:t>*, Xiaoyue Tang</w:t>
      </w:r>
      <w:r>
        <w:rPr>
          <w:bCs/>
          <w:color w:val="000000"/>
          <w:sz w:val="24"/>
          <w:szCs w:val="24"/>
          <w:vertAlign w:val="superscript"/>
        </w:rPr>
        <w:t>a</w:t>
      </w:r>
      <w:r>
        <w:rPr>
          <w:bCs/>
          <w:color w:val="000000"/>
          <w:sz w:val="24"/>
          <w:szCs w:val="24"/>
        </w:rPr>
        <w:t>, Lu Li</w:t>
      </w:r>
      <w:r>
        <w:rPr>
          <w:bCs/>
          <w:color w:val="000000"/>
          <w:sz w:val="24"/>
          <w:szCs w:val="24"/>
          <w:vertAlign w:val="superscript"/>
        </w:rPr>
        <w:t>a</w:t>
      </w:r>
      <w:r>
        <w:rPr>
          <w:bCs/>
          <w:color w:val="000000"/>
          <w:sz w:val="24"/>
          <w:szCs w:val="24"/>
        </w:rPr>
        <w:t>, Yunong Tian</w:t>
      </w:r>
      <w:r>
        <w:rPr>
          <w:bCs/>
          <w:color w:val="000000"/>
          <w:sz w:val="24"/>
          <w:szCs w:val="24"/>
          <w:vertAlign w:val="superscript"/>
        </w:rPr>
        <w:t>a</w:t>
      </w:r>
      <w:r>
        <w:rPr>
          <w:bCs/>
          <w:color w:val="000000"/>
          <w:sz w:val="24"/>
          <w:szCs w:val="24"/>
        </w:rPr>
        <w:t>,</w:t>
      </w:r>
      <w:r>
        <w:rPr>
          <w:rFonts w:hint="eastAsia"/>
          <w:bCs/>
          <w:color w:val="000000"/>
          <w:sz w:val="24"/>
          <w:szCs w:val="24"/>
        </w:rPr>
        <w:t xml:space="preserve"> </w:t>
      </w:r>
      <w:r>
        <w:rPr>
          <w:bCs/>
          <w:color w:val="000000"/>
          <w:sz w:val="24"/>
          <w:szCs w:val="24"/>
        </w:rPr>
        <w:t>Yong Ye*</w:t>
      </w:r>
      <w:r>
        <w:rPr>
          <w:bCs/>
          <w:color w:val="000000"/>
          <w:sz w:val="24"/>
          <w:szCs w:val="24"/>
          <w:vertAlign w:val="superscript"/>
        </w:rPr>
        <w:t>ab</w:t>
      </w:r>
      <w:r>
        <w:rPr>
          <w:rFonts w:hint="eastAsia"/>
          <w:bCs/>
          <w:color w:val="000000"/>
          <w:sz w:val="24"/>
          <w:szCs w:val="24"/>
          <w:vertAlign w:val="superscript"/>
        </w:rPr>
        <w:t>d</w:t>
      </w:r>
      <w:r>
        <w:rPr>
          <w:bCs/>
          <w:color w:val="000000"/>
          <w:sz w:val="24"/>
          <w:szCs w:val="24"/>
        </w:rPr>
        <w:t xml:space="preserve"> </w:t>
      </w:r>
    </w:p>
    <w:p>
      <w:pPr>
        <w:spacing w:line="480" w:lineRule="auto"/>
        <w:rPr>
          <w:i/>
          <w:sz w:val="24"/>
          <w:szCs w:val="24"/>
        </w:rPr>
      </w:pPr>
      <w:r>
        <w:rPr>
          <w:color w:val="000000"/>
          <w:sz w:val="24"/>
          <w:szCs w:val="24"/>
          <w:vertAlign w:val="superscript"/>
        </w:rPr>
        <w:t xml:space="preserve">a </w:t>
      </w:r>
      <w:r>
        <w:rPr>
          <w:i/>
          <w:sz w:val="24"/>
          <w:szCs w:val="24"/>
        </w:rPr>
        <w:t>School of Chemistry and Chemical Engineering, South China University of Technology, Guangzhou, 510640, China</w:t>
      </w:r>
    </w:p>
    <w:p>
      <w:pPr>
        <w:widowControl w:val="0"/>
        <w:spacing w:line="480" w:lineRule="auto"/>
        <w:rPr>
          <w:bCs/>
          <w:i/>
          <w:iCs/>
          <w:color w:val="000000"/>
          <w:sz w:val="24"/>
          <w:szCs w:val="24"/>
        </w:rPr>
      </w:pPr>
      <w:r>
        <w:rPr>
          <w:sz w:val="24"/>
          <w:szCs w:val="24"/>
          <w:vertAlign w:val="superscript"/>
        </w:rPr>
        <w:t>b</w:t>
      </w:r>
      <w:r>
        <w:rPr>
          <w:bCs/>
          <w:i/>
          <w:iCs/>
          <w:color w:val="000000"/>
          <w:sz w:val="24"/>
          <w:szCs w:val="24"/>
        </w:rPr>
        <w:t xml:space="preserve"> SCUT-Zhuhai Institute of Modern Industrial Innovation, Zhuhai, 519175, China</w:t>
      </w:r>
    </w:p>
    <w:p>
      <w:pPr>
        <w:widowControl w:val="0"/>
        <w:spacing w:line="480" w:lineRule="auto"/>
        <w:rPr>
          <w:bCs/>
          <w:i/>
          <w:iCs/>
          <w:color w:val="000000"/>
          <w:sz w:val="24"/>
          <w:szCs w:val="24"/>
        </w:rPr>
      </w:pPr>
      <w:bookmarkStart w:id="8" w:name="OLE_LINK10"/>
      <w:r>
        <w:rPr>
          <w:rFonts w:hint="eastAsia"/>
          <w:bCs/>
          <w:i/>
          <w:iCs/>
          <w:color w:val="000000"/>
          <w:sz w:val="24"/>
          <w:szCs w:val="24"/>
          <w:vertAlign w:val="superscript"/>
        </w:rPr>
        <w:t>c</w:t>
      </w:r>
      <w:r>
        <w:rPr>
          <w:bCs/>
          <w:i/>
          <w:iCs/>
          <w:color w:val="000000"/>
          <w:sz w:val="24"/>
          <w:szCs w:val="24"/>
        </w:rPr>
        <w:t xml:space="preserve"> State Key Laboratory of Non-Food Biomass and Enzyme Technology, National Engineering Research Center for Non-Food Biorefinery, Guangxi Biomass Engineering Technology Research Center, Guangxi Academy of Sciences, Nanning 530007, China</w:t>
      </w:r>
    </w:p>
    <w:bookmarkEnd w:id="8"/>
    <w:p>
      <w:pPr>
        <w:widowControl w:val="0"/>
        <w:spacing w:line="480" w:lineRule="auto"/>
        <w:rPr>
          <w:bCs/>
          <w:color w:val="000000"/>
          <w:sz w:val="24"/>
          <w:szCs w:val="24"/>
        </w:rPr>
      </w:pPr>
      <w:r>
        <w:rPr>
          <w:rFonts w:hint="eastAsia"/>
          <w:bCs/>
          <w:color w:val="000000"/>
          <w:sz w:val="24"/>
          <w:szCs w:val="24"/>
          <w:vertAlign w:val="superscript"/>
        </w:rPr>
        <w:t>d</w:t>
      </w:r>
      <w:r>
        <w:rPr>
          <w:bCs/>
          <w:color w:val="000000"/>
          <w:sz w:val="24"/>
          <w:szCs w:val="24"/>
        </w:rPr>
        <w:t xml:space="preserve"> </w:t>
      </w:r>
      <w:r>
        <w:rPr>
          <w:i/>
          <w:iCs/>
          <w:sz w:val="24"/>
          <w:szCs w:val="24"/>
        </w:rPr>
        <w:t>Jiangxi Environmental Engineering Vocational College, Ganzhou, 341000，China</w:t>
      </w:r>
    </w:p>
    <w:p>
      <w:pPr>
        <w:widowControl w:val="0"/>
        <w:spacing w:line="480" w:lineRule="auto"/>
        <w:rPr>
          <w:sz w:val="24"/>
          <w:szCs w:val="24"/>
        </w:rPr>
      </w:pPr>
    </w:p>
    <w:p>
      <w:pPr>
        <w:widowControl w:val="0"/>
        <w:spacing w:line="480" w:lineRule="auto"/>
        <w:rPr>
          <w:sz w:val="24"/>
          <w:szCs w:val="24"/>
        </w:rPr>
      </w:pPr>
    </w:p>
    <w:p>
      <w:pPr>
        <w:widowControl w:val="0"/>
        <w:spacing w:line="480" w:lineRule="auto"/>
        <w:rPr>
          <w:sz w:val="24"/>
          <w:szCs w:val="24"/>
        </w:rPr>
      </w:pPr>
      <w:r>
        <w:rPr>
          <w:sz w:val="24"/>
          <w:szCs w:val="24"/>
        </w:rPr>
        <w:t>Corresponding authors:</w:t>
      </w:r>
    </w:p>
    <w:p>
      <w:pPr>
        <w:widowControl w:val="0"/>
        <w:spacing w:line="480" w:lineRule="auto"/>
        <w:rPr>
          <w:sz w:val="24"/>
          <w:szCs w:val="24"/>
        </w:rPr>
      </w:pPr>
      <w:r>
        <w:rPr>
          <w:sz w:val="24"/>
          <w:szCs w:val="24"/>
        </w:rPr>
        <w:t xml:space="preserve">E-mail addresses: </w:t>
      </w:r>
      <w:bookmarkStart w:id="9" w:name="OLE_LINK34"/>
      <w:bookmarkStart w:id="10" w:name="OLE_LINK35"/>
      <w:r>
        <w:rPr>
          <w:sz w:val="24"/>
          <w:szCs w:val="24"/>
        </w:rPr>
        <w:t>yeyong@scut.edu.cn (Y. Ye)</w:t>
      </w:r>
      <w:bookmarkEnd w:id="9"/>
      <w:bookmarkEnd w:id="10"/>
    </w:p>
    <w:p>
      <w:pPr>
        <w:spacing w:line="480" w:lineRule="auto"/>
        <w:rPr>
          <w:sz w:val="24"/>
          <w:szCs w:val="24"/>
          <w:highlight w:val="none"/>
        </w:rPr>
      </w:pPr>
      <w:bookmarkStart w:id="18" w:name="_GoBack"/>
      <w:r>
        <w:rPr>
          <w:sz w:val="24"/>
          <w:szCs w:val="24"/>
          <w:highlight w:val="none"/>
        </w:rPr>
        <w:t>cqhuang@gxas.cn</w:t>
      </w:r>
      <w:r>
        <w:rPr>
          <w:rFonts w:hint="eastAsia"/>
          <w:sz w:val="24"/>
          <w:szCs w:val="24"/>
          <w:highlight w:val="none"/>
        </w:rPr>
        <w:t xml:space="preserve"> (C. Q. Huang)</w:t>
      </w:r>
    </w:p>
    <w:bookmarkEnd w:id="18"/>
    <w:p>
      <w:pPr>
        <w:spacing w:line="480" w:lineRule="auto"/>
        <w:rPr>
          <w:bCs/>
          <w:color w:val="000000"/>
          <w:sz w:val="24"/>
          <w:szCs w:val="24"/>
        </w:rPr>
      </w:pPr>
      <w:r>
        <w:rPr>
          <w:bCs/>
          <w:color w:val="000000"/>
          <w:sz w:val="24"/>
          <w:szCs w:val="24"/>
        </w:rPr>
        <w:t>Phone and Fax: +86-20-87110234</w:t>
      </w:r>
    </w:p>
    <w:p>
      <w:pPr>
        <w:kinsoku w:val="0"/>
        <w:autoSpaceDE w:val="0"/>
        <w:autoSpaceDN w:val="0"/>
        <w:adjustRightInd w:val="0"/>
        <w:snapToGrid w:val="0"/>
        <w:spacing w:line="480" w:lineRule="auto"/>
        <w:textAlignment w:val="baseline"/>
        <w:rPr>
          <w:rFonts w:eastAsia="Times New Roman"/>
          <w:b/>
          <w:bCs/>
          <w:sz w:val="24"/>
        </w:rPr>
        <w:sectPr>
          <w:footerReference r:id="rId3" w:type="default"/>
          <w:pgSz w:w="11906" w:h="16838"/>
          <w:pgMar w:top="1440" w:right="1800" w:bottom="1440" w:left="1800" w:header="851" w:footer="992" w:gutter="0"/>
          <w:lnNumType w:countBy="1" w:restart="continuous"/>
          <w:cols w:space="425" w:num="1"/>
          <w:docGrid w:type="lines" w:linePitch="312" w:charSpace="0"/>
        </w:sectPr>
      </w:pPr>
    </w:p>
    <w:p>
      <w:pPr>
        <w:adjustRightInd w:val="0"/>
        <w:snapToGrid w:val="0"/>
        <w:spacing w:line="360" w:lineRule="auto"/>
        <w:jc w:val="left"/>
        <w:rPr>
          <w:b/>
          <w:bCs/>
          <w:spacing w:val="-1"/>
          <w:sz w:val="24"/>
        </w:rPr>
      </w:pPr>
      <w:r>
        <w:rPr>
          <w:b/>
          <w:bCs/>
          <w:spacing w:val="-1"/>
          <w:sz w:val="24"/>
        </w:rPr>
        <w:t>Effect of different acid pretreatment on carboxylic content and yield of oxidized nanocellulose</w:t>
      </w:r>
    </w:p>
    <w:p>
      <w:pPr>
        <w:adjustRightInd w:val="0"/>
        <w:snapToGrid w:val="0"/>
        <w:spacing w:line="480" w:lineRule="auto"/>
        <w:ind w:firstLine="476" w:firstLineChars="200"/>
        <w:rPr>
          <w:spacing w:val="-1"/>
          <w:sz w:val="24"/>
        </w:rPr>
      </w:pPr>
      <w:r>
        <w:rPr>
          <w:spacing w:val="-1"/>
          <w:sz w:val="24"/>
        </w:rPr>
        <w:t xml:space="preserve">The TEMPO oxidation products from BSKP pretreated without and with hydrochloric acid (HCl) or citric acid (CA) were shown in </w:t>
      </w:r>
      <w:r>
        <w:rPr>
          <w:color w:val="0070C0"/>
          <w:spacing w:val="-1"/>
          <w:sz w:val="24"/>
        </w:rPr>
        <w:t>Table S1</w:t>
      </w:r>
      <w:r>
        <w:rPr>
          <w:spacing w:val="-1"/>
          <w:sz w:val="24"/>
        </w:rPr>
        <w:t xml:space="preserve">. The acid pretreatment conditions were </w:t>
      </w:r>
      <w:bookmarkStart w:id="11" w:name="_Hlk121930142"/>
      <w:r>
        <w:rPr>
          <w:spacing w:val="-1"/>
          <w:sz w:val="24"/>
        </w:rPr>
        <w:t>as follows</w:t>
      </w:r>
      <w:bookmarkEnd w:id="11"/>
      <w:r>
        <w:rPr>
          <w:spacing w:val="-1"/>
          <w:sz w:val="24"/>
        </w:rPr>
        <w:t>: acid concentration was 5% (V/V), the pretreatment time was 24 h, and the pretreatment temperature was room temperature; TEMPO oxidation conditions were as follows: 5 g conifer fiber, 0.08 g TEMPO, 0.5 g NaBr and 50 mL 9% NaClO solution reacted for 12 h at room temperature.</w:t>
      </w:r>
      <w:r>
        <w:rPr>
          <w:sz w:val="24"/>
        </w:rPr>
        <w:t xml:space="preserve"> </w:t>
      </w:r>
      <w:r>
        <w:rPr>
          <w:spacing w:val="-1"/>
          <w:sz w:val="24"/>
        </w:rPr>
        <w:t xml:space="preserve">From </w:t>
      </w:r>
      <w:r>
        <w:rPr>
          <w:color w:val="0070C0"/>
          <w:spacing w:val="-1"/>
          <w:sz w:val="24"/>
        </w:rPr>
        <w:t>Table S1</w:t>
      </w:r>
      <w:r>
        <w:rPr>
          <w:spacing w:val="-1"/>
          <w:sz w:val="24"/>
        </w:rPr>
        <w:t>, the carboxyl group content of CA pretreatment of paper pulp was 1.40 ± 0.10 mmol/g cellulose, and the yield of TOCN was 83.76%. Although the raw pulp and the acid pretreatment pulp had certain losses, they both had high yield. The TEMPO/NaClO/NaBr oxidation reaction was carried out in alkaline environment (pH = 10.5), but the alkaline oxidation condition would result in severe depolymerization of cellulose molecules and the degradation and dissolution of some cellulose components. In addition, with the progress of oxidation reaction, the carboxylic content in cellulose molecules also increased, which made the separated nanoscale fibers more likely to mix with water, resulting in the decrease of the yield of TOCN.</w:t>
      </w:r>
    </w:p>
    <w:p>
      <w:pPr>
        <w:adjustRightInd w:val="0"/>
        <w:snapToGrid w:val="0"/>
        <w:spacing w:line="480" w:lineRule="auto"/>
        <w:ind w:firstLine="476" w:firstLineChars="200"/>
        <w:rPr>
          <w:spacing w:val="-1"/>
          <w:sz w:val="24"/>
        </w:rPr>
      </w:pPr>
      <w:r>
        <w:rPr>
          <w:spacing w:val="-1"/>
          <w:sz w:val="24"/>
        </w:rPr>
        <w:t>The carboxyl content of oxidized nanocellulose obtained from pulp pretreated with acid was higher than that from original pulp. Compared with the untreated coniferous wood fiber raw pulp, the carboxyl content of the CA-treated pulp was increased by 17.6% from 1.19 mmol/g to 1.40 mmol/g. Meanwhile, the yield of oxidized nanocellulose was decreased due to acid pretreatment.</w:t>
      </w:r>
      <w:r>
        <w:rPr>
          <w:sz w:val="24"/>
        </w:rPr>
        <w:t xml:space="preserve"> </w:t>
      </w:r>
      <w:r>
        <w:rPr>
          <w:spacing w:val="-1"/>
          <w:sz w:val="24"/>
        </w:rPr>
        <w:t xml:space="preserve">The increase in carboxyl content </w:t>
      </w:r>
      <w:r>
        <w:rPr>
          <w:rFonts w:hint="eastAsia"/>
          <w:spacing w:val="-1"/>
          <w:sz w:val="24"/>
        </w:rPr>
        <w:t>i</w:t>
      </w:r>
      <w:r>
        <w:rPr>
          <w:spacing w:val="-1"/>
          <w:sz w:val="24"/>
        </w:rPr>
        <w:t xml:space="preserve">s attributed to acid pretreatment, which would cause damage to the lattice network of cellulose to a certain extent. And crystallinity can affect the microstructure, chemical reaction process and reaction efficiency of cellulose. Generally, cellulose with low crystallinity has higher reactivity </w:t>
      </w:r>
      <w:r>
        <w:rPr>
          <w:color w:val="0070C0"/>
          <w:spacing w:val="-1"/>
          <w:sz w:val="24"/>
        </w:rPr>
        <w:fldChar w:fldCharType="begin"/>
      </w:r>
      <w:r>
        <w:rPr>
          <w:color w:val="0070C0"/>
          <w:spacing w:val="-1"/>
          <w:sz w:val="24"/>
        </w:rPr>
        <w:instrText xml:space="preserve"> ADDIN EN.CITE &lt;EndNote&gt;&lt;Cite&gt;&lt;Author&gt;Chen&lt;/Author&gt;&lt;Year&gt;2017&lt;/Year&gt;&lt;RecNum&gt;440&lt;/RecNum&gt;&lt;DisplayText&gt;[1]&lt;/DisplayText&gt;&lt;record&gt;&lt;rec-number&gt;440&lt;/rec-number&gt;&lt;foreign-keys&gt;&lt;key app="EN" db-id="wd5a229pa9z25aefpfq5vsae2ztf092estrv"&gt;440&lt;/key&gt;&lt;/foreign-keys&gt;&lt;ref-type name="Journal Article"&gt;17&lt;/ref-type&gt;&lt;contributors&gt;&lt;authors&gt;&lt;author&gt;Chen, Yufei&lt;/author&gt;&lt;author&gt;Geng, Biyao&lt;/author&gt;&lt;author&gt;Ru, Jing&lt;/author&gt;&lt;author&gt;Tong, Congcong&lt;/author&gt;&lt;author&gt;Liu, Hongzhi&lt;/author&gt;&lt;author&gt;Chen, Jinzhou&lt;/author&gt;&lt;/authors&gt;&lt;/contributors&gt;&lt;titles&gt;&lt;title&gt;Comparative characteristics of TEMPO-oxidized cellulose nanofibers and resulting nanopapers from bamboo, softwood, and hardwood pulps&lt;/title&gt;&lt;secondary-title&gt;Cellulose&lt;/secondary-title&gt;&lt;/titles&gt;&lt;periodical&gt;&lt;full-title&gt;CELLULOSE&lt;/full-title&gt;&lt;/periodical&gt;&lt;pages&gt;4831-4844&lt;/pages&gt;&lt;volume&gt;24&lt;/volume&gt;&lt;number&gt;11&lt;/number&gt;&lt;dates&gt;&lt;year&gt;2017&lt;/year&gt;&lt;pub-dates&gt;&lt;date&gt;2017/11/01&lt;/date&gt;&lt;/pub-dates&gt;&lt;/dates&gt;&lt;isbn&gt;1572-882X&lt;/isbn&gt;&lt;urls&gt;&lt;related-urls&gt;&lt;url&gt;https://doi.org/10.1007/s10570-017-1478-4&lt;/url&gt;&lt;/related-urls&gt;&lt;/urls&gt;&lt;electronic-resource-num&gt;10.1007/s10570-017-1478-4&lt;/electronic-resource-num&gt;&lt;/record&gt;&lt;/Cite&gt;&lt;/EndNote&gt;</w:instrText>
      </w:r>
      <w:r>
        <w:rPr>
          <w:color w:val="0070C0"/>
          <w:spacing w:val="-1"/>
          <w:sz w:val="24"/>
        </w:rPr>
        <w:fldChar w:fldCharType="separate"/>
      </w:r>
      <w:r>
        <w:rPr>
          <w:color w:val="0070C0"/>
          <w:spacing w:val="-1"/>
          <w:sz w:val="24"/>
        </w:rPr>
        <w:t>[</w:t>
      </w:r>
      <w:r>
        <w:fldChar w:fldCharType="begin"/>
      </w:r>
      <w:r>
        <w:instrText xml:space="preserve"> HYPERLINK \l "_ENREF_1" \o "Chen, 2017 #440" </w:instrText>
      </w:r>
      <w:r>
        <w:fldChar w:fldCharType="separate"/>
      </w:r>
      <w:r>
        <w:rPr>
          <w:color w:val="0070C0"/>
          <w:spacing w:val="-1"/>
          <w:sz w:val="24"/>
        </w:rPr>
        <w:t>1</w:t>
      </w:r>
      <w:r>
        <w:rPr>
          <w:color w:val="0070C0"/>
          <w:spacing w:val="-1"/>
          <w:sz w:val="24"/>
        </w:rPr>
        <w:fldChar w:fldCharType="end"/>
      </w:r>
      <w:r>
        <w:rPr>
          <w:color w:val="0070C0"/>
          <w:spacing w:val="-1"/>
          <w:sz w:val="24"/>
        </w:rPr>
        <w:t>]</w:t>
      </w:r>
      <w:r>
        <w:rPr>
          <w:color w:val="0070C0"/>
          <w:spacing w:val="-1"/>
          <w:sz w:val="24"/>
        </w:rPr>
        <w:fldChar w:fldCharType="end"/>
      </w:r>
      <w:r>
        <w:rPr>
          <w:spacing w:val="-1"/>
          <w:sz w:val="24"/>
        </w:rPr>
        <w:t xml:space="preserve">. Moreover, more hydroxyl groups were exposed on the cellulose surface and oxidized to a carboxyl group in the TEMPO-NaBr-NaClO oxidation system due to the pretreatment of the acid. However, the decrease in the yield </w:t>
      </w:r>
      <w:r>
        <w:rPr>
          <w:rFonts w:hint="eastAsia"/>
          <w:spacing w:val="-1"/>
          <w:sz w:val="24"/>
        </w:rPr>
        <w:t>i</w:t>
      </w:r>
      <w:r>
        <w:rPr>
          <w:spacing w:val="-1"/>
          <w:sz w:val="24"/>
        </w:rPr>
        <w:t xml:space="preserve">s due to the degradation and dissolution of low molecular weight cellulose and non-cellulose components (hemicellulose, lignin, etc.) caused by acid treatment, resulting in certain losses </w:t>
      </w:r>
      <w:r>
        <w:rPr>
          <w:color w:val="0070C0"/>
          <w:spacing w:val="-1"/>
          <w:sz w:val="24"/>
        </w:rPr>
        <w:fldChar w:fldCharType="begin"/>
      </w:r>
      <w:r>
        <w:rPr>
          <w:color w:val="0070C0"/>
          <w:spacing w:val="-1"/>
          <w:sz w:val="24"/>
        </w:rPr>
        <w:instrText xml:space="preserve"> ADDIN EN.CITE &lt;EndNote&gt;&lt;Cite&gt;&lt;Author&gt;Sindhu&lt;/Author&gt;&lt;Year&gt;2010&lt;/Year&gt;&lt;RecNum&gt;441&lt;/RecNum&gt;&lt;DisplayText&gt;[2]&lt;/DisplayText&gt;&lt;record&gt;&lt;rec-number&gt;441&lt;/rec-number&gt;&lt;foreign-keys&gt;&lt;key app="EN" db-id="wd5a229pa9z25aefpfq5vsae2ztf092estrv"&gt;441&lt;/key&gt;&lt;/foreign-keys&gt;&lt;ref-type name="Journal Article"&gt;17&lt;/ref-type&gt;&lt;contributors&gt;&lt;authors&gt;&lt;author&gt;Sindhu, R.&lt;/author&gt;&lt;author&gt;Binod, P.&lt;/author&gt;&lt;author&gt;Satyanagalakshmi, K.&lt;/author&gt;&lt;author&gt;Janu, K. U.&lt;/author&gt;&lt;author&gt;Sajna, K. V.&lt;/author&gt;&lt;author&gt;Kurien, N.&lt;/author&gt;&lt;author&gt;Sukumaran, R. K.&lt;/author&gt;&lt;author&gt;Pandey, A.&lt;/author&gt;&lt;/authors&gt;&lt;/contributors&gt;&lt;titles&gt;&lt;title&gt;Formic Acid as a Potential Pretreatment Agent for the Conversion of Sugarcane Bagasse to Bioethanol&lt;/title&gt;&lt;secondary-title&gt;APPLIED BIOCHEMISTRY AND BIOTECHNOLOGY&lt;/secondary-title&gt;&lt;/titles&gt;&lt;periodical&gt;&lt;full-title&gt;APPLIED BIOCHEMISTRY AND BIOTECHNOLOGY&lt;/full-title&gt;&lt;/periodical&gt;&lt;pages&gt;2313-2323&lt;/pages&gt;&lt;volume&gt;162&lt;/volume&gt;&lt;number&gt;8&lt;/number&gt;&lt;dates&gt;&lt;year&gt;2010&lt;/year&gt;&lt;pub-dates&gt;&lt;date&gt;DEC&lt;/date&gt;&lt;/pub-dates&gt;&lt;/dates&gt;&lt;isbn&gt;0273-2289&amp;#xD;1559-0291&lt;/isbn&gt;&lt;accession-num&gt;WOS:000284295000017&lt;/accession-num&gt;&lt;urls&gt;&lt;/urls&gt;&lt;electronic-resource-num&gt;10.1007/s12010-010-9004-2&lt;/electronic-resource-num&gt;&lt;/record&gt;&lt;/Cite&gt;&lt;/EndNote&gt;</w:instrText>
      </w:r>
      <w:r>
        <w:rPr>
          <w:color w:val="0070C0"/>
          <w:spacing w:val="-1"/>
          <w:sz w:val="24"/>
        </w:rPr>
        <w:fldChar w:fldCharType="separate"/>
      </w:r>
      <w:r>
        <w:rPr>
          <w:color w:val="0070C0"/>
          <w:spacing w:val="-1"/>
          <w:sz w:val="24"/>
        </w:rPr>
        <w:t>[</w:t>
      </w:r>
      <w:r>
        <w:fldChar w:fldCharType="begin"/>
      </w:r>
      <w:r>
        <w:instrText xml:space="preserve"> HYPERLINK \l "_ENREF_2" \o "Sindhu, 2010 #441" </w:instrText>
      </w:r>
      <w:r>
        <w:fldChar w:fldCharType="separate"/>
      </w:r>
      <w:r>
        <w:rPr>
          <w:color w:val="0070C0"/>
          <w:spacing w:val="-1"/>
          <w:sz w:val="24"/>
        </w:rPr>
        <w:t>2</w:t>
      </w:r>
      <w:r>
        <w:rPr>
          <w:color w:val="0070C0"/>
          <w:spacing w:val="-1"/>
          <w:sz w:val="24"/>
        </w:rPr>
        <w:fldChar w:fldCharType="end"/>
      </w:r>
      <w:r>
        <w:rPr>
          <w:color w:val="0070C0"/>
          <w:spacing w:val="-1"/>
          <w:sz w:val="24"/>
        </w:rPr>
        <w:t>]</w:t>
      </w:r>
      <w:r>
        <w:rPr>
          <w:color w:val="0070C0"/>
          <w:spacing w:val="-1"/>
          <w:sz w:val="24"/>
        </w:rPr>
        <w:fldChar w:fldCharType="end"/>
      </w:r>
      <w:r>
        <w:rPr>
          <w:spacing w:val="-1"/>
          <w:sz w:val="24"/>
        </w:rPr>
        <w:t>. Owing to the strong acidity of hydrochloric acid, some of the fine fibers were removed from the fiber bundles, resulting in serious losses.</w:t>
      </w:r>
      <w:bookmarkEnd w:id="4"/>
    </w:p>
    <w:p>
      <w:pPr>
        <w:adjustRightInd w:val="0"/>
        <w:snapToGrid w:val="0"/>
        <w:spacing w:line="360" w:lineRule="auto"/>
        <w:jc w:val="left"/>
        <w:rPr>
          <w:b/>
          <w:bCs/>
          <w:spacing w:val="-1"/>
          <w:sz w:val="24"/>
        </w:rPr>
      </w:pPr>
      <w:r>
        <w:rPr>
          <w:b/>
          <w:bCs/>
          <w:spacing w:val="-1"/>
          <w:sz w:val="24"/>
        </w:rPr>
        <w:t>EDS and mapping analysis</w:t>
      </w:r>
    </w:p>
    <w:p>
      <w:pPr>
        <w:adjustRightInd w:val="0"/>
        <w:snapToGrid w:val="0"/>
        <w:spacing w:line="480" w:lineRule="auto"/>
        <w:ind w:firstLine="476" w:firstLineChars="200"/>
        <w:jc w:val="left"/>
        <w:rPr>
          <w:spacing w:val="-1"/>
          <w:sz w:val="24"/>
        </w:rPr>
      </w:pPr>
      <w:r>
        <w:rPr>
          <w:spacing w:val="-1"/>
          <w:sz w:val="24"/>
        </w:rPr>
        <w:t xml:space="preserve">The EDS spectra and mapping graph of S-TOCN was shown in </w:t>
      </w:r>
      <w:r>
        <w:rPr>
          <w:color w:val="0070C0"/>
          <w:spacing w:val="-1"/>
          <w:sz w:val="24"/>
        </w:rPr>
        <w:t>Fig. S1</w:t>
      </w:r>
      <w:r>
        <w:rPr>
          <w:spacing w:val="-1"/>
          <w:sz w:val="24"/>
        </w:rPr>
        <w:t xml:space="preserve">. As can be seen from the </w:t>
      </w:r>
      <w:r>
        <w:rPr>
          <w:color w:val="0070C0"/>
          <w:spacing w:val="-1"/>
          <w:sz w:val="24"/>
        </w:rPr>
        <w:t>Fig. S1</w:t>
      </w:r>
      <w:r>
        <w:rPr>
          <w:spacing w:val="-1"/>
          <w:sz w:val="24"/>
        </w:rPr>
        <w:t>, there were a large number of S elements in S-TOCN, and the C, O and S elements were relatively evenly distributed, indicating that the aminothiourea ha</w:t>
      </w:r>
      <w:r>
        <w:rPr>
          <w:rFonts w:hint="eastAsia"/>
          <w:spacing w:val="-1"/>
          <w:sz w:val="24"/>
        </w:rPr>
        <w:t>s</w:t>
      </w:r>
      <w:r>
        <w:rPr>
          <w:spacing w:val="-1"/>
          <w:sz w:val="24"/>
        </w:rPr>
        <w:t xml:space="preserve"> been successfully grafted to the carboxyl nanocellulose.</w:t>
      </w:r>
    </w:p>
    <w:p>
      <w:pPr>
        <w:adjustRightInd w:val="0"/>
        <w:snapToGrid w:val="0"/>
        <w:spacing w:line="360" w:lineRule="auto"/>
        <w:jc w:val="left"/>
        <w:rPr>
          <w:b/>
          <w:bCs/>
          <w:spacing w:val="-1"/>
          <w:sz w:val="24"/>
        </w:rPr>
      </w:pPr>
      <w:r>
        <w:rPr>
          <w:b/>
          <w:bCs/>
          <w:spacing w:val="-1"/>
          <w:sz w:val="24"/>
        </w:rPr>
        <w:t>Contact angle</w:t>
      </w:r>
    </w:p>
    <w:p>
      <w:pPr>
        <w:adjustRightInd w:val="0"/>
        <w:snapToGrid w:val="0"/>
        <w:spacing w:line="480" w:lineRule="auto"/>
        <w:ind w:firstLine="476" w:firstLineChars="200"/>
        <w:rPr>
          <w:spacing w:val="-1"/>
          <w:sz w:val="24"/>
        </w:rPr>
      </w:pPr>
      <w:r>
        <w:rPr>
          <w:spacing w:val="-1"/>
          <w:sz w:val="24"/>
        </w:rPr>
        <w:t xml:space="preserve">The wettability of the composite aerogels were assessed by testing the contact angle of the S-TOCN-PVA composite aerogel surfaces. As shown in the </w:t>
      </w:r>
      <w:r>
        <w:rPr>
          <w:color w:val="0070C0"/>
          <w:spacing w:val="-1"/>
          <w:sz w:val="24"/>
        </w:rPr>
        <w:t>Fig. S2</w:t>
      </w:r>
      <w:r>
        <w:rPr>
          <w:spacing w:val="-1"/>
          <w:sz w:val="24"/>
        </w:rPr>
        <w:t>, due to a large number of hydroxyl groups on the molecular chains of S-TOCN and PVA, the material showed strong hydrophilicity. The water droplets were immediately absorbed within 60 ms of touching the aerogel surface, and the water contact angle was almost 0°. These results indicate that the prepared S-TOCN-PVA composite aerogel ha</w:t>
      </w:r>
      <w:r>
        <w:rPr>
          <w:rFonts w:hint="eastAsia"/>
          <w:spacing w:val="-1"/>
          <w:sz w:val="24"/>
        </w:rPr>
        <w:t>s</w:t>
      </w:r>
      <w:r>
        <w:rPr>
          <w:spacing w:val="-1"/>
          <w:sz w:val="24"/>
        </w:rPr>
        <w:t xml:space="preserve"> good hydrophilic property, which facilitate the rapid diffusion of proteins and mass transfer as well as the rapid flow of buffer solution, and it </w:t>
      </w:r>
      <w:r>
        <w:rPr>
          <w:rFonts w:hint="eastAsia"/>
          <w:spacing w:val="-1"/>
          <w:sz w:val="24"/>
        </w:rPr>
        <w:t>i</w:t>
      </w:r>
      <w:r>
        <w:rPr>
          <w:spacing w:val="-1"/>
          <w:sz w:val="24"/>
        </w:rPr>
        <w:t>s suitable candidate for protein separation medium.</w:t>
      </w:r>
    </w:p>
    <w:p>
      <w:pPr>
        <w:adjustRightInd w:val="0"/>
        <w:snapToGrid w:val="0"/>
        <w:spacing w:line="360" w:lineRule="auto"/>
        <w:jc w:val="left"/>
        <w:rPr>
          <w:b/>
          <w:bCs/>
          <w:spacing w:val="-1"/>
          <w:sz w:val="24"/>
        </w:rPr>
      </w:pPr>
      <w:r>
        <w:rPr>
          <w:b/>
          <w:bCs/>
          <w:spacing w:val="-1"/>
          <w:sz w:val="24"/>
        </w:rPr>
        <w:t>TAG</w:t>
      </w:r>
    </w:p>
    <w:p>
      <w:pPr>
        <w:adjustRightInd w:val="0"/>
        <w:snapToGrid w:val="0"/>
        <w:spacing w:line="480" w:lineRule="auto"/>
        <w:ind w:firstLine="476" w:firstLineChars="200"/>
        <w:rPr>
          <w:spacing w:val="-1"/>
          <w:sz w:val="24"/>
          <w:szCs w:val="24"/>
        </w:rPr>
      </w:pPr>
      <w:r>
        <w:rPr>
          <w:color w:val="0070C0"/>
          <w:spacing w:val="-1"/>
          <w:sz w:val="24"/>
          <w:szCs w:val="24"/>
        </w:rPr>
        <w:t>Fig. S3</w:t>
      </w:r>
      <w:r>
        <w:rPr>
          <w:spacing w:val="-1"/>
          <w:sz w:val="24"/>
          <w:szCs w:val="24"/>
        </w:rPr>
        <w:t xml:space="preserve"> shows the </w:t>
      </w:r>
      <w:bookmarkStart w:id="12" w:name="_Hlk122979272"/>
      <w:r>
        <w:rPr>
          <w:spacing w:val="-1"/>
          <w:sz w:val="24"/>
          <w:szCs w:val="24"/>
        </w:rPr>
        <w:t>thermogravimetric</w:t>
      </w:r>
      <w:bookmarkEnd w:id="12"/>
      <w:r>
        <w:rPr>
          <w:spacing w:val="-1"/>
          <w:sz w:val="24"/>
          <w:szCs w:val="24"/>
        </w:rPr>
        <w:t xml:space="preserve"> (TG) analysis curves and derivative thermogravimetric (DTG) analysis curves of </w:t>
      </w:r>
      <w:bookmarkStart w:id="13" w:name="_Hlk134264513"/>
      <w:r>
        <w:rPr>
          <w:spacing w:val="-1"/>
          <w:sz w:val="24"/>
          <w:szCs w:val="24"/>
        </w:rPr>
        <w:t>BSKP</w:t>
      </w:r>
      <w:bookmarkEnd w:id="13"/>
      <w:r>
        <w:rPr>
          <w:spacing w:val="-1"/>
          <w:sz w:val="24"/>
          <w:szCs w:val="24"/>
        </w:rPr>
        <w:t xml:space="preserve">, TOCN, S-TOCN, </w:t>
      </w:r>
      <w:bookmarkStart w:id="14" w:name="_Hlk122979070"/>
      <w:r>
        <w:rPr>
          <w:spacing w:val="-1"/>
          <w:sz w:val="24"/>
          <w:szCs w:val="24"/>
        </w:rPr>
        <w:t>S-TOCN-PVA composite aerogel</w:t>
      </w:r>
      <w:bookmarkEnd w:id="14"/>
      <w:r>
        <w:rPr>
          <w:spacing w:val="-1"/>
          <w:sz w:val="24"/>
          <w:szCs w:val="24"/>
        </w:rPr>
        <w:t xml:space="preserve">. </w:t>
      </w:r>
      <w:r>
        <w:rPr>
          <w:color w:val="0070C0"/>
          <w:spacing w:val="-1"/>
          <w:sz w:val="24"/>
          <w:szCs w:val="24"/>
        </w:rPr>
        <w:t>Fig. S3a</w:t>
      </w:r>
      <w:r>
        <w:rPr>
          <w:spacing w:val="-1"/>
          <w:sz w:val="24"/>
          <w:szCs w:val="24"/>
        </w:rPr>
        <w:t xml:space="preserve"> shows that the pyrolysis process of BSKP, TOCN and S-TOCN were roughly divided into three stages. The first stage was from room temperature to 270 </w:t>
      </w:r>
      <w:bookmarkStart w:id="15" w:name="_Hlk134262990"/>
      <w:r>
        <w:rPr>
          <w:spacing w:val="-1"/>
          <w:sz w:val="24"/>
          <w:szCs w:val="24"/>
        </w:rPr>
        <w:t>℃</w:t>
      </w:r>
      <w:bookmarkEnd w:id="15"/>
      <w:r>
        <w:rPr>
          <w:spacing w:val="-1"/>
          <w:sz w:val="24"/>
          <w:szCs w:val="24"/>
        </w:rPr>
        <w:t>.</w:t>
      </w:r>
      <w:r>
        <w:rPr>
          <w:rFonts w:ascii="Calibri" w:hAnsi="Calibri"/>
          <w:szCs w:val="24"/>
        </w:rPr>
        <w:t xml:space="preserve"> </w:t>
      </w:r>
      <w:r>
        <w:rPr>
          <w:spacing w:val="-1"/>
          <w:sz w:val="24"/>
          <w:szCs w:val="24"/>
        </w:rPr>
        <w:t>This could be mainly assigned to the removal</w:t>
      </w:r>
      <w:r>
        <w:rPr>
          <w:rFonts w:hint="eastAsia"/>
          <w:spacing w:val="-1"/>
          <w:sz w:val="24"/>
          <w:szCs w:val="24"/>
        </w:rPr>
        <w:t xml:space="preserve"> </w:t>
      </w:r>
      <w:r>
        <w:rPr>
          <w:spacing w:val="-1"/>
          <w:sz w:val="24"/>
          <w:szCs w:val="24"/>
        </w:rPr>
        <w:t>of adsorbed water molecules. For TOCN, S-TOCN and S-TOCN-PVA composite aerogel,</w:t>
      </w:r>
      <w:r>
        <w:rPr>
          <w:rFonts w:ascii="Calibri" w:hAnsi="Calibri"/>
          <w:szCs w:val="24"/>
        </w:rPr>
        <w:t xml:space="preserve"> </w:t>
      </w:r>
      <w:r>
        <w:rPr>
          <w:spacing w:val="-1"/>
          <w:sz w:val="24"/>
          <w:szCs w:val="24"/>
        </w:rPr>
        <w:t>a significant weight loss was then observed at temperature ranging from 220 to 330 ℃. This result suggests that the cellulose hydroxyl and epoxy groups and other oxygen-containing groups were decomposed. It can be found that the decomposition temperature of unmodified raw material shift</w:t>
      </w:r>
      <w:r>
        <w:rPr>
          <w:rFonts w:hint="eastAsia"/>
          <w:spacing w:val="-1"/>
          <w:sz w:val="24"/>
          <w:szCs w:val="24"/>
        </w:rPr>
        <w:t>ed</w:t>
      </w:r>
      <w:r>
        <w:rPr>
          <w:spacing w:val="-1"/>
          <w:sz w:val="24"/>
          <w:szCs w:val="24"/>
        </w:rPr>
        <w:t xml:space="preserve"> to higher temperature compared to TOCN, S-TOCN and S-TOCN-PVA composite aerogel. A similar change of decomposition temperature can be observed at TOCN after thiourea modification and introduction of PVA. Subsequently, the weight loss rate in the third stage was lower.</w:t>
      </w:r>
    </w:p>
    <w:p>
      <w:pPr>
        <w:adjustRightInd w:val="0"/>
        <w:snapToGrid w:val="0"/>
        <w:spacing w:line="480" w:lineRule="auto"/>
        <w:ind w:firstLine="476" w:firstLineChars="200"/>
        <w:rPr>
          <w:spacing w:val="-1"/>
          <w:sz w:val="24"/>
          <w:szCs w:val="24"/>
        </w:rPr>
      </w:pPr>
      <w:r>
        <w:rPr>
          <w:spacing w:val="-1"/>
          <w:sz w:val="24"/>
          <w:szCs w:val="24"/>
        </w:rPr>
        <w:t>According to the DTG curve, the maximum thermal degradation rate of BSKP appeared at 350 ℃. The maximum thermal degradation rate of S-TOCN was roughly the closed temperature as that of TOCN at 248 ℃. The result indicate</w:t>
      </w:r>
      <w:r>
        <w:rPr>
          <w:rFonts w:hint="eastAsia"/>
          <w:spacing w:val="-1"/>
          <w:sz w:val="24"/>
          <w:szCs w:val="24"/>
        </w:rPr>
        <w:t>s</w:t>
      </w:r>
      <w:r>
        <w:rPr>
          <w:spacing w:val="-1"/>
          <w:sz w:val="24"/>
          <w:szCs w:val="24"/>
        </w:rPr>
        <w:t xml:space="preserve"> that the BSKP after structural and surficial modification </w:t>
      </w:r>
      <w:r>
        <w:rPr>
          <w:rFonts w:hint="eastAsia"/>
          <w:spacing w:val="-1"/>
          <w:sz w:val="24"/>
          <w:szCs w:val="24"/>
        </w:rPr>
        <w:t>has</w:t>
      </w:r>
      <w:r>
        <w:rPr>
          <w:spacing w:val="-1"/>
          <w:sz w:val="24"/>
          <w:szCs w:val="24"/>
        </w:rPr>
        <w:t xml:space="preserve"> a lower thermal decomposition temperature due to the partially destroyed crystallization region. The maximum degradation rate of S-TOCN-PVA composite aerogel occur</w:t>
      </w:r>
      <w:r>
        <w:rPr>
          <w:rFonts w:hint="eastAsia"/>
          <w:spacing w:val="-1"/>
          <w:sz w:val="24"/>
          <w:szCs w:val="24"/>
        </w:rPr>
        <w:t>r</w:t>
      </w:r>
      <w:r>
        <w:rPr>
          <w:spacing w:val="-1"/>
          <w:sz w:val="24"/>
          <w:szCs w:val="24"/>
        </w:rPr>
        <w:t>ed at 298 ℃. This result indicate</w:t>
      </w:r>
      <w:r>
        <w:rPr>
          <w:rFonts w:hint="eastAsia"/>
          <w:spacing w:val="-1"/>
          <w:sz w:val="24"/>
          <w:szCs w:val="24"/>
        </w:rPr>
        <w:t>s</w:t>
      </w:r>
      <w:r>
        <w:rPr>
          <w:spacing w:val="-1"/>
          <w:sz w:val="24"/>
          <w:szCs w:val="24"/>
        </w:rPr>
        <w:t xml:space="preserve"> that the strong hydrogen bond form</w:t>
      </w:r>
      <w:r>
        <w:rPr>
          <w:rFonts w:hint="eastAsia"/>
          <w:spacing w:val="-1"/>
          <w:sz w:val="24"/>
          <w:szCs w:val="24"/>
        </w:rPr>
        <w:t>ed</w:t>
      </w:r>
      <w:r>
        <w:rPr>
          <w:spacing w:val="-1"/>
          <w:sz w:val="24"/>
          <w:szCs w:val="24"/>
        </w:rPr>
        <w:t xml:space="preserve"> between S-TOCN and PVA matrix </w:t>
      </w:r>
      <w:r>
        <w:rPr>
          <w:rFonts w:hint="eastAsia"/>
          <w:spacing w:val="-1"/>
          <w:sz w:val="24"/>
          <w:szCs w:val="24"/>
        </w:rPr>
        <w:t>i</w:t>
      </w:r>
      <w:r>
        <w:rPr>
          <w:spacing w:val="-1"/>
          <w:sz w:val="24"/>
          <w:szCs w:val="24"/>
        </w:rPr>
        <w:t>s beneficial to improve the thermal stability of the aerogel.</w:t>
      </w:r>
    </w:p>
    <w:p>
      <w:pPr>
        <w:adjustRightInd w:val="0"/>
        <w:snapToGrid w:val="0"/>
        <w:spacing w:line="480" w:lineRule="auto"/>
        <w:ind w:firstLine="476" w:firstLineChars="200"/>
        <w:rPr>
          <w:spacing w:val="-1"/>
          <w:sz w:val="24"/>
        </w:rPr>
        <w:sectPr>
          <w:footerReference r:id="rId4" w:type="default"/>
          <w:pgSz w:w="11906" w:h="16838"/>
          <w:pgMar w:top="1440" w:right="1800" w:bottom="1440" w:left="1800" w:header="851" w:footer="992" w:gutter="0"/>
          <w:lnNumType w:countBy="1" w:restart="continuous"/>
          <w:cols w:space="425" w:num="1"/>
          <w:docGrid w:type="lines" w:linePitch="312" w:charSpace="0"/>
        </w:sectPr>
      </w:pPr>
    </w:p>
    <w:p>
      <w:pPr>
        <w:spacing w:line="480" w:lineRule="auto"/>
        <w:rPr>
          <w:b/>
          <w:bCs/>
          <w:kern w:val="0"/>
          <w:sz w:val="24"/>
          <w:szCs w:val="22"/>
        </w:rPr>
      </w:pPr>
      <w:r>
        <w:rPr>
          <w:b/>
          <w:bCs/>
          <w:kern w:val="0"/>
          <w:sz w:val="24"/>
          <w:szCs w:val="22"/>
        </w:rPr>
        <w:t>Supplementary Table and Figure</w:t>
      </w:r>
    </w:p>
    <w:p>
      <w:pPr>
        <w:adjustRightInd w:val="0"/>
        <w:snapToGrid w:val="0"/>
        <w:spacing w:line="480" w:lineRule="auto"/>
        <w:jc w:val="center"/>
        <w:rPr>
          <w:spacing w:val="-1"/>
          <w:sz w:val="24"/>
        </w:rPr>
      </w:pPr>
      <w:r>
        <w:rPr>
          <w:spacing w:val="-1"/>
          <w:sz w:val="24"/>
        </w:rPr>
        <w:t>Table S1 Carboxyl content and weight recovery of the TOCN</w:t>
      </w:r>
    </w:p>
    <w:tbl>
      <w:tblPr>
        <w:tblStyle w:val="17"/>
        <w:tblW w:w="0" w:type="auto"/>
        <w:jc w:val="center"/>
        <w:tblBorders>
          <w:top w:val="single" w:color="auto" w:sz="12" w:space="0"/>
          <w:left w:val="none" w:color="auto" w:sz="0" w:space="0"/>
          <w:bottom w:val="single" w:color="auto" w:sz="12"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3242"/>
        <w:gridCol w:w="3492"/>
        <w:gridCol w:w="1788"/>
      </w:tblGrid>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3470" w:type="dxa"/>
            <w:tcBorders>
              <w:top w:val="single" w:color="auto" w:sz="12" w:space="0"/>
              <w:left w:val="nil"/>
              <w:bottom w:val="single" w:color="auto" w:sz="6" w:space="0"/>
              <w:right w:val="nil"/>
              <w:insideH w:val="single" w:sz="6" w:space="0"/>
              <w:insideV w:val="nil"/>
              <w:tl2br w:val="nil"/>
              <w:tr2bl w:val="nil"/>
            </w:tcBorders>
          </w:tcPr>
          <w:p>
            <w:pPr>
              <w:ind w:firstLine="480"/>
              <w:jc w:val="center"/>
              <w:rPr>
                <w:rFonts w:eastAsiaTheme="minorEastAsia"/>
                <w:sz w:val="24"/>
              </w:rPr>
            </w:pPr>
            <w:r>
              <w:rPr>
                <w:rFonts w:eastAsiaTheme="minorEastAsia"/>
                <w:sz w:val="24"/>
              </w:rPr>
              <w:t>Type</w:t>
            </w:r>
          </w:p>
        </w:tc>
        <w:tc>
          <w:tcPr>
            <w:tcW w:w="3774" w:type="dxa"/>
            <w:tcBorders>
              <w:top w:val="single" w:color="auto" w:sz="12" w:space="0"/>
              <w:bottom w:val="single" w:color="auto" w:sz="6" w:space="0"/>
              <w:right w:val="nil"/>
              <w:insideH w:val="single" w:sz="6" w:space="0"/>
              <w:insideV w:val="nil"/>
              <w:tl2br w:val="nil"/>
              <w:tr2bl w:val="nil"/>
            </w:tcBorders>
          </w:tcPr>
          <w:p>
            <w:pPr>
              <w:ind w:firstLine="480"/>
              <w:jc w:val="center"/>
              <w:rPr>
                <w:sz w:val="24"/>
              </w:rPr>
            </w:pPr>
            <w:r>
              <w:rPr>
                <w:sz w:val="24"/>
              </w:rPr>
              <w:t>Carboxyl content /</w:t>
            </w:r>
            <w:r>
              <w:rPr>
                <w:rFonts w:hint="eastAsia" w:ascii="宋体" w:hAnsi="宋体" w:cs="宋体"/>
                <w:sz w:val="24"/>
              </w:rPr>
              <w:t>（</w:t>
            </w:r>
            <w:r>
              <w:rPr>
                <w:sz w:val="24"/>
              </w:rPr>
              <w:t>mmol/g cellulose</w:t>
            </w:r>
            <w:r>
              <w:rPr>
                <w:rFonts w:hint="eastAsia" w:ascii="宋体" w:hAnsi="宋体" w:cs="宋体"/>
                <w:sz w:val="24"/>
              </w:rPr>
              <w:t>）</w:t>
            </w:r>
          </w:p>
        </w:tc>
        <w:tc>
          <w:tcPr>
            <w:tcW w:w="1278" w:type="dxa"/>
            <w:tcBorders>
              <w:top w:val="single" w:color="auto" w:sz="12" w:space="0"/>
              <w:bottom w:val="single" w:color="auto" w:sz="6" w:space="0"/>
              <w:right w:val="nil"/>
              <w:insideH w:val="single" w:sz="6" w:space="0"/>
              <w:insideV w:val="nil"/>
              <w:tl2br w:val="nil"/>
              <w:tr2bl w:val="nil"/>
            </w:tcBorders>
          </w:tcPr>
          <w:p>
            <w:pPr>
              <w:ind w:firstLine="480"/>
              <w:jc w:val="center"/>
              <w:rPr>
                <w:sz w:val="24"/>
              </w:rPr>
            </w:pPr>
            <w:r>
              <w:rPr>
                <w:sz w:val="24"/>
              </w:rPr>
              <w:t>Yield/（%）</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3" w:hRule="atLeast"/>
          <w:jc w:val="center"/>
        </w:trPr>
        <w:tc>
          <w:tcPr>
            <w:tcW w:w="3470" w:type="dxa"/>
            <w:tcBorders>
              <w:top w:val="nil"/>
              <w:left w:val="nil"/>
              <w:bottom w:val="nil"/>
              <w:right w:val="nil"/>
            </w:tcBorders>
          </w:tcPr>
          <w:p>
            <w:pPr>
              <w:ind w:firstLine="480"/>
              <w:jc w:val="center"/>
              <w:rPr>
                <w:sz w:val="24"/>
              </w:rPr>
            </w:pPr>
            <w:r>
              <w:rPr>
                <w:sz w:val="24"/>
              </w:rPr>
              <w:t>Coniferous wood fiber pulp</w:t>
            </w:r>
          </w:p>
        </w:tc>
        <w:tc>
          <w:tcPr>
            <w:tcW w:w="3774" w:type="dxa"/>
            <w:tcBorders>
              <w:top w:val="nil"/>
              <w:left w:val="nil"/>
              <w:bottom w:val="nil"/>
              <w:right w:val="nil"/>
            </w:tcBorders>
          </w:tcPr>
          <w:p>
            <w:pPr>
              <w:ind w:firstLine="480"/>
              <w:jc w:val="center"/>
              <w:rPr>
                <w:sz w:val="24"/>
              </w:rPr>
            </w:pPr>
            <w:r>
              <w:rPr>
                <w:sz w:val="24"/>
              </w:rPr>
              <w:t>1.19±0.08</w:t>
            </w:r>
          </w:p>
        </w:tc>
        <w:tc>
          <w:tcPr>
            <w:tcW w:w="1278" w:type="dxa"/>
            <w:tcBorders>
              <w:top w:val="nil"/>
              <w:left w:val="nil"/>
              <w:bottom w:val="nil"/>
              <w:right w:val="nil"/>
            </w:tcBorders>
          </w:tcPr>
          <w:p>
            <w:pPr>
              <w:ind w:firstLine="480"/>
              <w:jc w:val="center"/>
              <w:rPr>
                <w:sz w:val="24"/>
              </w:rPr>
            </w:pPr>
            <w:r>
              <w:rPr>
                <w:sz w:val="24"/>
              </w:rPr>
              <w:t>87.12±0.12</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3" w:hRule="atLeast"/>
          <w:jc w:val="center"/>
        </w:trPr>
        <w:tc>
          <w:tcPr>
            <w:tcW w:w="3470" w:type="dxa"/>
            <w:tcBorders>
              <w:top w:val="nil"/>
              <w:left w:val="nil"/>
              <w:bottom w:val="nil"/>
              <w:right w:val="nil"/>
            </w:tcBorders>
          </w:tcPr>
          <w:p>
            <w:pPr>
              <w:ind w:firstLine="480"/>
              <w:jc w:val="center"/>
              <w:rPr>
                <w:sz w:val="24"/>
              </w:rPr>
            </w:pPr>
            <w:r>
              <w:rPr>
                <w:sz w:val="24"/>
              </w:rPr>
              <w:t xml:space="preserve">Pulp pretreated with </w:t>
            </w:r>
            <w:r>
              <w:rPr>
                <w:rFonts w:hint="eastAsia"/>
                <w:sz w:val="24"/>
              </w:rPr>
              <w:t>H</w:t>
            </w:r>
            <w:r>
              <w:rPr>
                <w:sz w:val="24"/>
              </w:rPr>
              <w:t xml:space="preserve">ydrochloric acid </w:t>
            </w:r>
          </w:p>
        </w:tc>
        <w:tc>
          <w:tcPr>
            <w:tcW w:w="3774" w:type="dxa"/>
            <w:tcBorders>
              <w:top w:val="nil"/>
              <w:left w:val="nil"/>
              <w:bottom w:val="nil"/>
              <w:right w:val="nil"/>
            </w:tcBorders>
          </w:tcPr>
          <w:p>
            <w:pPr>
              <w:ind w:firstLine="480"/>
              <w:jc w:val="center"/>
              <w:rPr>
                <w:sz w:val="24"/>
              </w:rPr>
            </w:pPr>
            <w:r>
              <w:rPr>
                <w:sz w:val="24"/>
              </w:rPr>
              <w:t>1.53±0.05</w:t>
            </w:r>
          </w:p>
        </w:tc>
        <w:tc>
          <w:tcPr>
            <w:tcW w:w="1278" w:type="dxa"/>
            <w:tcBorders>
              <w:top w:val="nil"/>
              <w:left w:val="nil"/>
              <w:bottom w:val="nil"/>
              <w:right w:val="nil"/>
            </w:tcBorders>
          </w:tcPr>
          <w:p>
            <w:pPr>
              <w:ind w:firstLine="480"/>
              <w:jc w:val="center"/>
              <w:rPr>
                <w:sz w:val="24"/>
              </w:rPr>
            </w:pPr>
            <w:r>
              <w:rPr>
                <w:sz w:val="24"/>
              </w:rPr>
              <w:t>72.25±0.09</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 w:hRule="atLeast"/>
          <w:jc w:val="center"/>
        </w:trPr>
        <w:tc>
          <w:tcPr>
            <w:tcW w:w="3470" w:type="dxa"/>
            <w:tcBorders>
              <w:top w:val="nil"/>
              <w:left w:val="nil"/>
              <w:bottom w:val="single" w:color="auto" w:sz="12" w:space="0"/>
              <w:right w:val="nil"/>
            </w:tcBorders>
          </w:tcPr>
          <w:p>
            <w:pPr>
              <w:ind w:firstLine="480"/>
              <w:jc w:val="center"/>
              <w:rPr>
                <w:sz w:val="24"/>
              </w:rPr>
            </w:pPr>
            <w:r>
              <w:rPr>
                <w:sz w:val="24"/>
              </w:rPr>
              <w:t xml:space="preserve">Pulp pretreated with citric acid </w:t>
            </w:r>
          </w:p>
        </w:tc>
        <w:tc>
          <w:tcPr>
            <w:tcW w:w="3774" w:type="dxa"/>
            <w:tcBorders>
              <w:top w:val="nil"/>
              <w:left w:val="nil"/>
              <w:bottom w:val="single" w:color="auto" w:sz="12" w:space="0"/>
              <w:right w:val="nil"/>
            </w:tcBorders>
          </w:tcPr>
          <w:p>
            <w:pPr>
              <w:ind w:firstLine="480"/>
              <w:jc w:val="center"/>
              <w:rPr>
                <w:sz w:val="24"/>
              </w:rPr>
            </w:pPr>
            <w:r>
              <w:rPr>
                <w:sz w:val="24"/>
              </w:rPr>
              <w:t>1.40±0.10</w:t>
            </w:r>
          </w:p>
        </w:tc>
        <w:tc>
          <w:tcPr>
            <w:tcW w:w="1278" w:type="dxa"/>
            <w:tcBorders>
              <w:top w:val="nil"/>
              <w:left w:val="nil"/>
              <w:bottom w:val="single" w:color="auto" w:sz="12" w:space="0"/>
              <w:right w:val="nil"/>
            </w:tcBorders>
          </w:tcPr>
          <w:p>
            <w:pPr>
              <w:ind w:firstLine="480"/>
              <w:jc w:val="center"/>
              <w:rPr>
                <w:sz w:val="24"/>
              </w:rPr>
            </w:pPr>
            <w:r>
              <w:rPr>
                <w:sz w:val="24"/>
              </w:rPr>
              <w:t>83.76±0.07</w:t>
            </w:r>
          </w:p>
        </w:tc>
      </w:tr>
    </w:tbl>
    <w:p>
      <w:pPr>
        <w:spacing w:line="480" w:lineRule="auto"/>
        <w:rPr>
          <w:color w:val="000000"/>
          <w:sz w:val="24"/>
          <w:szCs w:val="24"/>
        </w:rPr>
        <w:sectPr>
          <w:pgSz w:w="11906" w:h="16838"/>
          <w:pgMar w:top="1440" w:right="1800" w:bottom="1440" w:left="1800" w:header="851" w:footer="992" w:gutter="0"/>
          <w:lnNumType w:countBy="1" w:restart="continuous"/>
          <w:cols w:space="425" w:num="1"/>
          <w:docGrid w:type="lines" w:linePitch="312" w:charSpace="0"/>
        </w:sectPr>
      </w:pPr>
    </w:p>
    <w:p>
      <w:pPr>
        <w:spacing w:line="480" w:lineRule="auto"/>
        <w:jc w:val="center"/>
        <w:rPr>
          <w:color w:val="000000"/>
          <w:sz w:val="24"/>
          <w:szCs w:val="24"/>
        </w:rPr>
      </w:pPr>
      <w:r>
        <w:rPr>
          <w:color w:val="000000"/>
          <w:sz w:val="24"/>
          <w:szCs w:val="24"/>
        </w:rPr>
        <w:drawing>
          <wp:inline distT="0" distB="0" distL="0" distR="0">
            <wp:extent cx="4077970" cy="3242945"/>
            <wp:effectExtent l="0" t="0" r="0" b="0"/>
            <wp:docPr id="114400993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4009933" name="图片 1"/>
                    <pic:cNvPicPr>
                      <a:picLocks noChangeAspect="1"/>
                    </pic:cNvPicPr>
                  </pic:nvPicPr>
                  <pic:blipFill>
                    <a:blip r:embed="rId6" cstate="print">
                      <a:extLst>
                        <a:ext uri="{28A0092B-C50C-407E-A947-70E740481C1C}">
                          <a14:useLocalDpi xmlns:a14="http://schemas.microsoft.com/office/drawing/2010/main" val="0"/>
                        </a:ext>
                      </a:extLst>
                    </a:blip>
                    <a:stretch>
                      <a:fillRect/>
                    </a:stretch>
                  </pic:blipFill>
                  <pic:spPr>
                    <a:xfrm>
                      <a:off x="0" y="0"/>
                      <a:ext cx="4078224" cy="3243072"/>
                    </a:xfrm>
                    <a:prstGeom prst="rect">
                      <a:avLst/>
                    </a:prstGeom>
                  </pic:spPr>
                </pic:pic>
              </a:graphicData>
            </a:graphic>
          </wp:inline>
        </w:drawing>
      </w:r>
    </w:p>
    <w:p>
      <w:pPr>
        <w:spacing w:line="480" w:lineRule="auto"/>
        <w:jc w:val="center"/>
        <w:rPr>
          <w:color w:val="000000"/>
          <w:sz w:val="24"/>
          <w:szCs w:val="24"/>
        </w:rPr>
      </w:pPr>
      <w:r>
        <w:rPr>
          <w:color w:val="000000"/>
          <w:sz w:val="24"/>
          <w:szCs w:val="24"/>
        </w:rPr>
        <w:t>Fig. S1 EDS spectra (a) and mapping (b) of S-TOCN.</w:t>
      </w:r>
    </w:p>
    <w:p>
      <w:pPr>
        <w:spacing w:line="480" w:lineRule="auto"/>
        <w:jc w:val="center"/>
        <w:rPr>
          <w:color w:val="000000"/>
          <w:sz w:val="24"/>
          <w:szCs w:val="24"/>
        </w:rPr>
        <w:sectPr>
          <w:pgSz w:w="11906" w:h="16838"/>
          <w:pgMar w:top="1440" w:right="1800" w:bottom="1440" w:left="1800" w:header="851" w:footer="992" w:gutter="0"/>
          <w:lnNumType w:countBy="1" w:restart="continuous"/>
          <w:cols w:space="425" w:num="1"/>
          <w:docGrid w:type="lines" w:linePitch="312" w:charSpace="0"/>
        </w:sectPr>
      </w:pPr>
    </w:p>
    <w:p>
      <w:pPr>
        <w:spacing w:line="480" w:lineRule="auto"/>
        <w:jc w:val="center"/>
        <w:rPr>
          <w:color w:val="000000"/>
          <w:sz w:val="24"/>
          <w:szCs w:val="24"/>
        </w:rPr>
      </w:pPr>
      <w:r>
        <w:rPr>
          <w:spacing w:val="-1"/>
          <w:sz w:val="24"/>
        </w:rPr>
        <w:drawing>
          <wp:inline distT="0" distB="0" distL="0" distR="0">
            <wp:extent cx="5039995" cy="1079500"/>
            <wp:effectExtent l="0" t="0" r="0" b="6350"/>
            <wp:docPr id="1695527284" name="图片 1695527284"/>
            <wp:cNvGraphicFramePr/>
            <a:graphic xmlns:a="http://schemas.openxmlformats.org/drawingml/2006/main">
              <a:graphicData uri="http://schemas.openxmlformats.org/drawingml/2006/picture">
                <pic:pic xmlns:pic="http://schemas.openxmlformats.org/drawingml/2006/picture">
                  <pic:nvPicPr>
                    <pic:cNvPr id="1695527284" name="图片 1695527284"/>
                    <pic:cNvPicPr/>
                  </pic:nvPicPr>
                  <pic:blipFill>
                    <a:blip r:embed="rId7" cstate="print">
                      <a:extLst>
                        <a:ext uri="{28A0092B-C50C-407E-A947-70E740481C1C}">
                          <a14:useLocalDpi xmlns:a14="http://schemas.microsoft.com/office/drawing/2010/main" val="0"/>
                        </a:ext>
                      </a:extLst>
                    </a:blip>
                    <a:stretch>
                      <a:fillRect/>
                    </a:stretch>
                  </pic:blipFill>
                  <pic:spPr>
                    <a:xfrm>
                      <a:off x="0" y="0"/>
                      <a:ext cx="5040000" cy="1080000"/>
                    </a:xfrm>
                    <a:prstGeom prst="rect">
                      <a:avLst/>
                    </a:prstGeom>
                  </pic:spPr>
                </pic:pic>
              </a:graphicData>
            </a:graphic>
          </wp:inline>
        </w:drawing>
      </w:r>
    </w:p>
    <w:p>
      <w:pPr>
        <w:spacing w:line="480" w:lineRule="auto"/>
        <w:jc w:val="center"/>
        <w:rPr>
          <w:color w:val="000000"/>
          <w:sz w:val="24"/>
          <w:szCs w:val="24"/>
        </w:rPr>
      </w:pPr>
      <w:r>
        <w:rPr>
          <w:color w:val="000000"/>
          <w:sz w:val="24"/>
          <w:szCs w:val="24"/>
        </w:rPr>
        <w:t>Fig. S2 surface contact angle test of S-TOCN-PVA composite aerogel</w:t>
      </w:r>
    </w:p>
    <w:p>
      <w:pPr>
        <w:spacing w:line="480" w:lineRule="auto"/>
        <w:jc w:val="center"/>
        <w:rPr>
          <w:sz w:val="24"/>
          <w:szCs w:val="24"/>
        </w:rPr>
        <w:sectPr>
          <w:pgSz w:w="11906" w:h="16838"/>
          <w:pgMar w:top="1440" w:right="1800" w:bottom="1440" w:left="1800" w:header="851" w:footer="992" w:gutter="0"/>
          <w:lnNumType w:countBy="1" w:restart="continuous"/>
          <w:cols w:space="425" w:num="1"/>
          <w:docGrid w:type="lines" w:linePitch="312" w:charSpace="0"/>
        </w:sectPr>
      </w:pPr>
    </w:p>
    <w:p>
      <w:pPr>
        <w:adjustRightInd w:val="0"/>
        <w:snapToGrid w:val="0"/>
        <w:spacing w:line="360" w:lineRule="auto"/>
        <w:ind w:firstLine="476" w:firstLineChars="200"/>
        <w:jc w:val="center"/>
        <w:rPr>
          <w:spacing w:val="-1"/>
          <w:sz w:val="24"/>
          <w:szCs w:val="24"/>
        </w:rPr>
      </w:pPr>
      <w:r>
        <w:rPr>
          <w:spacing w:val="-1"/>
          <w:sz w:val="24"/>
          <w:szCs w:val="24"/>
        </w:rPr>
        <w:drawing>
          <wp:inline distT="0" distB="0" distL="0" distR="0">
            <wp:extent cx="5039995" cy="2099945"/>
            <wp:effectExtent l="0" t="0" r="8255" b="0"/>
            <wp:docPr id="1632250132" name="图片 1632250132"/>
            <wp:cNvGraphicFramePr/>
            <a:graphic xmlns:a="http://schemas.openxmlformats.org/drawingml/2006/main">
              <a:graphicData uri="http://schemas.openxmlformats.org/drawingml/2006/picture">
                <pic:pic xmlns:pic="http://schemas.openxmlformats.org/drawingml/2006/picture">
                  <pic:nvPicPr>
                    <pic:cNvPr id="1632250132" name="图片 1632250132"/>
                    <pic:cNvPicPr/>
                  </pic:nvPicPr>
                  <pic:blipFill>
                    <a:blip r:embed="rId8" cstate="print">
                      <a:extLst>
                        <a:ext uri="{28A0092B-C50C-407E-A947-70E740481C1C}">
                          <a14:useLocalDpi xmlns:a14="http://schemas.microsoft.com/office/drawing/2010/main" val="0"/>
                        </a:ext>
                      </a:extLst>
                    </a:blip>
                    <a:srcRect l="2689" t="8705" r="5989"/>
                    <a:stretch>
                      <a:fillRect/>
                    </a:stretch>
                  </pic:blipFill>
                  <pic:spPr>
                    <a:xfrm>
                      <a:off x="0" y="0"/>
                      <a:ext cx="5040000" cy="2100404"/>
                    </a:xfrm>
                    <a:prstGeom prst="rect">
                      <a:avLst/>
                    </a:prstGeom>
                    <a:ln>
                      <a:noFill/>
                    </a:ln>
                  </pic:spPr>
                </pic:pic>
              </a:graphicData>
            </a:graphic>
          </wp:inline>
        </w:drawing>
      </w:r>
    </w:p>
    <w:p>
      <w:pPr>
        <w:adjustRightInd w:val="0"/>
        <w:snapToGrid w:val="0"/>
        <w:spacing w:line="360" w:lineRule="auto"/>
        <w:ind w:firstLine="476" w:firstLineChars="200"/>
        <w:jc w:val="center"/>
        <w:rPr>
          <w:spacing w:val="-1"/>
          <w:sz w:val="24"/>
          <w:szCs w:val="24"/>
        </w:rPr>
        <w:sectPr>
          <w:pgSz w:w="11906" w:h="16838"/>
          <w:pgMar w:top="1440" w:right="1800" w:bottom="1440" w:left="1800" w:header="851" w:footer="992" w:gutter="0"/>
          <w:lnNumType w:countBy="1" w:restart="continuous"/>
          <w:cols w:space="425" w:num="1"/>
          <w:docGrid w:type="lines" w:linePitch="312" w:charSpace="0"/>
        </w:sectPr>
      </w:pPr>
      <w:r>
        <w:rPr>
          <w:spacing w:val="-1"/>
          <w:sz w:val="24"/>
          <w:szCs w:val="24"/>
        </w:rPr>
        <w:t>Fig. S3 TG (a) and DTG (b) curves of BSKP, TOCN, S-TOCN, S-TOCN-PVA composite aerogel</w:t>
      </w:r>
    </w:p>
    <w:p>
      <w:pPr>
        <w:spacing w:line="480" w:lineRule="auto"/>
        <w:rPr>
          <w:sz w:val="24"/>
          <w:szCs w:val="24"/>
        </w:rPr>
      </w:pPr>
      <w:r>
        <w:rPr>
          <w:sz w:val="24"/>
          <w:szCs w:val="24"/>
        </w:rPr>
        <w:drawing>
          <wp:inline distT="0" distB="0" distL="0" distR="0">
            <wp:extent cx="5274310" cy="5065395"/>
            <wp:effectExtent l="0" t="0" r="0" b="0"/>
            <wp:docPr id="193950025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9500255" name="图片 1"/>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0" y="0"/>
                      <a:ext cx="5274310" cy="5065395"/>
                    </a:xfrm>
                    <a:prstGeom prst="rect">
                      <a:avLst/>
                    </a:prstGeom>
                  </pic:spPr>
                </pic:pic>
              </a:graphicData>
            </a:graphic>
          </wp:inline>
        </w:drawing>
      </w:r>
    </w:p>
    <w:p>
      <w:pPr>
        <w:spacing w:line="480" w:lineRule="auto"/>
        <w:jc w:val="center"/>
        <w:rPr>
          <w:color w:val="000000"/>
          <w:sz w:val="24"/>
          <w:szCs w:val="24"/>
        </w:rPr>
        <w:sectPr>
          <w:pgSz w:w="11906" w:h="16838"/>
          <w:pgMar w:top="1440" w:right="1800" w:bottom="1440" w:left="1800" w:header="851" w:footer="992" w:gutter="0"/>
          <w:lnNumType w:countBy="1" w:restart="continuous"/>
          <w:cols w:space="425" w:num="1"/>
          <w:docGrid w:type="lines" w:linePitch="312" w:charSpace="0"/>
        </w:sectPr>
      </w:pPr>
      <w:r>
        <w:rPr>
          <w:sz w:val="24"/>
          <w:szCs w:val="24"/>
        </w:rPr>
        <w:t xml:space="preserve">Fig. </w:t>
      </w:r>
      <w:r>
        <w:rPr>
          <w:rFonts w:hint="eastAsia"/>
          <w:sz w:val="24"/>
          <w:szCs w:val="24"/>
        </w:rPr>
        <w:t>S</w:t>
      </w:r>
      <w:r>
        <w:rPr>
          <w:sz w:val="24"/>
          <w:szCs w:val="24"/>
        </w:rPr>
        <w:t>4</w:t>
      </w:r>
      <w:r>
        <w:rPr>
          <w:bCs/>
          <w:sz w:val="24"/>
          <w:szCs w:val="24"/>
        </w:rPr>
        <w:t xml:space="preserve"> The 2D/3D structure of </w:t>
      </w:r>
      <w:r>
        <w:rPr>
          <w:color w:val="000000"/>
          <w:sz w:val="24"/>
          <w:szCs w:val="24"/>
        </w:rPr>
        <w:t>TOCN, S-TOCN, M</w:t>
      </w:r>
      <w:r>
        <w:rPr>
          <w:color w:val="000000"/>
          <w:sz w:val="24"/>
          <w:szCs w:val="24"/>
          <w:vertAlign w:val="superscript"/>
        </w:rPr>
        <w:t>2+</w:t>
      </w:r>
      <w:r>
        <w:rPr>
          <w:color w:val="000000"/>
          <w:sz w:val="24"/>
          <w:szCs w:val="24"/>
        </w:rPr>
        <w:t xml:space="preserve">/S-TOCN-PVA composite aerogel (M=Ni, Co, Cu and Zn) </w:t>
      </w:r>
    </w:p>
    <w:p>
      <w:pPr>
        <w:spacing w:line="480" w:lineRule="auto"/>
        <w:rPr>
          <w:b/>
          <w:bCs/>
          <w:color w:val="000000"/>
          <w:sz w:val="24"/>
          <w:szCs w:val="24"/>
        </w:rPr>
      </w:pPr>
      <w:r>
        <w:rPr>
          <w:b/>
          <w:bCs/>
          <w:color w:val="000000"/>
          <w:sz w:val="24"/>
          <w:szCs w:val="24"/>
        </w:rPr>
        <w:t>References</w:t>
      </w:r>
    </w:p>
    <w:p>
      <w:pPr>
        <w:spacing w:line="480" w:lineRule="auto"/>
        <w:rPr>
          <w:bCs/>
          <w:color w:val="000000"/>
          <w:sz w:val="20"/>
        </w:rPr>
      </w:pPr>
      <w:r>
        <w:rPr>
          <w:bCs/>
          <w:color w:val="000000"/>
          <w:sz w:val="20"/>
        </w:rPr>
        <w:fldChar w:fldCharType="begin"/>
      </w:r>
      <w:r>
        <w:rPr>
          <w:bCs/>
          <w:color w:val="000000"/>
          <w:sz w:val="20"/>
        </w:rPr>
        <w:instrText xml:space="preserve"> ADDIN EN.REFLIST </w:instrText>
      </w:r>
      <w:r>
        <w:rPr>
          <w:bCs/>
          <w:color w:val="000000"/>
          <w:sz w:val="20"/>
        </w:rPr>
        <w:fldChar w:fldCharType="end"/>
      </w:r>
      <w:bookmarkStart w:id="16" w:name="_ENREF_1"/>
      <w:r>
        <w:rPr>
          <w:bCs/>
          <w:color w:val="000000"/>
          <w:sz w:val="20"/>
        </w:rPr>
        <w:t>[1] Y. Chen, B. Geng, J. Ru, C. Tong, H. Liu, J. Chen, Comparative characteristics of TEMPO-oxidized cellulose nanofibers and resulting nanopapers from bamboo, softwood, and hardwood pulps, Cellulose, 24 (2017) 4831-4844.</w:t>
      </w:r>
      <w:bookmarkEnd w:id="16"/>
    </w:p>
    <w:p>
      <w:pPr>
        <w:spacing w:line="480" w:lineRule="auto"/>
        <w:rPr>
          <w:bCs/>
          <w:color w:val="000000"/>
          <w:sz w:val="20"/>
        </w:rPr>
      </w:pPr>
      <w:bookmarkStart w:id="17" w:name="_ENREF_2"/>
      <w:r>
        <w:rPr>
          <w:bCs/>
          <w:color w:val="000000"/>
          <w:sz w:val="20"/>
        </w:rPr>
        <w:t>[2] R. Sindhu, P. Binod, K. Satyanagalakshmi, K.U. Janu, K.V. Sajna, N. Kurien, R.K. Sukumaran, A. Pandey, Formic Acid as a Potential Pretreatment Agent for the Conversion of Sugarcane Bagasse to Bioethanol, A</w:t>
      </w:r>
      <w:r>
        <w:rPr>
          <w:rFonts w:hint="eastAsia"/>
          <w:bCs/>
          <w:color w:val="000000"/>
          <w:sz w:val="20"/>
        </w:rPr>
        <w:t>ppl</w:t>
      </w:r>
      <w:r>
        <w:rPr>
          <w:bCs/>
          <w:color w:val="000000"/>
          <w:sz w:val="20"/>
        </w:rPr>
        <w:t>ied Biochemistry and Biotechnology, 162 (2010) 2313-2323.</w:t>
      </w:r>
      <w:bookmarkEnd w:id="17"/>
    </w:p>
    <w:sectPr>
      <w:pgSz w:w="11906" w:h="16838"/>
      <w:pgMar w:top="1440" w:right="1800" w:bottom="1440" w:left="1800" w:header="851" w:footer="992" w:gutter="0"/>
      <w:lnNumType w:countBy="1" w:restart="continuou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rPr>
        <w:rFonts w:ascii="Calibri" w:hAnsi="Calibri"/>
        <w:szCs w:val="24"/>
      </w:rPr>
      <w:id w:val="500707888"/>
    </w:sdtPr>
    <w:sdtEndPr>
      <w:rPr>
        <w:rFonts w:ascii="Calibri" w:hAnsi="Calibri"/>
        <w:sz w:val="18"/>
        <w:szCs w:val="18"/>
        <w:lang w:val="zh-CN"/>
      </w:rPr>
    </w:sdtEndPr>
    <w:sdtContent>
      <w:p>
        <w:pPr>
          <w:widowControl w:val="0"/>
          <w:tabs>
            <w:tab w:val="center" w:pos="4153"/>
            <w:tab w:val="right" w:pos="8306"/>
          </w:tabs>
          <w:snapToGrid w:val="0"/>
          <w:jc w:val="center"/>
          <w:rPr>
            <w:rFonts w:ascii="Calibri" w:hAnsi="Calibri"/>
            <w:sz w:val="18"/>
            <w:szCs w:val="18"/>
          </w:rPr>
        </w:pPr>
        <w:r>
          <w:rPr>
            <w:rFonts w:ascii="Calibri" w:hAnsi="Calibri"/>
            <w:sz w:val="18"/>
            <w:szCs w:val="18"/>
          </w:rPr>
          <w:fldChar w:fldCharType="begin"/>
        </w:r>
        <w:r>
          <w:rPr>
            <w:rFonts w:ascii="Calibri" w:hAnsi="Calibri"/>
            <w:sz w:val="18"/>
            <w:szCs w:val="18"/>
          </w:rPr>
          <w:instrText xml:space="preserve"> PAGE   \* MERGEFORMAT </w:instrText>
        </w:r>
        <w:r>
          <w:rPr>
            <w:rFonts w:ascii="Calibri" w:hAnsi="Calibri"/>
            <w:sz w:val="18"/>
            <w:szCs w:val="18"/>
          </w:rPr>
          <w:fldChar w:fldCharType="separate"/>
        </w:r>
        <w:r>
          <w:rPr>
            <w:rFonts w:ascii="Calibri" w:hAnsi="Calibri"/>
            <w:sz w:val="18"/>
            <w:szCs w:val="18"/>
            <w:lang w:val="zh-CN"/>
          </w:rPr>
          <w:t>17</w:t>
        </w:r>
        <w:r>
          <w:rPr>
            <w:rFonts w:ascii="Calibri" w:hAnsi="Calibri"/>
            <w:sz w:val="18"/>
            <w:szCs w:val="18"/>
            <w:lang w:val="zh-CN"/>
          </w:rPr>
          <w:fldChar w:fldCharType="end"/>
        </w:r>
      </w:p>
    </w:sdtContent>
  </w:sdt>
  <w:p>
    <w:pPr>
      <w:widowControl w:val="0"/>
      <w:tabs>
        <w:tab w:val="center" w:pos="4153"/>
        <w:tab w:val="right" w:pos="8306"/>
      </w:tabs>
      <w:snapToGrid w:val="0"/>
      <w:jc w:val="left"/>
      <w:rPr>
        <w:rFonts w:ascii="Calibri" w:hAnsi="Calibri"/>
        <w:sz w:val="18"/>
        <w:szCs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115754780"/>
    </w:sdtPr>
    <w:sdtContent>
      <w:sdt>
        <w:sdtPr>
          <w:id w:val="-1669238322"/>
        </w:sdtPr>
        <w:sdtContent>
          <w:p>
            <w:pPr>
              <w:pStyle w:val="3"/>
              <w:jc w:val="center"/>
            </w:pPr>
            <w:r>
              <w:rPr>
                <w:lang w:val="zh-CN"/>
              </w:rPr>
              <w:t xml:space="preserve"> </w:t>
            </w:r>
            <w:r>
              <w:rPr>
                <w:b/>
                <w:bCs/>
                <w:sz w:val="24"/>
                <w:szCs w:val="24"/>
              </w:rPr>
              <w:fldChar w:fldCharType="begin"/>
            </w:r>
            <w:r>
              <w:rPr>
                <w:b/>
                <w:bCs/>
              </w:rPr>
              <w:instrText xml:space="preserve">PAGE</w:instrText>
            </w:r>
            <w:r>
              <w:rPr>
                <w:b/>
                <w:bCs/>
                <w:sz w:val="24"/>
                <w:szCs w:val="24"/>
              </w:rPr>
              <w:fldChar w:fldCharType="separate"/>
            </w:r>
            <w:r>
              <w:rPr>
                <w:b/>
                <w:bCs/>
              </w:rPr>
              <w:t>10</w:t>
            </w:r>
            <w:r>
              <w:rPr>
                <w:b/>
                <w:bCs/>
                <w:sz w:val="24"/>
                <w:szCs w:val="24"/>
              </w:rPr>
              <w:fldChar w:fldCharType="end"/>
            </w:r>
            <w:r>
              <w:rPr>
                <w:lang w:val="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10</w:t>
            </w:r>
            <w:r>
              <w:rPr>
                <w:b/>
                <w:bCs/>
                <w:sz w:val="24"/>
                <w:szCs w:val="24"/>
              </w:rPr>
              <w:fldChar w:fldCharType="end"/>
            </w:r>
          </w:p>
        </w:sdtContent>
      </w:sdt>
    </w:sdtContent>
  </w:sdt>
  <w:p>
    <w:pPr>
      <w:pStyle w:val="3"/>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zdlZWUyOGQzM2RiNDY5ODA3MmYyMGM2NmJiOWJjM2EifQ=="/>
    <w:docVar w:name="EN.InstantFormat" w:val="&lt;ENInstantFormat&gt;&lt;Enabled&gt;1&lt;/Enabled&gt;&lt;ScanUnformatted&gt;1&lt;/ScanUnformatted&gt;&lt;ScanChanges&gt;1&lt;/ScanChanges&gt;&lt;Suspended&gt;0&lt;/Suspended&gt;&lt;/ENInstantFormat&gt;"/>
    <w:docVar w:name="EN.Layout" w:val="&lt;ENLayout&gt;&lt;Style&gt;Separation Purification Tech&lt;/Style&gt;&lt;LeftDelim&gt;{&lt;/LeftDelim&gt;&lt;RightDelim&gt;}&lt;/RightDelim&gt;&lt;FontName&gt;Times New Roman&lt;/FontName&gt;&lt;FontSize&gt;10&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Layout&gt;"/>
    <w:docVar w:name="EN.Libraries" w:val="&lt;Libraries&gt;&lt;item db-id=&quot;wd5a229pa9z25aefpfq5vsae2ztf092estrv&quot;&gt;My EndNote Library&lt;record-ids&gt;&lt;item&gt;440&lt;/item&gt;&lt;item&gt;441&lt;/item&gt;&lt;/record-ids&gt;&lt;/item&gt;&lt;/Libraries&gt;"/>
  </w:docVars>
  <w:rsids>
    <w:rsidRoot w:val="00D84E14"/>
    <w:rsid w:val="000065A9"/>
    <w:rsid w:val="00015C9E"/>
    <w:rsid w:val="000252CE"/>
    <w:rsid w:val="000417A5"/>
    <w:rsid w:val="000665AC"/>
    <w:rsid w:val="00070856"/>
    <w:rsid w:val="00083ED2"/>
    <w:rsid w:val="00092211"/>
    <w:rsid w:val="00096257"/>
    <w:rsid w:val="000A3B96"/>
    <w:rsid w:val="000A69AA"/>
    <w:rsid w:val="000B2AFD"/>
    <w:rsid w:val="000C4626"/>
    <w:rsid w:val="000C527B"/>
    <w:rsid w:val="000D01EF"/>
    <w:rsid w:val="000D3380"/>
    <w:rsid w:val="000D4208"/>
    <w:rsid w:val="000E0382"/>
    <w:rsid w:val="000E0911"/>
    <w:rsid w:val="000E48A9"/>
    <w:rsid w:val="000F0F49"/>
    <w:rsid w:val="00115B64"/>
    <w:rsid w:val="00116C9D"/>
    <w:rsid w:val="001217A1"/>
    <w:rsid w:val="001219D8"/>
    <w:rsid w:val="001220A4"/>
    <w:rsid w:val="00130E61"/>
    <w:rsid w:val="001622B1"/>
    <w:rsid w:val="001821B4"/>
    <w:rsid w:val="00187571"/>
    <w:rsid w:val="001904D9"/>
    <w:rsid w:val="0019112A"/>
    <w:rsid w:val="00194649"/>
    <w:rsid w:val="00194B69"/>
    <w:rsid w:val="001974AC"/>
    <w:rsid w:val="001A635F"/>
    <w:rsid w:val="001A6504"/>
    <w:rsid w:val="001B02C8"/>
    <w:rsid w:val="001C60C7"/>
    <w:rsid w:val="001D6481"/>
    <w:rsid w:val="00200D57"/>
    <w:rsid w:val="0020475C"/>
    <w:rsid w:val="0020679E"/>
    <w:rsid w:val="002164D1"/>
    <w:rsid w:val="00230ADC"/>
    <w:rsid w:val="0024416A"/>
    <w:rsid w:val="00244528"/>
    <w:rsid w:val="00262D5F"/>
    <w:rsid w:val="00265053"/>
    <w:rsid w:val="002670A8"/>
    <w:rsid w:val="0026739F"/>
    <w:rsid w:val="002874AE"/>
    <w:rsid w:val="00292198"/>
    <w:rsid w:val="00292AFE"/>
    <w:rsid w:val="00293411"/>
    <w:rsid w:val="002B7396"/>
    <w:rsid w:val="002B7D21"/>
    <w:rsid w:val="002B7F5D"/>
    <w:rsid w:val="002E6EC6"/>
    <w:rsid w:val="002F076C"/>
    <w:rsid w:val="002F3B75"/>
    <w:rsid w:val="002F65C3"/>
    <w:rsid w:val="002F7CA2"/>
    <w:rsid w:val="00301D99"/>
    <w:rsid w:val="00302708"/>
    <w:rsid w:val="003038DB"/>
    <w:rsid w:val="0034685E"/>
    <w:rsid w:val="00347AA6"/>
    <w:rsid w:val="00350AD0"/>
    <w:rsid w:val="00363E30"/>
    <w:rsid w:val="00367889"/>
    <w:rsid w:val="00382704"/>
    <w:rsid w:val="00391558"/>
    <w:rsid w:val="003957F5"/>
    <w:rsid w:val="003A0E9B"/>
    <w:rsid w:val="003A6057"/>
    <w:rsid w:val="003B280D"/>
    <w:rsid w:val="003B37F5"/>
    <w:rsid w:val="003B493F"/>
    <w:rsid w:val="003E3D6B"/>
    <w:rsid w:val="003F0FDB"/>
    <w:rsid w:val="003F4000"/>
    <w:rsid w:val="003F4BA0"/>
    <w:rsid w:val="003F4CF9"/>
    <w:rsid w:val="004053E2"/>
    <w:rsid w:val="00407A1E"/>
    <w:rsid w:val="00427CED"/>
    <w:rsid w:val="00461A38"/>
    <w:rsid w:val="004703E6"/>
    <w:rsid w:val="0047043E"/>
    <w:rsid w:val="004847A0"/>
    <w:rsid w:val="00494958"/>
    <w:rsid w:val="004A669B"/>
    <w:rsid w:val="004C2915"/>
    <w:rsid w:val="004C40A2"/>
    <w:rsid w:val="004D17D0"/>
    <w:rsid w:val="004D4293"/>
    <w:rsid w:val="004E1301"/>
    <w:rsid w:val="004E7048"/>
    <w:rsid w:val="004F3EE7"/>
    <w:rsid w:val="004F4FA5"/>
    <w:rsid w:val="005014D6"/>
    <w:rsid w:val="00510471"/>
    <w:rsid w:val="0051430A"/>
    <w:rsid w:val="0053643D"/>
    <w:rsid w:val="00547E31"/>
    <w:rsid w:val="00555582"/>
    <w:rsid w:val="00567329"/>
    <w:rsid w:val="00580C70"/>
    <w:rsid w:val="0058301A"/>
    <w:rsid w:val="005832C1"/>
    <w:rsid w:val="005948BF"/>
    <w:rsid w:val="00597380"/>
    <w:rsid w:val="005A4D0A"/>
    <w:rsid w:val="005C1362"/>
    <w:rsid w:val="005C30F7"/>
    <w:rsid w:val="005D4ABE"/>
    <w:rsid w:val="005E2DFD"/>
    <w:rsid w:val="005F6B72"/>
    <w:rsid w:val="00604A80"/>
    <w:rsid w:val="00605364"/>
    <w:rsid w:val="00616994"/>
    <w:rsid w:val="00625904"/>
    <w:rsid w:val="0064312A"/>
    <w:rsid w:val="00652B4C"/>
    <w:rsid w:val="006810EB"/>
    <w:rsid w:val="006949A7"/>
    <w:rsid w:val="006966B6"/>
    <w:rsid w:val="006A0A42"/>
    <w:rsid w:val="006B1A85"/>
    <w:rsid w:val="006B62DC"/>
    <w:rsid w:val="006B7FEE"/>
    <w:rsid w:val="006C093E"/>
    <w:rsid w:val="006C1B7E"/>
    <w:rsid w:val="006D0628"/>
    <w:rsid w:val="00703515"/>
    <w:rsid w:val="00713A54"/>
    <w:rsid w:val="00713FD2"/>
    <w:rsid w:val="00721F7D"/>
    <w:rsid w:val="0072555C"/>
    <w:rsid w:val="0073036A"/>
    <w:rsid w:val="0073634E"/>
    <w:rsid w:val="00741603"/>
    <w:rsid w:val="00767F6F"/>
    <w:rsid w:val="00777003"/>
    <w:rsid w:val="0078543C"/>
    <w:rsid w:val="007B3416"/>
    <w:rsid w:val="007C3E94"/>
    <w:rsid w:val="007E1D7C"/>
    <w:rsid w:val="007E52AF"/>
    <w:rsid w:val="008055DE"/>
    <w:rsid w:val="00814AFD"/>
    <w:rsid w:val="00824B16"/>
    <w:rsid w:val="00835C5A"/>
    <w:rsid w:val="00863353"/>
    <w:rsid w:val="00873166"/>
    <w:rsid w:val="00876877"/>
    <w:rsid w:val="00881A0E"/>
    <w:rsid w:val="008A7AB2"/>
    <w:rsid w:val="008C7373"/>
    <w:rsid w:val="008D4037"/>
    <w:rsid w:val="008D4840"/>
    <w:rsid w:val="008E229E"/>
    <w:rsid w:val="008E5BA3"/>
    <w:rsid w:val="00900866"/>
    <w:rsid w:val="00900DDE"/>
    <w:rsid w:val="009040EC"/>
    <w:rsid w:val="00914154"/>
    <w:rsid w:val="009207F1"/>
    <w:rsid w:val="00923E82"/>
    <w:rsid w:val="00937385"/>
    <w:rsid w:val="009374DB"/>
    <w:rsid w:val="00944451"/>
    <w:rsid w:val="00945541"/>
    <w:rsid w:val="00954C2D"/>
    <w:rsid w:val="009579C4"/>
    <w:rsid w:val="00963709"/>
    <w:rsid w:val="00964E30"/>
    <w:rsid w:val="00973C27"/>
    <w:rsid w:val="009745FD"/>
    <w:rsid w:val="009A2F09"/>
    <w:rsid w:val="009A3BD6"/>
    <w:rsid w:val="009A4C04"/>
    <w:rsid w:val="009A5763"/>
    <w:rsid w:val="009B5A27"/>
    <w:rsid w:val="009B7A6B"/>
    <w:rsid w:val="009B7C45"/>
    <w:rsid w:val="009C26B0"/>
    <w:rsid w:val="009C6A4E"/>
    <w:rsid w:val="009C7182"/>
    <w:rsid w:val="009D1ED0"/>
    <w:rsid w:val="009E30FE"/>
    <w:rsid w:val="009E4389"/>
    <w:rsid w:val="009E7456"/>
    <w:rsid w:val="009F377B"/>
    <w:rsid w:val="00A14EB8"/>
    <w:rsid w:val="00A1601E"/>
    <w:rsid w:val="00A2788F"/>
    <w:rsid w:val="00A406A6"/>
    <w:rsid w:val="00A42411"/>
    <w:rsid w:val="00A44B0D"/>
    <w:rsid w:val="00A474F7"/>
    <w:rsid w:val="00A62E3C"/>
    <w:rsid w:val="00A641CF"/>
    <w:rsid w:val="00A732B7"/>
    <w:rsid w:val="00A74014"/>
    <w:rsid w:val="00A8453E"/>
    <w:rsid w:val="00A858C6"/>
    <w:rsid w:val="00A86879"/>
    <w:rsid w:val="00A9148C"/>
    <w:rsid w:val="00AA1F52"/>
    <w:rsid w:val="00AA6203"/>
    <w:rsid w:val="00AA7962"/>
    <w:rsid w:val="00AD56A4"/>
    <w:rsid w:val="00AD6FD0"/>
    <w:rsid w:val="00AE2205"/>
    <w:rsid w:val="00AF01E3"/>
    <w:rsid w:val="00AF2DCC"/>
    <w:rsid w:val="00AF6E9F"/>
    <w:rsid w:val="00B0170F"/>
    <w:rsid w:val="00B03234"/>
    <w:rsid w:val="00B039B6"/>
    <w:rsid w:val="00B06020"/>
    <w:rsid w:val="00B33621"/>
    <w:rsid w:val="00B42C7B"/>
    <w:rsid w:val="00B47458"/>
    <w:rsid w:val="00B5665B"/>
    <w:rsid w:val="00B615D4"/>
    <w:rsid w:val="00B62BB6"/>
    <w:rsid w:val="00B63F6A"/>
    <w:rsid w:val="00B810B2"/>
    <w:rsid w:val="00B81EAD"/>
    <w:rsid w:val="00B82DC3"/>
    <w:rsid w:val="00B8621F"/>
    <w:rsid w:val="00B90DD8"/>
    <w:rsid w:val="00B91478"/>
    <w:rsid w:val="00B97F71"/>
    <w:rsid w:val="00BC3ACC"/>
    <w:rsid w:val="00BD2FC9"/>
    <w:rsid w:val="00BD7EAD"/>
    <w:rsid w:val="00BE2617"/>
    <w:rsid w:val="00BE4A97"/>
    <w:rsid w:val="00BE528E"/>
    <w:rsid w:val="00BE73E0"/>
    <w:rsid w:val="00BF109F"/>
    <w:rsid w:val="00BF192B"/>
    <w:rsid w:val="00C02F74"/>
    <w:rsid w:val="00C1516C"/>
    <w:rsid w:val="00C27ADD"/>
    <w:rsid w:val="00C27D40"/>
    <w:rsid w:val="00C353DA"/>
    <w:rsid w:val="00C94B60"/>
    <w:rsid w:val="00C95174"/>
    <w:rsid w:val="00CB39CD"/>
    <w:rsid w:val="00CB7C68"/>
    <w:rsid w:val="00CC0F6E"/>
    <w:rsid w:val="00CD5AE4"/>
    <w:rsid w:val="00CE3C29"/>
    <w:rsid w:val="00D02467"/>
    <w:rsid w:val="00D0658E"/>
    <w:rsid w:val="00D14D02"/>
    <w:rsid w:val="00D32C0C"/>
    <w:rsid w:val="00D33832"/>
    <w:rsid w:val="00D35D1A"/>
    <w:rsid w:val="00D37829"/>
    <w:rsid w:val="00D7510E"/>
    <w:rsid w:val="00D8027B"/>
    <w:rsid w:val="00D84E14"/>
    <w:rsid w:val="00D85467"/>
    <w:rsid w:val="00D93B06"/>
    <w:rsid w:val="00DA138E"/>
    <w:rsid w:val="00DA223C"/>
    <w:rsid w:val="00DB0393"/>
    <w:rsid w:val="00DB0989"/>
    <w:rsid w:val="00DB3D3F"/>
    <w:rsid w:val="00DB7BAD"/>
    <w:rsid w:val="00DC1599"/>
    <w:rsid w:val="00DC7D82"/>
    <w:rsid w:val="00DD585F"/>
    <w:rsid w:val="00DE050A"/>
    <w:rsid w:val="00DE23BC"/>
    <w:rsid w:val="00DE315F"/>
    <w:rsid w:val="00DE3EEB"/>
    <w:rsid w:val="00DE4ED7"/>
    <w:rsid w:val="00E12A21"/>
    <w:rsid w:val="00E17C54"/>
    <w:rsid w:val="00E17F62"/>
    <w:rsid w:val="00E265ED"/>
    <w:rsid w:val="00E31EA1"/>
    <w:rsid w:val="00E376F3"/>
    <w:rsid w:val="00E47E4C"/>
    <w:rsid w:val="00E53863"/>
    <w:rsid w:val="00E62BC1"/>
    <w:rsid w:val="00E77DFB"/>
    <w:rsid w:val="00E80607"/>
    <w:rsid w:val="00E96610"/>
    <w:rsid w:val="00EA1BAD"/>
    <w:rsid w:val="00EE18FC"/>
    <w:rsid w:val="00EE508C"/>
    <w:rsid w:val="00EF08BC"/>
    <w:rsid w:val="00EF68C3"/>
    <w:rsid w:val="00F05798"/>
    <w:rsid w:val="00F1414D"/>
    <w:rsid w:val="00F14991"/>
    <w:rsid w:val="00F474DC"/>
    <w:rsid w:val="00F64F37"/>
    <w:rsid w:val="00F84E8A"/>
    <w:rsid w:val="00F93D62"/>
    <w:rsid w:val="00F956D6"/>
    <w:rsid w:val="00FA1BA4"/>
    <w:rsid w:val="00FD58EC"/>
    <w:rsid w:val="00FD6991"/>
    <w:rsid w:val="00FF1832"/>
    <w:rsid w:val="03ED6CEC"/>
    <w:rsid w:val="09A475DF"/>
    <w:rsid w:val="10D92E19"/>
    <w:rsid w:val="125914E9"/>
    <w:rsid w:val="20AD0FE5"/>
    <w:rsid w:val="340E49D0"/>
    <w:rsid w:val="4208378C"/>
    <w:rsid w:val="44CE7F58"/>
    <w:rsid w:val="56F70203"/>
    <w:rsid w:val="61931FE1"/>
    <w:rsid w:val="6FC3526C"/>
    <w:rsid w:val="74397D5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qFormat="1"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jc w:val="both"/>
    </w:pPr>
    <w:rPr>
      <w:rFonts w:ascii="Times New Roman" w:hAnsi="Times New Roman" w:eastAsia="宋体" w:cs="Times New Roman"/>
      <w:kern w:val="2"/>
      <w:sz w:val="21"/>
      <w:lang w:val="en-US" w:eastAsia="zh-CN" w:bidi="ar-SA"/>
    </w:rPr>
  </w:style>
  <w:style w:type="character" w:default="1" w:styleId="7">
    <w:name w:val="Default Paragraph Font"/>
    <w:unhideWhenUsed/>
    <w:uiPriority w:val="1"/>
  </w:style>
  <w:style w:type="table" w:default="1" w:styleId="5">
    <w:name w:val="Normal Table"/>
    <w:semiHidden/>
    <w:unhideWhenUsed/>
    <w:uiPriority w:val="99"/>
    <w:tblPr>
      <w:tblCellMar>
        <w:top w:w="0" w:type="dxa"/>
        <w:left w:w="108" w:type="dxa"/>
        <w:bottom w:w="0" w:type="dxa"/>
        <w:right w:w="108" w:type="dxa"/>
      </w:tblCellMar>
    </w:tblPr>
  </w:style>
  <w:style w:type="paragraph" w:styleId="2">
    <w:name w:val="Balloon Text"/>
    <w:basedOn w:val="1"/>
    <w:link w:val="13"/>
    <w:semiHidden/>
    <w:unhideWhenUsed/>
    <w:qFormat/>
    <w:uiPriority w:val="99"/>
    <w:rPr>
      <w:sz w:val="18"/>
      <w:szCs w:val="18"/>
    </w:rPr>
  </w:style>
  <w:style w:type="paragraph" w:styleId="3">
    <w:name w:val="footer"/>
    <w:basedOn w:val="1"/>
    <w:link w:val="11"/>
    <w:unhideWhenUsed/>
    <w:qFormat/>
    <w:uiPriority w:val="99"/>
    <w:pPr>
      <w:widowControl w:val="0"/>
      <w:tabs>
        <w:tab w:val="center" w:pos="4153"/>
        <w:tab w:val="right" w:pos="8306"/>
      </w:tabs>
      <w:snapToGrid w:val="0"/>
      <w:jc w:val="left"/>
    </w:pPr>
    <w:rPr>
      <w:rFonts w:asciiTheme="minorHAnsi" w:hAnsiTheme="minorHAnsi" w:eastAsiaTheme="minorEastAsia" w:cstheme="minorBidi"/>
      <w:sz w:val="18"/>
      <w:szCs w:val="18"/>
    </w:rPr>
  </w:style>
  <w:style w:type="paragraph" w:styleId="4">
    <w:name w:val="header"/>
    <w:basedOn w:val="1"/>
    <w:link w:val="10"/>
    <w:unhideWhenUsed/>
    <w:uiPriority w:val="99"/>
    <w:pPr>
      <w:widowControl w:val="0"/>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table" w:styleId="6">
    <w:name w:val="Table Grid"/>
    <w:basedOn w:val="5"/>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8">
    <w:name w:val="line number"/>
    <w:basedOn w:val="7"/>
    <w:semiHidden/>
    <w:unhideWhenUsed/>
    <w:qFormat/>
    <w:uiPriority w:val="99"/>
  </w:style>
  <w:style w:type="character" w:styleId="9">
    <w:name w:val="Hyperlink"/>
    <w:basedOn w:val="7"/>
    <w:unhideWhenUsed/>
    <w:qFormat/>
    <w:uiPriority w:val="99"/>
    <w:rPr>
      <w:color w:val="0000FF" w:themeColor="hyperlink"/>
      <w:u w:val="single"/>
      <w14:textFill>
        <w14:solidFill>
          <w14:schemeClr w14:val="hlink"/>
        </w14:solidFill>
      </w14:textFill>
    </w:rPr>
  </w:style>
  <w:style w:type="character" w:customStyle="1" w:styleId="10">
    <w:name w:val="页眉 字符"/>
    <w:basedOn w:val="7"/>
    <w:link w:val="4"/>
    <w:qFormat/>
    <w:uiPriority w:val="99"/>
    <w:rPr>
      <w:sz w:val="18"/>
      <w:szCs w:val="18"/>
    </w:rPr>
  </w:style>
  <w:style w:type="character" w:customStyle="1" w:styleId="11">
    <w:name w:val="页脚 字符"/>
    <w:basedOn w:val="7"/>
    <w:link w:val="3"/>
    <w:qFormat/>
    <w:uiPriority w:val="99"/>
    <w:rPr>
      <w:sz w:val="18"/>
      <w:szCs w:val="18"/>
    </w:rPr>
  </w:style>
  <w:style w:type="paragraph" w:customStyle="1" w:styleId="12">
    <w:name w:val="BC_Author_Address"/>
    <w:basedOn w:val="1"/>
    <w:next w:val="1"/>
    <w:qFormat/>
    <w:uiPriority w:val="0"/>
    <w:pPr>
      <w:spacing w:after="240" w:line="480" w:lineRule="auto"/>
      <w:jc w:val="center"/>
    </w:pPr>
  </w:style>
  <w:style w:type="character" w:customStyle="1" w:styleId="13">
    <w:name w:val="批注框文本 字符"/>
    <w:basedOn w:val="7"/>
    <w:link w:val="2"/>
    <w:semiHidden/>
    <w:qFormat/>
    <w:uiPriority w:val="99"/>
    <w:rPr>
      <w:rFonts w:ascii="Times New Roman" w:hAnsi="Times New Roman" w:eastAsia="宋体" w:cs="Times New Roman"/>
      <w:sz w:val="18"/>
      <w:szCs w:val="18"/>
    </w:rPr>
  </w:style>
  <w:style w:type="paragraph" w:styleId="14">
    <w:name w:val="List Paragraph"/>
    <w:basedOn w:val="1"/>
    <w:unhideWhenUsed/>
    <w:qFormat/>
    <w:uiPriority w:val="99"/>
    <w:pPr>
      <w:ind w:firstLine="420" w:firstLineChars="200"/>
    </w:pPr>
  </w:style>
  <w:style w:type="paragraph" w:customStyle="1" w:styleId="15">
    <w:name w:val="TA_Main_Text"/>
    <w:basedOn w:val="1"/>
    <w:link w:val="16"/>
    <w:qFormat/>
    <w:uiPriority w:val="0"/>
    <w:pPr>
      <w:spacing w:line="480" w:lineRule="auto"/>
      <w:ind w:firstLine="202"/>
    </w:pPr>
    <w:rPr>
      <w:sz w:val="24"/>
    </w:rPr>
  </w:style>
  <w:style w:type="character" w:customStyle="1" w:styleId="16">
    <w:name w:val="TA_Main_Text Char"/>
    <w:basedOn w:val="7"/>
    <w:link w:val="15"/>
    <w:qFormat/>
    <w:uiPriority w:val="0"/>
    <w:rPr>
      <w:rFonts w:ascii="Times New Roman" w:hAnsi="Times New Roman" w:eastAsia="宋体" w:cs="Times New Roman"/>
      <w:kern w:val="2"/>
      <w:sz w:val="24"/>
    </w:rPr>
  </w:style>
  <w:style w:type="table" w:customStyle="1" w:styleId="17">
    <w:name w:val="样式1"/>
    <w:basedOn w:val="5"/>
    <w:qFormat/>
    <w:uiPriority w:val="0"/>
    <w:rPr>
      <w:rFonts w:ascii="Calibri" w:hAnsi="Calibri" w:eastAsia="Times New Roman" w:cs="Times New Roman"/>
    </w:rPr>
    <w:tblPr>
      <w:tblBorders>
        <w:top w:val="single" w:color="auto" w:sz="12" w:space="0"/>
        <w:bottom w:val="single" w:color="auto" w:sz="12" w:space="0"/>
      </w:tblBorders>
    </w:tblPr>
    <w:tblStylePr w:type="firstRow">
      <w:tcPr>
        <w:tcBorders>
          <w:top w:val="single" w:color="auto" w:sz="12" w:space="0"/>
          <w:left w:val="nil"/>
          <w:bottom w:val="single" w:color="auto" w:sz="6" w:space="0"/>
          <w:right w:val="nil"/>
          <w:insideH w:val="nil"/>
          <w:insideV w:val="nil"/>
          <w:tl2br w:val="nil"/>
          <w:tr2bl w:val="nil"/>
        </w:tcBorders>
      </w:tcPr>
    </w:tblStylePr>
  </w:style>
  <w:style w:type="character" w:customStyle="1" w:styleId="18">
    <w:name w:val="未处理的提及1"/>
    <w:basedOn w:val="7"/>
    <w:semiHidden/>
    <w:unhideWhenUsed/>
    <w:qFormat/>
    <w:uiPriority w:val="99"/>
    <w:rPr>
      <w:color w:val="605E5C"/>
      <w:shd w:val="clear" w:color="auto" w:fill="E1DFDD"/>
    </w:rPr>
  </w:style>
</w:styles>
</file>

<file path=word/_rels/document.xml.rels><?xml version="1.0" encoding="UTF-8" standalone="yes"?>
<Relationships xmlns="http://schemas.openxmlformats.org/package/2006/relationships"><Relationship Id="rId9" Type="http://schemas.openxmlformats.org/officeDocument/2006/relationships/image" Target="media/image4.tiff"/><Relationship Id="rId8" Type="http://schemas.openxmlformats.org/officeDocument/2006/relationships/image" Target="media/image3.tiff"/><Relationship Id="rId7" Type="http://schemas.openxmlformats.org/officeDocument/2006/relationships/image" Target="media/image2.tiff"/><Relationship Id="rId6" Type="http://schemas.openxmlformats.org/officeDocument/2006/relationships/image" Target="media/image1.tiff"/><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4155C4B-FC2B-4285-A90F-95FDADF93AA0}">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10</Pages>
  <Words>1447</Words>
  <Characters>8254</Characters>
  <Lines>68</Lines>
  <Paragraphs>19</Paragraphs>
  <TotalTime>1</TotalTime>
  <ScaleCrop>false</ScaleCrop>
  <LinksUpToDate>false</LinksUpToDate>
  <CharactersWithSpaces>9682</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2023-08-27T04:56:00Z</dcterms:created>
  <dc:creator>Admin-pc</dc:creator>
  <cp:lastModifiedBy>叶勇</cp:lastModifiedBy>
  <dcterms:modified xsi:type="dcterms:W3CDTF">2023-09-01T14:47:26Z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14D492CBC98E48C4A0B7AB5D71C93BFF</vt:lpwstr>
  </property>
</Properties>
</file>