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1BB0E" w14:textId="02068F79" w:rsidR="00FD7BA5" w:rsidRPr="003A7C7F" w:rsidRDefault="00FD7BA5">
      <w:pPr>
        <w:rPr>
          <w:rFonts w:ascii="Times New Roman" w:hAnsi="Times New Roman" w:cs="Times New Roman"/>
          <w:sz w:val="24"/>
          <w:szCs w:val="24"/>
        </w:rPr>
      </w:pPr>
      <w:r w:rsidRPr="003A7C7F">
        <w:rPr>
          <w:rFonts w:ascii="Times New Roman" w:hAnsi="Times New Roman" w:cs="Times New Roman"/>
          <w:sz w:val="24"/>
          <w:szCs w:val="24"/>
        </w:rPr>
        <w:t xml:space="preserve">Table S4 </w:t>
      </w:r>
      <w:r w:rsidR="004E47B9" w:rsidRPr="003A7C7F">
        <w:rPr>
          <w:rFonts w:ascii="Times New Roman" w:hAnsi="Times New Roman" w:cs="Times New Roman"/>
          <w:sz w:val="24"/>
          <w:szCs w:val="24"/>
        </w:rPr>
        <w:t xml:space="preserve">The risk </w:t>
      </w:r>
      <w:r w:rsidR="006741BC" w:rsidRPr="003A7C7F">
        <w:rPr>
          <w:rFonts w:ascii="Times New Roman" w:hAnsi="Times New Roman" w:cs="Times New Roman"/>
          <w:sz w:val="24"/>
          <w:szCs w:val="24"/>
        </w:rPr>
        <w:t>g</w:t>
      </w:r>
      <w:r w:rsidRPr="003A7C7F">
        <w:rPr>
          <w:rFonts w:ascii="Times New Roman" w:hAnsi="Times New Roman" w:cs="Times New Roman"/>
          <w:sz w:val="24"/>
          <w:szCs w:val="24"/>
        </w:rPr>
        <w:t>enes and their coefficients for the risk model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78"/>
        <w:gridCol w:w="3264"/>
        <w:gridCol w:w="2254"/>
      </w:tblGrid>
      <w:tr w:rsidR="00227994" w:rsidRPr="003A7C7F" w14:paraId="70120FCB" w14:textId="2D65A8CC" w:rsidTr="00227994">
        <w:tc>
          <w:tcPr>
            <w:tcW w:w="2778" w:type="dxa"/>
          </w:tcPr>
          <w:p w14:paraId="6858BB06" w14:textId="32BA8E2E" w:rsidR="00227994" w:rsidRPr="003A7C7F" w:rsidRDefault="00227994" w:rsidP="00FD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Gene id</w:t>
            </w:r>
          </w:p>
        </w:tc>
        <w:tc>
          <w:tcPr>
            <w:tcW w:w="3264" w:type="dxa"/>
          </w:tcPr>
          <w:p w14:paraId="2F0BBB02" w14:textId="523FBCF6" w:rsidR="00227994" w:rsidRPr="003A7C7F" w:rsidRDefault="00227994" w:rsidP="00FD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Coef</w:t>
            </w:r>
            <w:proofErr w:type="spellEnd"/>
          </w:p>
        </w:tc>
        <w:tc>
          <w:tcPr>
            <w:tcW w:w="2254" w:type="dxa"/>
          </w:tcPr>
          <w:p w14:paraId="30095CA6" w14:textId="2CF1A2E4" w:rsidR="00227994" w:rsidRPr="003A7C7F" w:rsidRDefault="003630F2" w:rsidP="00FD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227994" w:rsidRPr="003A7C7F">
              <w:rPr>
                <w:rFonts w:ascii="Times New Roman" w:hAnsi="Times New Roman" w:cs="Times New Roman"/>
                <w:sz w:val="24"/>
                <w:szCs w:val="24"/>
              </w:rPr>
              <w:t>eported</w:t>
            </w:r>
          </w:p>
        </w:tc>
      </w:tr>
      <w:tr w:rsidR="00973C62" w:rsidRPr="003A7C7F" w14:paraId="3BF2AFC4" w14:textId="72340B2B" w:rsidTr="00227994">
        <w:tc>
          <w:tcPr>
            <w:tcW w:w="2778" w:type="dxa"/>
          </w:tcPr>
          <w:p w14:paraId="7FF4D74D" w14:textId="2DE88EEE" w:rsidR="00973C62" w:rsidRPr="003A7C7F" w:rsidRDefault="00973C62" w:rsidP="00FD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93429286"/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PPP1R1B</w:t>
            </w:r>
          </w:p>
        </w:tc>
        <w:tc>
          <w:tcPr>
            <w:tcW w:w="3264" w:type="dxa"/>
          </w:tcPr>
          <w:p w14:paraId="6EF4AF36" w14:textId="5A93321D" w:rsidR="00973C62" w:rsidRPr="003A7C7F" w:rsidRDefault="00973C62" w:rsidP="00FD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0.255237740096742</w:t>
            </w:r>
          </w:p>
        </w:tc>
        <w:tc>
          <w:tcPr>
            <w:tcW w:w="2254" w:type="dxa"/>
          </w:tcPr>
          <w:p w14:paraId="519D59AB" w14:textId="5BF6672A" w:rsidR="00973C62" w:rsidRPr="003A7C7F" w:rsidRDefault="00973C62" w:rsidP="00FD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971C47" w:rsidRPr="003A7C7F" w14:paraId="0C81617F" w14:textId="77777777" w:rsidTr="00227994">
        <w:tc>
          <w:tcPr>
            <w:tcW w:w="2778" w:type="dxa"/>
          </w:tcPr>
          <w:p w14:paraId="05AA0C26" w14:textId="2C572D24" w:rsidR="00971C47" w:rsidRPr="003A7C7F" w:rsidRDefault="00971C47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WEE1</w:t>
            </w:r>
          </w:p>
        </w:tc>
        <w:tc>
          <w:tcPr>
            <w:tcW w:w="3264" w:type="dxa"/>
          </w:tcPr>
          <w:p w14:paraId="67A0B6F0" w14:textId="276B99CB" w:rsidR="00971C47" w:rsidRPr="003A7C7F" w:rsidRDefault="00971C47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0.269543139558048</w:t>
            </w:r>
          </w:p>
        </w:tc>
        <w:tc>
          <w:tcPr>
            <w:tcW w:w="2254" w:type="dxa"/>
          </w:tcPr>
          <w:p w14:paraId="1B970AAD" w14:textId="65F7C0CF" w:rsidR="00971C47" w:rsidRDefault="00971C47" w:rsidP="00971C47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</w:tr>
      <w:bookmarkEnd w:id="0"/>
      <w:tr w:rsidR="00971C47" w:rsidRPr="003A7C7F" w14:paraId="2041A51E" w14:textId="77777777" w:rsidTr="00227994">
        <w:tc>
          <w:tcPr>
            <w:tcW w:w="2778" w:type="dxa"/>
          </w:tcPr>
          <w:p w14:paraId="58C8D2F6" w14:textId="057FAD14" w:rsidR="00971C47" w:rsidRPr="003A7C7F" w:rsidRDefault="00971C47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PEBP4</w:t>
            </w:r>
          </w:p>
        </w:tc>
        <w:tc>
          <w:tcPr>
            <w:tcW w:w="3264" w:type="dxa"/>
          </w:tcPr>
          <w:p w14:paraId="2B520900" w14:textId="0E1F82D4" w:rsidR="00971C47" w:rsidRPr="003A7C7F" w:rsidRDefault="00971C47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0.193427283668453</w:t>
            </w:r>
          </w:p>
        </w:tc>
        <w:tc>
          <w:tcPr>
            <w:tcW w:w="2254" w:type="dxa"/>
          </w:tcPr>
          <w:p w14:paraId="0530127B" w14:textId="69EAB915" w:rsidR="00971C47" w:rsidRDefault="00971C47" w:rsidP="00971C47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</w:tr>
      <w:tr w:rsidR="00971C47" w:rsidRPr="003A7C7F" w14:paraId="593274FF" w14:textId="77777777" w:rsidTr="00227994">
        <w:tc>
          <w:tcPr>
            <w:tcW w:w="2778" w:type="dxa"/>
          </w:tcPr>
          <w:p w14:paraId="64C7467C" w14:textId="53A1D57D" w:rsidR="00971C47" w:rsidRPr="003A7C7F" w:rsidRDefault="00971C47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TFAP2B</w:t>
            </w:r>
          </w:p>
        </w:tc>
        <w:tc>
          <w:tcPr>
            <w:tcW w:w="3264" w:type="dxa"/>
          </w:tcPr>
          <w:p w14:paraId="4BE7E1C1" w14:textId="02880F6E" w:rsidR="00971C47" w:rsidRPr="003A7C7F" w:rsidRDefault="00971C47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0.0884107702826709</w:t>
            </w:r>
          </w:p>
        </w:tc>
        <w:tc>
          <w:tcPr>
            <w:tcW w:w="2254" w:type="dxa"/>
          </w:tcPr>
          <w:p w14:paraId="19CC99BC" w14:textId="38C49B78" w:rsidR="00971C47" w:rsidRDefault="00971C47" w:rsidP="00971C47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</w:tr>
      <w:tr w:rsidR="00971C47" w:rsidRPr="003A7C7F" w14:paraId="5DE2210D" w14:textId="77777777" w:rsidTr="00227994">
        <w:tc>
          <w:tcPr>
            <w:tcW w:w="2778" w:type="dxa"/>
          </w:tcPr>
          <w:p w14:paraId="19D8CFA9" w14:textId="47BA7923" w:rsidR="00971C47" w:rsidRPr="003A7C7F" w:rsidRDefault="00971C47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ETNPPL</w:t>
            </w:r>
          </w:p>
        </w:tc>
        <w:tc>
          <w:tcPr>
            <w:tcW w:w="3264" w:type="dxa"/>
          </w:tcPr>
          <w:p w14:paraId="2DA3506D" w14:textId="57C608FB" w:rsidR="00971C47" w:rsidRPr="003A7C7F" w:rsidRDefault="00971C47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-0.338160536451652</w:t>
            </w:r>
          </w:p>
        </w:tc>
        <w:tc>
          <w:tcPr>
            <w:tcW w:w="2254" w:type="dxa"/>
          </w:tcPr>
          <w:p w14:paraId="6D512AC1" w14:textId="63537A25" w:rsidR="00971C47" w:rsidRDefault="00971C47" w:rsidP="00971C47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971C47" w:rsidRPr="003A7C7F" w14:paraId="7D2EA40F" w14:textId="77777777" w:rsidTr="00227994">
        <w:tc>
          <w:tcPr>
            <w:tcW w:w="2778" w:type="dxa"/>
          </w:tcPr>
          <w:p w14:paraId="42A26DFF" w14:textId="241576B4" w:rsidR="00971C47" w:rsidRPr="003A7C7F" w:rsidRDefault="00971C47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ENDOU</w:t>
            </w:r>
          </w:p>
        </w:tc>
        <w:tc>
          <w:tcPr>
            <w:tcW w:w="3264" w:type="dxa"/>
          </w:tcPr>
          <w:p w14:paraId="6C629E3C" w14:textId="66779342" w:rsidR="00971C47" w:rsidRPr="003A7C7F" w:rsidRDefault="00971C47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-0.193495874777752</w:t>
            </w:r>
          </w:p>
        </w:tc>
        <w:tc>
          <w:tcPr>
            <w:tcW w:w="2254" w:type="dxa"/>
          </w:tcPr>
          <w:p w14:paraId="1E5D5265" w14:textId="145929D7" w:rsidR="00971C47" w:rsidRDefault="00971C47" w:rsidP="00971C47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</w:tr>
      <w:tr w:rsidR="00971C47" w:rsidRPr="003A7C7F" w14:paraId="2E643DD1" w14:textId="77777777" w:rsidTr="00227994">
        <w:tc>
          <w:tcPr>
            <w:tcW w:w="2778" w:type="dxa"/>
          </w:tcPr>
          <w:p w14:paraId="4F0236F1" w14:textId="3BA6CEEF" w:rsidR="00971C47" w:rsidRPr="003A7C7F" w:rsidRDefault="00971C47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CYP27B1</w:t>
            </w:r>
          </w:p>
        </w:tc>
        <w:tc>
          <w:tcPr>
            <w:tcW w:w="3264" w:type="dxa"/>
          </w:tcPr>
          <w:p w14:paraId="23029E02" w14:textId="095D78A6" w:rsidR="00971C47" w:rsidRPr="003A7C7F" w:rsidRDefault="00971C47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0.309167894169022</w:t>
            </w:r>
          </w:p>
        </w:tc>
        <w:tc>
          <w:tcPr>
            <w:tcW w:w="2254" w:type="dxa"/>
          </w:tcPr>
          <w:p w14:paraId="36748021" w14:textId="61EA3944" w:rsidR="00971C47" w:rsidRDefault="00971C47" w:rsidP="00971C47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</w:tr>
      <w:tr w:rsidR="00971C47" w:rsidRPr="003A7C7F" w14:paraId="1528E28F" w14:textId="77777777" w:rsidTr="00227994">
        <w:tc>
          <w:tcPr>
            <w:tcW w:w="2778" w:type="dxa"/>
          </w:tcPr>
          <w:p w14:paraId="42AE13DF" w14:textId="71A3D20C" w:rsidR="00971C47" w:rsidRPr="003A7C7F" w:rsidRDefault="00971C47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NR3C2</w:t>
            </w:r>
          </w:p>
        </w:tc>
        <w:tc>
          <w:tcPr>
            <w:tcW w:w="3264" w:type="dxa"/>
          </w:tcPr>
          <w:p w14:paraId="2B3D2EED" w14:textId="34BE093A" w:rsidR="00971C47" w:rsidRPr="003A7C7F" w:rsidRDefault="00971C47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-0.24346550197173</w:t>
            </w:r>
          </w:p>
        </w:tc>
        <w:tc>
          <w:tcPr>
            <w:tcW w:w="2254" w:type="dxa"/>
          </w:tcPr>
          <w:p w14:paraId="653DF690" w14:textId="7974BB13" w:rsidR="00971C47" w:rsidRDefault="00971C47" w:rsidP="00971C47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</w:tr>
      <w:tr w:rsidR="00155F40" w:rsidRPr="003A7C7F" w14:paraId="3F882043" w14:textId="77777777" w:rsidTr="00227994">
        <w:tc>
          <w:tcPr>
            <w:tcW w:w="2778" w:type="dxa"/>
          </w:tcPr>
          <w:p w14:paraId="25833D2B" w14:textId="33194801" w:rsidR="00155F40" w:rsidRPr="003A7C7F" w:rsidRDefault="00155F40" w:rsidP="0015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CRLF1</w:t>
            </w:r>
          </w:p>
        </w:tc>
        <w:tc>
          <w:tcPr>
            <w:tcW w:w="3264" w:type="dxa"/>
          </w:tcPr>
          <w:p w14:paraId="36CE5B49" w14:textId="6BEC1C23" w:rsidR="00155F40" w:rsidRPr="003A7C7F" w:rsidRDefault="00155F40" w:rsidP="0015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-0.0895431065029244</w:t>
            </w:r>
          </w:p>
        </w:tc>
        <w:tc>
          <w:tcPr>
            <w:tcW w:w="2254" w:type="dxa"/>
          </w:tcPr>
          <w:p w14:paraId="2590CFFF" w14:textId="5C005962" w:rsidR="00155F40" w:rsidRDefault="00155F40" w:rsidP="00155F40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</w:tr>
      <w:tr w:rsidR="00155F40" w:rsidRPr="003A7C7F" w14:paraId="0F0FD19A" w14:textId="77777777" w:rsidTr="00227994">
        <w:tc>
          <w:tcPr>
            <w:tcW w:w="2778" w:type="dxa"/>
          </w:tcPr>
          <w:p w14:paraId="0A25D115" w14:textId="1471E962" w:rsidR="00155F40" w:rsidRPr="003A7C7F" w:rsidRDefault="00155F40" w:rsidP="0015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HELLS</w:t>
            </w:r>
          </w:p>
        </w:tc>
        <w:tc>
          <w:tcPr>
            <w:tcW w:w="3264" w:type="dxa"/>
          </w:tcPr>
          <w:p w14:paraId="67D2B6AB" w14:textId="711313D7" w:rsidR="00155F40" w:rsidRPr="003A7C7F" w:rsidRDefault="00155F40" w:rsidP="0015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-0.299240228373321</w:t>
            </w:r>
          </w:p>
        </w:tc>
        <w:tc>
          <w:tcPr>
            <w:tcW w:w="2254" w:type="dxa"/>
          </w:tcPr>
          <w:p w14:paraId="19B6A620" w14:textId="03ED04A3" w:rsidR="00155F40" w:rsidRDefault="00155F40" w:rsidP="00155F40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</w:tr>
      <w:tr w:rsidR="00155F40" w:rsidRPr="003A7C7F" w14:paraId="0CF302BD" w14:textId="77777777" w:rsidTr="00227994">
        <w:tc>
          <w:tcPr>
            <w:tcW w:w="2778" w:type="dxa"/>
          </w:tcPr>
          <w:p w14:paraId="656EE211" w14:textId="36D7997D" w:rsidR="00155F40" w:rsidRPr="003A7C7F" w:rsidRDefault="00155F40" w:rsidP="0015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MYB</w:t>
            </w:r>
          </w:p>
        </w:tc>
        <w:tc>
          <w:tcPr>
            <w:tcW w:w="3264" w:type="dxa"/>
          </w:tcPr>
          <w:p w14:paraId="69E3A327" w14:textId="082813B3" w:rsidR="00155F40" w:rsidRPr="003A7C7F" w:rsidRDefault="00155F40" w:rsidP="0015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-0.133998820788727</w:t>
            </w:r>
          </w:p>
        </w:tc>
        <w:tc>
          <w:tcPr>
            <w:tcW w:w="2254" w:type="dxa"/>
          </w:tcPr>
          <w:p w14:paraId="5CF70E78" w14:textId="048871DA" w:rsidR="00155F40" w:rsidRDefault="00155F40" w:rsidP="00155F40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</w:p>
        </w:tc>
      </w:tr>
      <w:tr w:rsidR="00155F40" w:rsidRPr="003A7C7F" w14:paraId="6B1C2FB3" w14:textId="77777777" w:rsidTr="00227994">
        <w:tc>
          <w:tcPr>
            <w:tcW w:w="2778" w:type="dxa"/>
          </w:tcPr>
          <w:p w14:paraId="17FC8CF8" w14:textId="0184780A" w:rsidR="00155F40" w:rsidRPr="003A7C7F" w:rsidRDefault="00155F40" w:rsidP="0015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GAS2L3</w:t>
            </w:r>
          </w:p>
        </w:tc>
        <w:tc>
          <w:tcPr>
            <w:tcW w:w="3264" w:type="dxa"/>
          </w:tcPr>
          <w:p w14:paraId="4EB8C675" w14:textId="51FDC1D1" w:rsidR="00155F40" w:rsidRPr="003A7C7F" w:rsidRDefault="00155F40" w:rsidP="0015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0.253542404661998</w:t>
            </w:r>
          </w:p>
        </w:tc>
        <w:tc>
          <w:tcPr>
            <w:tcW w:w="2254" w:type="dxa"/>
          </w:tcPr>
          <w:p w14:paraId="21A25178" w14:textId="0F0152E2" w:rsidR="00155F40" w:rsidRDefault="00155F40" w:rsidP="00155F40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</w:tr>
      <w:tr w:rsidR="00155F40" w:rsidRPr="003A7C7F" w14:paraId="5884B1AA" w14:textId="77777777" w:rsidTr="00227994">
        <w:tc>
          <w:tcPr>
            <w:tcW w:w="2778" w:type="dxa"/>
          </w:tcPr>
          <w:p w14:paraId="259E333E" w14:textId="40D572E1" w:rsidR="00155F40" w:rsidRPr="003A7C7F" w:rsidRDefault="00155F40" w:rsidP="0015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E2F8</w:t>
            </w:r>
          </w:p>
        </w:tc>
        <w:tc>
          <w:tcPr>
            <w:tcW w:w="3264" w:type="dxa"/>
          </w:tcPr>
          <w:p w14:paraId="41209855" w14:textId="57A50637" w:rsidR="00155F40" w:rsidRPr="003A7C7F" w:rsidRDefault="00155F40" w:rsidP="0015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0.339362688058833</w:t>
            </w:r>
          </w:p>
        </w:tc>
        <w:tc>
          <w:tcPr>
            <w:tcW w:w="2254" w:type="dxa"/>
          </w:tcPr>
          <w:p w14:paraId="1A80C14F" w14:textId="70EC5C12" w:rsidR="00155F40" w:rsidRDefault="00155F40" w:rsidP="00155F40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</w:tc>
      </w:tr>
      <w:tr w:rsidR="00155F40" w:rsidRPr="003A7C7F" w14:paraId="5E72C729" w14:textId="77777777" w:rsidTr="00227994">
        <w:tc>
          <w:tcPr>
            <w:tcW w:w="2778" w:type="dxa"/>
          </w:tcPr>
          <w:p w14:paraId="247C200A" w14:textId="3695148D" w:rsidR="00155F40" w:rsidRPr="003A7C7F" w:rsidRDefault="00155F40" w:rsidP="0015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E2F7</w:t>
            </w:r>
          </w:p>
        </w:tc>
        <w:tc>
          <w:tcPr>
            <w:tcW w:w="3264" w:type="dxa"/>
          </w:tcPr>
          <w:p w14:paraId="48E5DF36" w14:textId="1042425D" w:rsidR="00155F40" w:rsidRPr="003A7C7F" w:rsidRDefault="00155F40" w:rsidP="0015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0.284140409962796</w:t>
            </w:r>
          </w:p>
        </w:tc>
        <w:tc>
          <w:tcPr>
            <w:tcW w:w="2254" w:type="dxa"/>
          </w:tcPr>
          <w:p w14:paraId="35B0E5F5" w14:textId="58F894CB" w:rsidR="00155F40" w:rsidRDefault="00155F40" w:rsidP="00155F40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</w:p>
        </w:tc>
      </w:tr>
      <w:tr w:rsidR="00155F40" w:rsidRPr="003A7C7F" w14:paraId="1C4A5456" w14:textId="77777777" w:rsidTr="00227994">
        <w:tc>
          <w:tcPr>
            <w:tcW w:w="2778" w:type="dxa"/>
          </w:tcPr>
          <w:p w14:paraId="5EC76AF2" w14:textId="0B4AF4E0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GGH</w:t>
            </w:r>
          </w:p>
        </w:tc>
        <w:tc>
          <w:tcPr>
            <w:tcW w:w="3264" w:type="dxa"/>
          </w:tcPr>
          <w:p w14:paraId="235EA12E" w14:textId="55A0F1FE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0.588482893387841</w:t>
            </w:r>
          </w:p>
        </w:tc>
        <w:tc>
          <w:tcPr>
            <w:tcW w:w="2254" w:type="dxa"/>
          </w:tcPr>
          <w:p w14:paraId="005A1E55" w14:textId="1A707518" w:rsidR="00155F40" w:rsidRDefault="00155F40" w:rsidP="00971C47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</w:p>
        </w:tc>
      </w:tr>
      <w:tr w:rsidR="00155F40" w:rsidRPr="003A7C7F" w14:paraId="6A1CA968" w14:textId="77777777" w:rsidTr="00227994">
        <w:tc>
          <w:tcPr>
            <w:tcW w:w="2778" w:type="dxa"/>
          </w:tcPr>
          <w:p w14:paraId="61E138D6" w14:textId="6748C8B2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CHAF1B</w:t>
            </w:r>
          </w:p>
        </w:tc>
        <w:tc>
          <w:tcPr>
            <w:tcW w:w="3264" w:type="dxa"/>
          </w:tcPr>
          <w:p w14:paraId="184E5F4F" w14:textId="6E485098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0.348533462881257</w:t>
            </w:r>
          </w:p>
        </w:tc>
        <w:tc>
          <w:tcPr>
            <w:tcW w:w="2254" w:type="dxa"/>
          </w:tcPr>
          <w:p w14:paraId="11AB0CF4" w14:textId="6748C1B1" w:rsidR="00155F40" w:rsidRDefault="00155F40" w:rsidP="00971C47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</w:t>
            </w:r>
          </w:p>
        </w:tc>
      </w:tr>
      <w:tr w:rsidR="00155F40" w:rsidRPr="003A7C7F" w14:paraId="3E0FFC36" w14:textId="77777777" w:rsidTr="00227994">
        <w:tc>
          <w:tcPr>
            <w:tcW w:w="2778" w:type="dxa"/>
          </w:tcPr>
          <w:p w14:paraId="7190A2B2" w14:textId="6D3B817C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SLC25A18</w:t>
            </w:r>
          </w:p>
        </w:tc>
        <w:tc>
          <w:tcPr>
            <w:tcW w:w="3264" w:type="dxa"/>
          </w:tcPr>
          <w:p w14:paraId="54BE76E8" w14:textId="1EE35840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-0.156260099815907</w:t>
            </w:r>
          </w:p>
        </w:tc>
        <w:tc>
          <w:tcPr>
            <w:tcW w:w="2254" w:type="dxa"/>
          </w:tcPr>
          <w:p w14:paraId="29E48005" w14:textId="12BD5FCD" w:rsidR="00155F40" w:rsidRDefault="00155F40" w:rsidP="00971C47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17</w:t>
            </w:r>
          </w:p>
        </w:tc>
      </w:tr>
      <w:tr w:rsidR="00155F40" w:rsidRPr="003A7C7F" w14:paraId="434B0AA4" w14:textId="77777777" w:rsidTr="00227994">
        <w:tc>
          <w:tcPr>
            <w:tcW w:w="2778" w:type="dxa"/>
          </w:tcPr>
          <w:p w14:paraId="6DEEFD3C" w14:textId="0610F911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PHYHD1</w:t>
            </w:r>
          </w:p>
        </w:tc>
        <w:tc>
          <w:tcPr>
            <w:tcW w:w="3264" w:type="dxa"/>
          </w:tcPr>
          <w:p w14:paraId="0475D492" w14:textId="542FC07D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0.338218868687728</w:t>
            </w:r>
          </w:p>
        </w:tc>
        <w:tc>
          <w:tcPr>
            <w:tcW w:w="2254" w:type="dxa"/>
          </w:tcPr>
          <w:p w14:paraId="37689C90" w14:textId="46F867E8" w:rsidR="00155F40" w:rsidRDefault="00155F40" w:rsidP="00971C47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18</w:t>
            </w:r>
          </w:p>
        </w:tc>
      </w:tr>
      <w:tr w:rsidR="00155F40" w:rsidRPr="003A7C7F" w14:paraId="0267B8FB" w14:textId="1C85E870" w:rsidTr="00227994">
        <w:tc>
          <w:tcPr>
            <w:tcW w:w="2778" w:type="dxa"/>
          </w:tcPr>
          <w:p w14:paraId="684DC380" w14:textId="02FCBAE7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3429256"/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ZYG11A</w:t>
            </w:r>
          </w:p>
        </w:tc>
        <w:tc>
          <w:tcPr>
            <w:tcW w:w="3264" w:type="dxa"/>
          </w:tcPr>
          <w:p w14:paraId="0A51E26A" w14:textId="35D022D5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-0.349470772714206</w:t>
            </w:r>
          </w:p>
        </w:tc>
        <w:tc>
          <w:tcPr>
            <w:tcW w:w="2254" w:type="dxa"/>
          </w:tcPr>
          <w:p w14:paraId="5832D911" w14:textId="6438BA40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19</w:t>
            </w:r>
          </w:p>
        </w:tc>
      </w:tr>
      <w:bookmarkEnd w:id="1"/>
      <w:tr w:rsidR="00155F40" w:rsidRPr="003A7C7F" w14:paraId="0B1A38A5" w14:textId="773548FD" w:rsidTr="00227994">
        <w:tc>
          <w:tcPr>
            <w:tcW w:w="2778" w:type="dxa"/>
          </w:tcPr>
          <w:p w14:paraId="0B20CC03" w14:textId="22461396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ADH1B</w:t>
            </w:r>
          </w:p>
        </w:tc>
        <w:tc>
          <w:tcPr>
            <w:tcW w:w="3264" w:type="dxa"/>
          </w:tcPr>
          <w:p w14:paraId="043F4A83" w14:textId="0300B0C5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0.23583162482902</w:t>
            </w:r>
          </w:p>
        </w:tc>
        <w:tc>
          <w:tcPr>
            <w:tcW w:w="2254" w:type="dxa"/>
          </w:tcPr>
          <w:p w14:paraId="523E1303" w14:textId="68A37BB5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</w:tr>
      <w:tr w:rsidR="00155F40" w:rsidRPr="003A7C7F" w14:paraId="7CFB2B30" w14:textId="326C32BB" w:rsidTr="00227994">
        <w:tc>
          <w:tcPr>
            <w:tcW w:w="2778" w:type="dxa"/>
          </w:tcPr>
          <w:p w14:paraId="07FBB623" w14:textId="08E8E874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CENPH</w:t>
            </w:r>
          </w:p>
        </w:tc>
        <w:tc>
          <w:tcPr>
            <w:tcW w:w="3264" w:type="dxa"/>
          </w:tcPr>
          <w:p w14:paraId="5E8705ED" w14:textId="74877CE4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-0.927836187544114</w:t>
            </w:r>
          </w:p>
        </w:tc>
        <w:tc>
          <w:tcPr>
            <w:tcW w:w="2254" w:type="dxa"/>
          </w:tcPr>
          <w:p w14:paraId="7BE30533" w14:textId="00600F0B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21</w:t>
            </w:r>
          </w:p>
        </w:tc>
      </w:tr>
      <w:tr w:rsidR="00155F40" w:rsidRPr="003A7C7F" w14:paraId="4EA8FC26" w14:textId="4F4B6A7D" w:rsidTr="00227994">
        <w:tc>
          <w:tcPr>
            <w:tcW w:w="2778" w:type="dxa"/>
          </w:tcPr>
          <w:p w14:paraId="4AB4C553" w14:textId="7A689457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NKX3-2</w:t>
            </w:r>
          </w:p>
        </w:tc>
        <w:tc>
          <w:tcPr>
            <w:tcW w:w="3264" w:type="dxa"/>
          </w:tcPr>
          <w:p w14:paraId="1402E8C8" w14:textId="0C994B49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0.13570428170474</w:t>
            </w:r>
          </w:p>
        </w:tc>
        <w:tc>
          <w:tcPr>
            <w:tcW w:w="2254" w:type="dxa"/>
          </w:tcPr>
          <w:p w14:paraId="1B412C15" w14:textId="7BD8753E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22</w:t>
            </w:r>
          </w:p>
        </w:tc>
      </w:tr>
      <w:tr w:rsidR="00155F40" w:rsidRPr="003A7C7F" w14:paraId="0F2015F7" w14:textId="2E44DFF8" w:rsidTr="00227994">
        <w:tc>
          <w:tcPr>
            <w:tcW w:w="2778" w:type="dxa"/>
          </w:tcPr>
          <w:p w14:paraId="43DE2030" w14:textId="18616702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FBXO5</w:t>
            </w:r>
          </w:p>
        </w:tc>
        <w:tc>
          <w:tcPr>
            <w:tcW w:w="3264" w:type="dxa"/>
          </w:tcPr>
          <w:p w14:paraId="3B8597DF" w14:textId="45D37EB9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-0.512369878657993</w:t>
            </w:r>
          </w:p>
        </w:tc>
        <w:tc>
          <w:tcPr>
            <w:tcW w:w="2254" w:type="dxa"/>
          </w:tcPr>
          <w:p w14:paraId="23510BBB" w14:textId="77E5B0B3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23</w:t>
            </w:r>
          </w:p>
        </w:tc>
      </w:tr>
      <w:tr w:rsidR="00155F40" w:rsidRPr="003A7C7F" w14:paraId="0004D019" w14:textId="773BC837" w:rsidTr="00227994">
        <w:tc>
          <w:tcPr>
            <w:tcW w:w="2778" w:type="dxa"/>
          </w:tcPr>
          <w:p w14:paraId="5CF750F0" w14:textId="457C983A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CYS1</w:t>
            </w:r>
          </w:p>
        </w:tc>
        <w:tc>
          <w:tcPr>
            <w:tcW w:w="3264" w:type="dxa"/>
          </w:tcPr>
          <w:p w14:paraId="16E8E779" w14:textId="17568FA6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-0.150082924282417</w:t>
            </w:r>
          </w:p>
        </w:tc>
        <w:tc>
          <w:tcPr>
            <w:tcW w:w="2254" w:type="dxa"/>
          </w:tcPr>
          <w:p w14:paraId="4B7CEA87" w14:textId="7B1D6AEE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</w:t>
            </w:r>
          </w:p>
        </w:tc>
      </w:tr>
      <w:tr w:rsidR="00155F40" w:rsidRPr="003A7C7F" w14:paraId="0D663E03" w14:textId="123E2353" w:rsidTr="00227994">
        <w:tc>
          <w:tcPr>
            <w:tcW w:w="2778" w:type="dxa"/>
          </w:tcPr>
          <w:p w14:paraId="53AFF8F7" w14:textId="2E0DF4A0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FAM167A</w:t>
            </w:r>
          </w:p>
        </w:tc>
        <w:tc>
          <w:tcPr>
            <w:tcW w:w="3264" w:type="dxa"/>
          </w:tcPr>
          <w:p w14:paraId="20EF0A2E" w14:textId="6E09126A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-0.168305768491048</w:t>
            </w:r>
          </w:p>
        </w:tc>
        <w:tc>
          <w:tcPr>
            <w:tcW w:w="2254" w:type="dxa"/>
          </w:tcPr>
          <w:p w14:paraId="74DDD84D" w14:textId="3F3D263F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</w:p>
        </w:tc>
      </w:tr>
      <w:tr w:rsidR="00155F40" w:rsidRPr="003A7C7F" w14:paraId="5465D8E1" w14:textId="7DC0082A" w:rsidTr="00227994">
        <w:tc>
          <w:tcPr>
            <w:tcW w:w="2778" w:type="dxa"/>
          </w:tcPr>
          <w:p w14:paraId="2665AE84" w14:textId="681D5FEE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SLC15A5</w:t>
            </w:r>
          </w:p>
        </w:tc>
        <w:tc>
          <w:tcPr>
            <w:tcW w:w="3264" w:type="dxa"/>
          </w:tcPr>
          <w:p w14:paraId="25E4C4FD" w14:textId="7FF895D4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7F">
              <w:rPr>
                <w:rFonts w:ascii="Times New Roman" w:hAnsi="Times New Roman" w:cs="Times New Roman"/>
                <w:sz w:val="24"/>
                <w:szCs w:val="24"/>
              </w:rPr>
              <w:t>0.327660625305897</w:t>
            </w:r>
          </w:p>
        </w:tc>
        <w:tc>
          <w:tcPr>
            <w:tcW w:w="2254" w:type="dxa"/>
          </w:tcPr>
          <w:p w14:paraId="4B063FBF" w14:textId="4AE7428A" w:rsidR="00155F40" w:rsidRPr="003A7C7F" w:rsidRDefault="00155F40" w:rsidP="0097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</w:p>
        </w:tc>
      </w:tr>
    </w:tbl>
    <w:p w14:paraId="31FD8BA8" w14:textId="17FD4B42" w:rsidR="005255FB" w:rsidRPr="003A7C7F" w:rsidRDefault="005255FB" w:rsidP="00BF20A7">
      <w:pPr>
        <w:rPr>
          <w:rFonts w:ascii="Times New Roman" w:hAnsi="Times New Roman" w:cs="Times New Roman"/>
          <w:sz w:val="24"/>
          <w:szCs w:val="24"/>
        </w:rPr>
      </w:pPr>
    </w:p>
    <w:p w14:paraId="6B3CE536" w14:textId="1A323857" w:rsidR="00BF20A7" w:rsidRPr="003A7C7F" w:rsidRDefault="00BF20A7" w:rsidP="00BF20A7">
      <w:pPr>
        <w:rPr>
          <w:rFonts w:ascii="Times New Roman" w:hAnsi="Times New Roman" w:cs="Times New Roman"/>
          <w:sz w:val="24"/>
          <w:szCs w:val="24"/>
        </w:rPr>
      </w:pPr>
    </w:p>
    <w:p w14:paraId="08F8E295" w14:textId="61397CE6" w:rsidR="00BF20A7" w:rsidRDefault="00BF20A7" w:rsidP="00BF20A7">
      <w:pPr>
        <w:rPr>
          <w:rFonts w:ascii="Times New Roman" w:hAnsi="Times New Roman" w:cs="Times New Roman"/>
          <w:sz w:val="24"/>
          <w:szCs w:val="24"/>
        </w:rPr>
      </w:pPr>
    </w:p>
    <w:p w14:paraId="7579658F" w14:textId="4D3A0F44" w:rsidR="00155061" w:rsidRDefault="00155061" w:rsidP="00BF20A7">
      <w:pPr>
        <w:rPr>
          <w:rFonts w:ascii="Times New Roman" w:hAnsi="Times New Roman" w:cs="Times New Roman"/>
          <w:sz w:val="24"/>
          <w:szCs w:val="24"/>
        </w:rPr>
      </w:pPr>
    </w:p>
    <w:p w14:paraId="47688855" w14:textId="2A7018A9" w:rsidR="00155061" w:rsidRDefault="00155061" w:rsidP="00BF20A7">
      <w:pPr>
        <w:rPr>
          <w:rFonts w:ascii="Times New Roman" w:hAnsi="Times New Roman" w:cs="Times New Roman" w:hint="eastAsia"/>
          <w:sz w:val="24"/>
          <w:szCs w:val="24"/>
        </w:rPr>
      </w:pPr>
      <w:r w:rsidRPr="00155061">
        <w:rPr>
          <w:rFonts w:ascii="Times New Roman" w:hAnsi="Times New Roman" w:cs="Times New Roman"/>
          <w:sz w:val="24"/>
          <w:szCs w:val="24"/>
        </w:rPr>
        <w:t>References</w:t>
      </w:r>
      <w:r>
        <w:rPr>
          <w:rFonts w:ascii="Times New Roman" w:hAnsi="Times New Roman" w:cs="Times New Roman" w:hint="eastAsia"/>
          <w:sz w:val="24"/>
          <w:szCs w:val="24"/>
        </w:rPr>
        <w:t>:</w:t>
      </w:r>
    </w:p>
    <w:p w14:paraId="0F9152C6" w14:textId="77777777" w:rsidR="00155061" w:rsidRPr="003A7C7F" w:rsidRDefault="00155061" w:rsidP="00BF20A7">
      <w:pPr>
        <w:rPr>
          <w:rFonts w:ascii="Times New Roman" w:hAnsi="Times New Roman" w:cs="Times New Roman" w:hint="eastAsia"/>
          <w:sz w:val="24"/>
          <w:szCs w:val="24"/>
        </w:rPr>
      </w:pPr>
    </w:p>
    <w:p w14:paraId="64B2561A" w14:textId="3219CFC1" w:rsidR="003A7C7F" w:rsidRPr="003A7C7F" w:rsidRDefault="003A7C7F" w:rsidP="003A7C7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3A7C7F">
        <w:rPr>
          <w:rFonts w:ascii="Times New Roman" w:hAnsi="Times New Roman" w:cs="Times New Roman"/>
          <w:b/>
          <w:sz w:val="24"/>
          <w:szCs w:val="24"/>
        </w:rPr>
        <w:t>.</w:t>
      </w:r>
      <w:r w:rsidRPr="003A7C7F">
        <w:rPr>
          <w:rFonts w:ascii="Times New Roman" w:hAnsi="Times New Roman" w:cs="Times New Roman"/>
          <w:sz w:val="24"/>
          <w:szCs w:val="24"/>
        </w:rPr>
        <w:tab/>
        <w:t xml:space="preserve">Televantou D, Karkavelas G, Hytiroglou P, et al. DARPP32, STAT5 and STAT3 mRNA expression ratios in glioblastomas are associated with patient outcome. </w:t>
      </w:r>
      <w:r w:rsidRPr="003A7C7F">
        <w:rPr>
          <w:rFonts w:ascii="Times New Roman" w:hAnsi="Times New Roman" w:cs="Times New Roman"/>
          <w:i/>
          <w:sz w:val="24"/>
          <w:szCs w:val="24"/>
        </w:rPr>
        <w:t xml:space="preserve">Pathol Oncol Res. </w:t>
      </w:r>
      <w:r w:rsidRPr="003A7C7F">
        <w:rPr>
          <w:rFonts w:ascii="Times New Roman" w:hAnsi="Times New Roman" w:cs="Times New Roman"/>
          <w:sz w:val="24"/>
          <w:szCs w:val="24"/>
        </w:rPr>
        <w:t>2013; 19(2):329-343.</w:t>
      </w:r>
    </w:p>
    <w:p w14:paraId="289E1FD4" w14:textId="2344004A" w:rsidR="003A7C7F" w:rsidRPr="003A7C7F" w:rsidRDefault="003A7C7F" w:rsidP="003A7C7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A7C7F">
        <w:rPr>
          <w:rFonts w:ascii="Times New Roman" w:hAnsi="Times New Roman" w:cs="Times New Roman"/>
          <w:b/>
          <w:sz w:val="24"/>
          <w:szCs w:val="24"/>
        </w:rPr>
        <w:t>2.</w:t>
      </w:r>
      <w:r w:rsidRPr="003A7C7F">
        <w:rPr>
          <w:rFonts w:ascii="Times New Roman" w:hAnsi="Times New Roman" w:cs="Times New Roman"/>
          <w:sz w:val="24"/>
          <w:szCs w:val="24"/>
        </w:rPr>
        <w:tab/>
        <w:t xml:space="preserve">Wu M, Li X, Liu Q, Xie Y, Yuan J, Wanggou S. miR-526b-3p serves as a prognostic factor and regulates the proliferation, invasion, and migration of glioma through targeting WEE1. </w:t>
      </w:r>
      <w:r w:rsidRPr="003A7C7F">
        <w:rPr>
          <w:rFonts w:ascii="Times New Roman" w:hAnsi="Times New Roman" w:cs="Times New Roman"/>
          <w:i/>
          <w:sz w:val="24"/>
          <w:szCs w:val="24"/>
        </w:rPr>
        <w:t xml:space="preserve">Cancer Manag Res. </w:t>
      </w:r>
      <w:r w:rsidRPr="003A7C7F">
        <w:rPr>
          <w:rFonts w:ascii="Times New Roman" w:hAnsi="Times New Roman" w:cs="Times New Roman"/>
          <w:sz w:val="24"/>
          <w:szCs w:val="24"/>
        </w:rPr>
        <w:t>2019; 11:3099-3110.</w:t>
      </w:r>
    </w:p>
    <w:p w14:paraId="5537CF92" w14:textId="42B1AF73" w:rsidR="003A7C7F" w:rsidRPr="003A7C7F" w:rsidRDefault="003A7C7F" w:rsidP="003A7C7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3A7C7F">
        <w:rPr>
          <w:rFonts w:ascii="Times New Roman" w:hAnsi="Times New Roman" w:cs="Times New Roman"/>
          <w:b/>
          <w:sz w:val="24"/>
          <w:szCs w:val="24"/>
        </w:rPr>
        <w:t>.</w:t>
      </w:r>
      <w:r w:rsidRPr="003A7C7F">
        <w:rPr>
          <w:rFonts w:ascii="Times New Roman" w:hAnsi="Times New Roman" w:cs="Times New Roman"/>
          <w:sz w:val="24"/>
          <w:szCs w:val="24"/>
        </w:rPr>
        <w:tab/>
        <w:t xml:space="preserve">Huang RQ, Wang SQ, Zhu QB, et al. Knockdown of PEBP4 inhibits human glioma cell growth and invasive potential via ERK1/2 signaling pathway. </w:t>
      </w:r>
      <w:r w:rsidRPr="003A7C7F">
        <w:rPr>
          <w:rFonts w:ascii="Times New Roman" w:hAnsi="Times New Roman" w:cs="Times New Roman"/>
          <w:i/>
          <w:sz w:val="24"/>
          <w:szCs w:val="24"/>
        </w:rPr>
        <w:t xml:space="preserve">Mol Carcinog. </w:t>
      </w:r>
      <w:r w:rsidRPr="003A7C7F">
        <w:rPr>
          <w:rFonts w:ascii="Times New Roman" w:hAnsi="Times New Roman" w:cs="Times New Roman"/>
          <w:sz w:val="24"/>
          <w:szCs w:val="24"/>
        </w:rPr>
        <w:t>2019; 58(1):135-143.</w:t>
      </w:r>
    </w:p>
    <w:p w14:paraId="5922FFC9" w14:textId="1D6A1F0C" w:rsidR="003A7C7F" w:rsidRPr="003A7C7F" w:rsidRDefault="003A7C7F" w:rsidP="003A7C7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4</w:t>
      </w:r>
      <w:r w:rsidRPr="003A7C7F">
        <w:rPr>
          <w:rFonts w:ascii="Times New Roman" w:hAnsi="Times New Roman" w:cs="Times New Roman"/>
          <w:b/>
          <w:sz w:val="24"/>
          <w:szCs w:val="24"/>
        </w:rPr>
        <w:t>.</w:t>
      </w:r>
      <w:r w:rsidRPr="003A7C7F">
        <w:rPr>
          <w:rFonts w:ascii="Times New Roman" w:hAnsi="Times New Roman" w:cs="Times New Roman"/>
          <w:sz w:val="24"/>
          <w:szCs w:val="24"/>
        </w:rPr>
        <w:tab/>
        <w:t xml:space="preserve">Vastrad B, Vastrad C, Godavarthi A, Chandrashekar R. Molecular mechanisms underlying gliomas and glioblastoma pathogenesis revealed by bioinformatics analysis of microarray data. </w:t>
      </w:r>
      <w:r w:rsidRPr="003A7C7F">
        <w:rPr>
          <w:rFonts w:ascii="Times New Roman" w:hAnsi="Times New Roman" w:cs="Times New Roman"/>
          <w:i/>
          <w:sz w:val="24"/>
          <w:szCs w:val="24"/>
        </w:rPr>
        <w:t xml:space="preserve">Med Oncol. </w:t>
      </w:r>
      <w:r w:rsidRPr="003A7C7F">
        <w:rPr>
          <w:rFonts w:ascii="Times New Roman" w:hAnsi="Times New Roman" w:cs="Times New Roman"/>
          <w:sz w:val="24"/>
          <w:szCs w:val="24"/>
        </w:rPr>
        <w:t>2017; 34(11):182.</w:t>
      </w:r>
    </w:p>
    <w:p w14:paraId="2EBBA381" w14:textId="16BF4866" w:rsidR="003A7C7F" w:rsidRPr="003A7C7F" w:rsidRDefault="003A7C7F" w:rsidP="003A7C7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5</w:t>
      </w:r>
      <w:r w:rsidRPr="003A7C7F">
        <w:rPr>
          <w:rFonts w:ascii="Times New Roman" w:hAnsi="Times New Roman" w:cs="Times New Roman"/>
          <w:b/>
          <w:sz w:val="24"/>
          <w:szCs w:val="24"/>
        </w:rPr>
        <w:t>.</w:t>
      </w:r>
      <w:r w:rsidRPr="003A7C7F">
        <w:rPr>
          <w:rFonts w:ascii="Times New Roman" w:hAnsi="Times New Roman" w:cs="Times New Roman"/>
          <w:sz w:val="24"/>
          <w:szCs w:val="24"/>
        </w:rPr>
        <w:tab/>
        <w:t xml:space="preserve">Leventoux N, Augustus M, Azar S, et al. Transformation Foci in IDH1-mutated Gliomas Show STAT3 Phosphorylation and Downregulate the Metabolic Enzyme ETNPPL, a Negative Regulator of Glioma Growth. </w:t>
      </w:r>
      <w:r w:rsidRPr="003A7C7F">
        <w:rPr>
          <w:rFonts w:ascii="Times New Roman" w:hAnsi="Times New Roman" w:cs="Times New Roman"/>
          <w:i/>
          <w:sz w:val="24"/>
          <w:szCs w:val="24"/>
        </w:rPr>
        <w:t xml:space="preserve">Sci Rep. </w:t>
      </w:r>
      <w:r w:rsidRPr="003A7C7F">
        <w:rPr>
          <w:rFonts w:ascii="Times New Roman" w:hAnsi="Times New Roman" w:cs="Times New Roman"/>
          <w:sz w:val="24"/>
          <w:szCs w:val="24"/>
        </w:rPr>
        <w:t>2020; 10(1):5504.</w:t>
      </w:r>
    </w:p>
    <w:p w14:paraId="6F7C4B66" w14:textId="6FE2201D" w:rsidR="003A7C7F" w:rsidRPr="003A7C7F" w:rsidRDefault="003A7C7F" w:rsidP="003A7C7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6</w:t>
      </w:r>
      <w:r w:rsidRPr="003A7C7F">
        <w:rPr>
          <w:rFonts w:ascii="Times New Roman" w:hAnsi="Times New Roman" w:cs="Times New Roman"/>
          <w:b/>
          <w:sz w:val="24"/>
          <w:szCs w:val="24"/>
        </w:rPr>
        <w:t>.</w:t>
      </w:r>
      <w:r w:rsidRPr="003A7C7F">
        <w:rPr>
          <w:rFonts w:ascii="Times New Roman" w:hAnsi="Times New Roman" w:cs="Times New Roman"/>
          <w:sz w:val="24"/>
          <w:szCs w:val="24"/>
        </w:rPr>
        <w:tab/>
        <w:t xml:space="preserve">Ye X, Anjum K, Song T, et al. Antiproliferative cyclodepsipeptides from the marine actinomycete Streptomyces sp. P11-23B downregulating the tumor metabolic enzymes of glycolysis, glutaminolysis, and lipogenesis. </w:t>
      </w:r>
      <w:r w:rsidRPr="003A7C7F">
        <w:rPr>
          <w:rFonts w:ascii="Times New Roman" w:hAnsi="Times New Roman" w:cs="Times New Roman"/>
          <w:i/>
          <w:sz w:val="24"/>
          <w:szCs w:val="24"/>
        </w:rPr>
        <w:t xml:space="preserve">Phytochemistry. </w:t>
      </w:r>
      <w:r w:rsidRPr="003A7C7F">
        <w:rPr>
          <w:rFonts w:ascii="Times New Roman" w:hAnsi="Times New Roman" w:cs="Times New Roman"/>
          <w:sz w:val="24"/>
          <w:szCs w:val="24"/>
        </w:rPr>
        <w:t>2017; 135:151-159.</w:t>
      </w:r>
    </w:p>
    <w:p w14:paraId="0E658976" w14:textId="720B0359" w:rsidR="003A7C7F" w:rsidRPr="003A7C7F" w:rsidRDefault="003A7C7F" w:rsidP="003A7C7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7</w:t>
      </w:r>
      <w:r w:rsidRPr="003A7C7F">
        <w:rPr>
          <w:rFonts w:ascii="Times New Roman" w:hAnsi="Times New Roman" w:cs="Times New Roman"/>
          <w:b/>
          <w:sz w:val="24"/>
          <w:szCs w:val="24"/>
        </w:rPr>
        <w:t>.</w:t>
      </w:r>
      <w:r w:rsidRPr="003A7C7F">
        <w:rPr>
          <w:rFonts w:ascii="Times New Roman" w:hAnsi="Times New Roman" w:cs="Times New Roman"/>
          <w:sz w:val="24"/>
          <w:szCs w:val="24"/>
        </w:rPr>
        <w:tab/>
        <w:t xml:space="preserve">Diesel B, Radermacher J, Bureik M, et al. Vitamin D(3) metabolism in human glioblastoma multiforme: functionality of CYP27B1 splice variants, metabolism of calcidiol, and effect of calcitriol. </w:t>
      </w:r>
      <w:r w:rsidRPr="003A7C7F">
        <w:rPr>
          <w:rFonts w:ascii="Times New Roman" w:hAnsi="Times New Roman" w:cs="Times New Roman"/>
          <w:i/>
          <w:sz w:val="24"/>
          <w:szCs w:val="24"/>
        </w:rPr>
        <w:t xml:space="preserve">Clin Cancer Res. </w:t>
      </w:r>
      <w:r w:rsidRPr="003A7C7F">
        <w:rPr>
          <w:rFonts w:ascii="Times New Roman" w:hAnsi="Times New Roman" w:cs="Times New Roman"/>
          <w:sz w:val="24"/>
          <w:szCs w:val="24"/>
        </w:rPr>
        <w:t>2005; 11(15):5370-5380.</w:t>
      </w:r>
    </w:p>
    <w:p w14:paraId="68571BA7" w14:textId="67460B5E" w:rsidR="003A7C7F" w:rsidRPr="003A7C7F" w:rsidRDefault="003A7C7F" w:rsidP="003A7C7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8</w:t>
      </w:r>
      <w:r w:rsidRPr="003A7C7F">
        <w:rPr>
          <w:rFonts w:ascii="Times New Roman" w:hAnsi="Times New Roman" w:cs="Times New Roman"/>
          <w:b/>
          <w:sz w:val="24"/>
          <w:szCs w:val="24"/>
        </w:rPr>
        <w:t>.</w:t>
      </w:r>
      <w:r w:rsidRPr="003A7C7F">
        <w:rPr>
          <w:rFonts w:ascii="Times New Roman" w:hAnsi="Times New Roman" w:cs="Times New Roman"/>
          <w:sz w:val="24"/>
          <w:szCs w:val="24"/>
        </w:rPr>
        <w:tab/>
        <w:t xml:space="preserve">Riabovol OO, Tsymbal DO, Minchenko DO, et al. Effect of glucose deprivation on the expression of genes encoding glucocorticoid receptor and some related factors in ERN1-knockdown U87 glioma cells. </w:t>
      </w:r>
      <w:r w:rsidRPr="003A7C7F">
        <w:rPr>
          <w:rFonts w:ascii="Times New Roman" w:hAnsi="Times New Roman" w:cs="Times New Roman"/>
          <w:i/>
          <w:sz w:val="24"/>
          <w:szCs w:val="24"/>
        </w:rPr>
        <w:t xml:space="preserve">Endocr Regul. </w:t>
      </w:r>
      <w:r w:rsidRPr="003A7C7F">
        <w:rPr>
          <w:rFonts w:ascii="Times New Roman" w:hAnsi="Times New Roman" w:cs="Times New Roman"/>
          <w:sz w:val="24"/>
          <w:szCs w:val="24"/>
        </w:rPr>
        <w:t>2019; 53(4):237-249.</w:t>
      </w:r>
    </w:p>
    <w:p w14:paraId="70CCC0D0" w14:textId="1ED6FFB5" w:rsidR="003A7C7F" w:rsidRPr="003A7C7F" w:rsidRDefault="0006334A" w:rsidP="003A7C7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9</w:t>
      </w:r>
      <w:r w:rsidR="003A7C7F" w:rsidRPr="003A7C7F">
        <w:rPr>
          <w:rFonts w:ascii="Times New Roman" w:hAnsi="Times New Roman" w:cs="Times New Roman"/>
          <w:b/>
          <w:sz w:val="24"/>
          <w:szCs w:val="24"/>
        </w:rPr>
        <w:t>.</w:t>
      </w:r>
      <w:r w:rsidR="003A7C7F" w:rsidRPr="003A7C7F">
        <w:rPr>
          <w:rFonts w:ascii="Times New Roman" w:hAnsi="Times New Roman" w:cs="Times New Roman"/>
          <w:sz w:val="24"/>
          <w:szCs w:val="24"/>
        </w:rPr>
        <w:tab/>
        <w:t xml:space="preserve">Yu ST, Sun BH, Ge JN, et al. CRLF1-MYH9 Interaction Regulates Proliferation and Metastasis of Papillary Thyroid Carcinoma Through the ERK/ETV4 Axis. </w:t>
      </w:r>
      <w:r w:rsidR="003A7C7F" w:rsidRPr="003A7C7F">
        <w:rPr>
          <w:rFonts w:ascii="Times New Roman" w:hAnsi="Times New Roman" w:cs="Times New Roman"/>
          <w:i/>
          <w:sz w:val="24"/>
          <w:szCs w:val="24"/>
        </w:rPr>
        <w:t xml:space="preserve">Front Endocrinol (Lausanne). </w:t>
      </w:r>
      <w:r w:rsidR="003A7C7F" w:rsidRPr="003A7C7F">
        <w:rPr>
          <w:rFonts w:ascii="Times New Roman" w:hAnsi="Times New Roman" w:cs="Times New Roman"/>
          <w:sz w:val="24"/>
          <w:szCs w:val="24"/>
        </w:rPr>
        <w:t>2020; 11:535.</w:t>
      </w:r>
    </w:p>
    <w:p w14:paraId="7A0DE205" w14:textId="02D29370" w:rsidR="003A7C7F" w:rsidRPr="003A7C7F" w:rsidRDefault="0006334A" w:rsidP="003A7C7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10</w:t>
      </w:r>
      <w:r w:rsidR="003A7C7F" w:rsidRPr="003A7C7F">
        <w:rPr>
          <w:rFonts w:ascii="Times New Roman" w:hAnsi="Times New Roman" w:cs="Times New Roman"/>
          <w:b/>
          <w:sz w:val="24"/>
          <w:szCs w:val="24"/>
        </w:rPr>
        <w:t>.</w:t>
      </w:r>
      <w:r w:rsidR="003A7C7F" w:rsidRPr="003A7C7F">
        <w:rPr>
          <w:rFonts w:ascii="Times New Roman" w:hAnsi="Times New Roman" w:cs="Times New Roman"/>
          <w:sz w:val="24"/>
          <w:szCs w:val="24"/>
        </w:rPr>
        <w:tab/>
        <w:t xml:space="preserve">Zhang G, Dong Z, Prager BC, et al. Chromatin remodeler HELLS maintains glioma stem cells through E2F3 and MYC. </w:t>
      </w:r>
      <w:r w:rsidR="003A7C7F" w:rsidRPr="003A7C7F">
        <w:rPr>
          <w:rFonts w:ascii="Times New Roman" w:hAnsi="Times New Roman" w:cs="Times New Roman"/>
          <w:i/>
          <w:sz w:val="24"/>
          <w:szCs w:val="24"/>
        </w:rPr>
        <w:t xml:space="preserve">JCI Insight. </w:t>
      </w:r>
      <w:r w:rsidR="003A7C7F" w:rsidRPr="003A7C7F">
        <w:rPr>
          <w:rFonts w:ascii="Times New Roman" w:hAnsi="Times New Roman" w:cs="Times New Roman"/>
          <w:sz w:val="24"/>
          <w:szCs w:val="24"/>
        </w:rPr>
        <w:t>2019; 4(7).</w:t>
      </w:r>
    </w:p>
    <w:p w14:paraId="01A4E0C4" w14:textId="71895836" w:rsidR="003A7C7F" w:rsidRPr="003A7C7F" w:rsidRDefault="0006334A" w:rsidP="003A7C7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11</w:t>
      </w:r>
      <w:r w:rsidR="003A7C7F" w:rsidRPr="003A7C7F">
        <w:rPr>
          <w:rFonts w:ascii="Times New Roman" w:hAnsi="Times New Roman" w:cs="Times New Roman"/>
          <w:b/>
          <w:sz w:val="24"/>
          <w:szCs w:val="24"/>
        </w:rPr>
        <w:t>.</w:t>
      </w:r>
      <w:r w:rsidR="003A7C7F" w:rsidRPr="003A7C7F">
        <w:rPr>
          <w:rFonts w:ascii="Times New Roman" w:hAnsi="Times New Roman" w:cs="Times New Roman"/>
          <w:sz w:val="24"/>
          <w:szCs w:val="24"/>
        </w:rPr>
        <w:tab/>
        <w:t xml:space="preserve">Zhang X, Lv QL, Huang YT, Zhang LH, Zhou HH. Akt/FoxM1 signaling pathway-mediated upregulation of MYBL2 promotes progression of human glioma. </w:t>
      </w:r>
      <w:r w:rsidR="003A7C7F" w:rsidRPr="003A7C7F">
        <w:rPr>
          <w:rFonts w:ascii="Times New Roman" w:hAnsi="Times New Roman" w:cs="Times New Roman"/>
          <w:i/>
          <w:sz w:val="24"/>
          <w:szCs w:val="24"/>
        </w:rPr>
        <w:t xml:space="preserve">J Exp Clin Cancer Res. </w:t>
      </w:r>
      <w:r w:rsidR="003A7C7F" w:rsidRPr="003A7C7F">
        <w:rPr>
          <w:rFonts w:ascii="Times New Roman" w:hAnsi="Times New Roman" w:cs="Times New Roman"/>
          <w:sz w:val="24"/>
          <w:szCs w:val="24"/>
        </w:rPr>
        <w:t>2017; 36(1):105.</w:t>
      </w:r>
    </w:p>
    <w:p w14:paraId="2D4F77ED" w14:textId="7F576C11" w:rsidR="003A7C7F" w:rsidRPr="003A7C7F" w:rsidRDefault="0006334A" w:rsidP="003A7C7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12</w:t>
      </w:r>
      <w:r w:rsidR="003A7C7F" w:rsidRPr="003A7C7F">
        <w:rPr>
          <w:rFonts w:ascii="Times New Roman" w:hAnsi="Times New Roman" w:cs="Times New Roman"/>
          <w:b/>
          <w:sz w:val="24"/>
          <w:szCs w:val="24"/>
        </w:rPr>
        <w:t>.</w:t>
      </w:r>
      <w:r w:rsidR="003A7C7F" w:rsidRPr="003A7C7F">
        <w:rPr>
          <w:rFonts w:ascii="Times New Roman" w:hAnsi="Times New Roman" w:cs="Times New Roman"/>
          <w:sz w:val="24"/>
          <w:szCs w:val="24"/>
        </w:rPr>
        <w:tab/>
        <w:t xml:space="preserve">Zhou Y, Zhang L, Song S, et al. Elevated GAS2L3 Expression Correlates With Poor Prognosis in Patients With Glioma: A Study Based on Bioinformatics and Immunohistochemical Analysis. </w:t>
      </w:r>
      <w:r w:rsidR="003A7C7F" w:rsidRPr="003A7C7F">
        <w:rPr>
          <w:rFonts w:ascii="Times New Roman" w:hAnsi="Times New Roman" w:cs="Times New Roman"/>
          <w:i/>
          <w:sz w:val="24"/>
          <w:szCs w:val="24"/>
        </w:rPr>
        <w:t xml:space="preserve">Front Genet. </w:t>
      </w:r>
      <w:r w:rsidR="003A7C7F" w:rsidRPr="003A7C7F">
        <w:rPr>
          <w:rFonts w:ascii="Times New Roman" w:hAnsi="Times New Roman" w:cs="Times New Roman"/>
          <w:sz w:val="24"/>
          <w:szCs w:val="24"/>
        </w:rPr>
        <w:t>2021; 12:649270.</w:t>
      </w:r>
    </w:p>
    <w:p w14:paraId="5CB885D4" w14:textId="0E7BC3E3" w:rsidR="003A7C7F" w:rsidRPr="003A7C7F" w:rsidRDefault="0006334A" w:rsidP="003A7C7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13</w:t>
      </w:r>
      <w:r w:rsidR="003A7C7F" w:rsidRPr="003A7C7F">
        <w:rPr>
          <w:rFonts w:ascii="Times New Roman" w:hAnsi="Times New Roman" w:cs="Times New Roman"/>
          <w:b/>
          <w:sz w:val="24"/>
          <w:szCs w:val="24"/>
        </w:rPr>
        <w:t>.</w:t>
      </w:r>
      <w:r w:rsidR="003A7C7F" w:rsidRPr="003A7C7F">
        <w:rPr>
          <w:rFonts w:ascii="Times New Roman" w:hAnsi="Times New Roman" w:cs="Times New Roman"/>
          <w:sz w:val="24"/>
          <w:szCs w:val="24"/>
        </w:rPr>
        <w:tab/>
        <w:t xml:space="preserve">Chen Y, Zhao F, Cui D, et al. HOXD-AS1/miR-130a sponge regulates glioma development by targeting E2F8. </w:t>
      </w:r>
      <w:r w:rsidR="003A7C7F" w:rsidRPr="003A7C7F">
        <w:rPr>
          <w:rFonts w:ascii="Times New Roman" w:hAnsi="Times New Roman" w:cs="Times New Roman"/>
          <w:i/>
          <w:sz w:val="24"/>
          <w:szCs w:val="24"/>
        </w:rPr>
        <w:t xml:space="preserve">Int J Cancer. </w:t>
      </w:r>
      <w:r w:rsidR="003A7C7F" w:rsidRPr="003A7C7F">
        <w:rPr>
          <w:rFonts w:ascii="Times New Roman" w:hAnsi="Times New Roman" w:cs="Times New Roman"/>
          <w:sz w:val="24"/>
          <w:szCs w:val="24"/>
        </w:rPr>
        <w:t>2018; 142(11):2313-2322.</w:t>
      </w:r>
    </w:p>
    <w:p w14:paraId="2DF30D57" w14:textId="7EAABA0C" w:rsidR="003A7C7F" w:rsidRPr="003A7C7F" w:rsidRDefault="0006334A" w:rsidP="003A7C7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14</w:t>
      </w:r>
      <w:r w:rsidR="003A7C7F" w:rsidRPr="003A7C7F">
        <w:rPr>
          <w:rFonts w:ascii="Times New Roman" w:hAnsi="Times New Roman" w:cs="Times New Roman"/>
          <w:b/>
          <w:sz w:val="24"/>
          <w:szCs w:val="24"/>
        </w:rPr>
        <w:t>.</w:t>
      </w:r>
      <w:r w:rsidR="003A7C7F" w:rsidRPr="003A7C7F">
        <w:rPr>
          <w:rFonts w:ascii="Times New Roman" w:hAnsi="Times New Roman" w:cs="Times New Roman"/>
          <w:sz w:val="24"/>
          <w:szCs w:val="24"/>
        </w:rPr>
        <w:tab/>
        <w:t xml:space="preserve">Chen X, Zhang Y, Shi Y, et al. MiR-129 triggers autophagic flux by regulating a novel Notch-1/ E2F7/Beclin-1 axis to impair the viability of human malignant glioma cells. </w:t>
      </w:r>
      <w:r w:rsidR="003A7C7F" w:rsidRPr="003A7C7F">
        <w:rPr>
          <w:rFonts w:ascii="Times New Roman" w:hAnsi="Times New Roman" w:cs="Times New Roman"/>
          <w:i/>
          <w:sz w:val="24"/>
          <w:szCs w:val="24"/>
        </w:rPr>
        <w:t xml:space="preserve">Oncotarget. </w:t>
      </w:r>
      <w:r w:rsidR="003A7C7F" w:rsidRPr="003A7C7F">
        <w:rPr>
          <w:rFonts w:ascii="Times New Roman" w:hAnsi="Times New Roman" w:cs="Times New Roman"/>
          <w:sz w:val="24"/>
          <w:szCs w:val="24"/>
        </w:rPr>
        <w:t>2016; 7(8):9222-9235.</w:t>
      </w:r>
    </w:p>
    <w:p w14:paraId="60539360" w14:textId="18ACCA72" w:rsidR="003A7C7F" w:rsidRPr="003A7C7F" w:rsidRDefault="0006334A" w:rsidP="003A7C7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15</w:t>
      </w:r>
      <w:r w:rsidR="003A7C7F" w:rsidRPr="003A7C7F">
        <w:rPr>
          <w:rFonts w:ascii="Times New Roman" w:hAnsi="Times New Roman" w:cs="Times New Roman"/>
          <w:b/>
          <w:sz w:val="24"/>
          <w:szCs w:val="24"/>
        </w:rPr>
        <w:t>.</w:t>
      </w:r>
      <w:r w:rsidR="003A7C7F" w:rsidRPr="003A7C7F">
        <w:rPr>
          <w:rFonts w:ascii="Times New Roman" w:hAnsi="Times New Roman" w:cs="Times New Roman"/>
          <w:sz w:val="24"/>
          <w:szCs w:val="24"/>
        </w:rPr>
        <w:tab/>
        <w:t xml:space="preserve">Melling N, Rashed M, Schroeder C, et al. High-Level γ-Glutamyl-Hydrolase (GGH) Expression is Linked to Poor Prognosis in ERG Negative Prostate Cancer. </w:t>
      </w:r>
      <w:r w:rsidR="003A7C7F" w:rsidRPr="003A7C7F">
        <w:rPr>
          <w:rFonts w:ascii="Times New Roman" w:hAnsi="Times New Roman" w:cs="Times New Roman"/>
          <w:i/>
          <w:sz w:val="24"/>
          <w:szCs w:val="24"/>
        </w:rPr>
        <w:t xml:space="preserve">Int J Mol Sci. </w:t>
      </w:r>
      <w:r w:rsidR="003A7C7F" w:rsidRPr="003A7C7F">
        <w:rPr>
          <w:rFonts w:ascii="Times New Roman" w:hAnsi="Times New Roman" w:cs="Times New Roman"/>
          <w:sz w:val="24"/>
          <w:szCs w:val="24"/>
        </w:rPr>
        <w:t>2017; 18(2).</w:t>
      </w:r>
    </w:p>
    <w:p w14:paraId="0149C2BD" w14:textId="215F26BD" w:rsidR="003A7C7F" w:rsidRPr="003A7C7F" w:rsidRDefault="0006334A" w:rsidP="003A7C7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16</w:t>
      </w:r>
      <w:r w:rsidR="003A7C7F" w:rsidRPr="003A7C7F">
        <w:rPr>
          <w:rFonts w:ascii="Times New Roman" w:hAnsi="Times New Roman" w:cs="Times New Roman"/>
          <w:b/>
          <w:sz w:val="24"/>
          <w:szCs w:val="24"/>
        </w:rPr>
        <w:t>.</w:t>
      </w:r>
      <w:r w:rsidR="003A7C7F" w:rsidRPr="003A7C7F">
        <w:rPr>
          <w:rFonts w:ascii="Times New Roman" w:hAnsi="Times New Roman" w:cs="Times New Roman"/>
          <w:sz w:val="24"/>
          <w:szCs w:val="24"/>
        </w:rPr>
        <w:tab/>
        <w:t xml:space="preserve">Gong L, Hu Y, He D, et al. Ubiquitin ligase CHAF1B induces cisplatin resistance in lung adenocarcinoma by promoting NCOR2 degradation. </w:t>
      </w:r>
      <w:r w:rsidR="003A7C7F" w:rsidRPr="003A7C7F">
        <w:rPr>
          <w:rFonts w:ascii="Times New Roman" w:hAnsi="Times New Roman" w:cs="Times New Roman"/>
          <w:i/>
          <w:sz w:val="24"/>
          <w:szCs w:val="24"/>
        </w:rPr>
        <w:t xml:space="preserve">Cancer Cell Int. </w:t>
      </w:r>
      <w:r w:rsidR="003A7C7F" w:rsidRPr="003A7C7F">
        <w:rPr>
          <w:rFonts w:ascii="Times New Roman" w:hAnsi="Times New Roman" w:cs="Times New Roman"/>
          <w:sz w:val="24"/>
          <w:szCs w:val="24"/>
        </w:rPr>
        <w:t>2020; 20:194.</w:t>
      </w:r>
    </w:p>
    <w:p w14:paraId="05C07F9E" w14:textId="2BB9F444" w:rsidR="003A7C7F" w:rsidRPr="003A7C7F" w:rsidRDefault="0006334A" w:rsidP="003A7C7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17</w:t>
      </w:r>
      <w:r w:rsidR="003A7C7F" w:rsidRPr="003A7C7F">
        <w:rPr>
          <w:rFonts w:ascii="Times New Roman" w:hAnsi="Times New Roman" w:cs="Times New Roman"/>
          <w:b/>
          <w:sz w:val="24"/>
          <w:szCs w:val="24"/>
        </w:rPr>
        <w:t>.</w:t>
      </w:r>
      <w:r w:rsidR="003A7C7F" w:rsidRPr="003A7C7F">
        <w:rPr>
          <w:rFonts w:ascii="Times New Roman" w:hAnsi="Times New Roman" w:cs="Times New Roman"/>
          <w:sz w:val="24"/>
          <w:szCs w:val="24"/>
        </w:rPr>
        <w:tab/>
        <w:t xml:space="preserve">Liang L, Chen Y, Yu Y, et al. SLC25A18 has prognostic value in colorectal cancer and represses Warburg effect and cell proliferation via Wnt signaling. </w:t>
      </w:r>
      <w:r w:rsidR="003A7C7F" w:rsidRPr="003A7C7F">
        <w:rPr>
          <w:rFonts w:ascii="Times New Roman" w:hAnsi="Times New Roman" w:cs="Times New Roman"/>
          <w:i/>
          <w:sz w:val="24"/>
          <w:szCs w:val="24"/>
        </w:rPr>
        <w:t xml:space="preserve">Am J Cancer Res. </w:t>
      </w:r>
      <w:r w:rsidR="003A7C7F" w:rsidRPr="003A7C7F">
        <w:rPr>
          <w:rFonts w:ascii="Times New Roman" w:hAnsi="Times New Roman" w:cs="Times New Roman"/>
          <w:sz w:val="24"/>
          <w:szCs w:val="24"/>
        </w:rPr>
        <w:t>2020; 10(5):1548-1567.</w:t>
      </w:r>
    </w:p>
    <w:p w14:paraId="44EC714B" w14:textId="61A53912" w:rsidR="003A7C7F" w:rsidRPr="003A7C7F" w:rsidRDefault="0006334A" w:rsidP="003A7C7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18</w:t>
      </w:r>
      <w:r w:rsidR="003A7C7F" w:rsidRPr="003A7C7F">
        <w:rPr>
          <w:rFonts w:ascii="Times New Roman" w:hAnsi="Times New Roman" w:cs="Times New Roman"/>
          <w:b/>
          <w:sz w:val="24"/>
          <w:szCs w:val="24"/>
        </w:rPr>
        <w:t>.</w:t>
      </w:r>
      <w:r w:rsidR="003A7C7F" w:rsidRPr="003A7C7F">
        <w:rPr>
          <w:rFonts w:ascii="Times New Roman" w:hAnsi="Times New Roman" w:cs="Times New Roman"/>
          <w:sz w:val="24"/>
          <w:szCs w:val="24"/>
        </w:rPr>
        <w:tab/>
        <w:t xml:space="preserve">Cui J, Wang L, Zhong W, et al. Identification and validation of methylation-driven genes prognostic signature for recurrence of laryngeal squamous cell carcinoma by integrated bioinformatics analysis. </w:t>
      </w:r>
      <w:r w:rsidR="003A7C7F" w:rsidRPr="003A7C7F">
        <w:rPr>
          <w:rFonts w:ascii="Times New Roman" w:hAnsi="Times New Roman" w:cs="Times New Roman"/>
          <w:i/>
          <w:sz w:val="24"/>
          <w:szCs w:val="24"/>
        </w:rPr>
        <w:t xml:space="preserve">Cancer Cell Int. </w:t>
      </w:r>
      <w:r w:rsidR="003A7C7F" w:rsidRPr="003A7C7F">
        <w:rPr>
          <w:rFonts w:ascii="Times New Roman" w:hAnsi="Times New Roman" w:cs="Times New Roman"/>
          <w:sz w:val="24"/>
          <w:szCs w:val="24"/>
        </w:rPr>
        <w:t>2020; 20:472.</w:t>
      </w:r>
    </w:p>
    <w:p w14:paraId="3DC3259E" w14:textId="406C951D" w:rsidR="003A7C7F" w:rsidRPr="003A7C7F" w:rsidRDefault="0006334A" w:rsidP="003A7C7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19</w:t>
      </w:r>
      <w:r w:rsidR="003A7C7F" w:rsidRPr="003A7C7F">
        <w:rPr>
          <w:rFonts w:ascii="Times New Roman" w:hAnsi="Times New Roman" w:cs="Times New Roman"/>
          <w:b/>
          <w:sz w:val="24"/>
          <w:szCs w:val="24"/>
        </w:rPr>
        <w:t>.</w:t>
      </w:r>
      <w:r w:rsidR="003A7C7F" w:rsidRPr="003A7C7F">
        <w:rPr>
          <w:rFonts w:ascii="Times New Roman" w:hAnsi="Times New Roman" w:cs="Times New Roman"/>
          <w:sz w:val="24"/>
          <w:szCs w:val="24"/>
        </w:rPr>
        <w:tab/>
        <w:t xml:space="preserve">Achlaug L, Sarfstein R, Nagaraj K, et al. Identification of ZYG11A as a candidate IGF1-dependent proto-oncogene in endometrial cancer. </w:t>
      </w:r>
      <w:r w:rsidR="003A7C7F" w:rsidRPr="003A7C7F">
        <w:rPr>
          <w:rFonts w:ascii="Times New Roman" w:hAnsi="Times New Roman" w:cs="Times New Roman"/>
          <w:i/>
          <w:sz w:val="24"/>
          <w:szCs w:val="24"/>
        </w:rPr>
        <w:t xml:space="preserve">Oncotarget. </w:t>
      </w:r>
      <w:r w:rsidR="003A7C7F" w:rsidRPr="003A7C7F">
        <w:rPr>
          <w:rFonts w:ascii="Times New Roman" w:hAnsi="Times New Roman" w:cs="Times New Roman"/>
          <w:sz w:val="24"/>
          <w:szCs w:val="24"/>
        </w:rPr>
        <w:t>2019; 10(43):4437-4448.</w:t>
      </w:r>
    </w:p>
    <w:p w14:paraId="0286F10C" w14:textId="7FD970BB" w:rsidR="003A7C7F" w:rsidRPr="003A7C7F" w:rsidRDefault="0006334A" w:rsidP="003A7C7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20</w:t>
      </w:r>
      <w:r w:rsidR="003A7C7F" w:rsidRPr="003A7C7F">
        <w:rPr>
          <w:rFonts w:ascii="Times New Roman" w:hAnsi="Times New Roman" w:cs="Times New Roman"/>
          <w:b/>
          <w:sz w:val="24"/>
          <w:szCs w:val="24"/>
        </w:rPr>
        <w:t>.</w:t>
      </w:r>
      <w:r w:rsidR="003A7C7F" w:rsidRPr="003A7C7F">
        <w:rPr>
          <w:rFonts w:ascii="Times New Roman" w:hAnsi="Times New Roman" w:cs="Times New Roman"/>
          <w:sz w:val="24"/>
          <w:szCs w:val="24"/>
        </w:rPr>
        <w:tab/>
        <w:t xml:space="preserve">Gharpure KM, Lara OD, Wen Y, et al. ADH1B promotes mesothelial clearance and ovarian cancer infiltration. </w:t>
      </w:r>
      <w:r w:rsidR="003A7C7F" w:rsidRPr="003A7C7F">
        <w:rPr>
          <w:rFonts w:ascii="Times New Roman" w:hAnsi="Times New Roman" w:cs="Times New Roman"/>
          <w:i/>
          <w:sz w:val="24"/>
          <w:szCs w:val="24"/>
        </w:rPr>
        <w:t xml:space="preserve">Oncotarget. </w:t>
      </w:r>
      <w:r w:rsidR="003A7C7F" w:rsidRPr="003A7C7F">
        <w:rPr>
          <w:rFonts w:ascii="Times New Roman" w:hAnsi="Times New Roman" w:cs="Times New Roman"/>
          <w:sz w:val="24"/>
          <w:szCs w:val="24"/>
        </w:rPr>
        <w:t>2018; 9(38):25115-25126.</w:t>
      </w:r>
    </w:p>
    <w:p w14:paraId="0DDA1A40" w14:textId="082FD3AB" w:rsidR="003A7C7F" w:rsidRPr="003A7C7F" w:rsidRDefault="0006334A" w:rsidP="003A7C7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21</w:t>
      </w:r>
      <w:r w:rsidR="003A7C7F" w:rsidRPr="003A7C7F">
        <w:rPr>
          <w:rFonts w:ascii="Times New Roman" w:hAnsi="Times New Roman" w:cs="Times New Roman"/>
          <w:b/>
          <w:sz w:val="24"/>
          <w:szCs w:val="24"/>
        </w:rPr>
        <w:t>.</w:t>
      </w:r>
      <w:r w:rsidR="003A7C7F" w:rsidRPr="003A7C7F">
        <w:rPr>
          <w:rFonts w:ascii="Times New Roman" w:hAnsi="Times New Roman" w:cs="Times New Roman"/>
          <w:sz w:val="24"/>
          <w:szCs w:val="24"/>
        </w:rPr>
        <w:tab/>
        <w:t xml:space="preserve">Zhang T, Zhou Y, Li L, et al. CenpH regulates meiotic G2/M transition by modulating the APC/CCdh1-cyclin B1 pathway in oocytes. </w:t>
      </w:r>
      <w:r w:rsidR="003A7C7F" w:rsidRPr="003A7C7F">
        <w:rPr>
          <w:rFonts w:ascii="Times New Roman" w:hAnsi="Times New Roman" w:cs="Times New Roman"/>
          <w:i/>
          <w:sz w:val="24"/>
          <w:szCs w:val="24"/>
        </w:rPr>
        <w:t xml:space="preserve">Development. </w:t>
      </w:r>
      <w:r w:rsidR="003A7C7F" w:rsidRPr="003A7C7F">
        <w:rPr>
          <w:rFonts w:ascii="Times New Roman" w:hAnsi="Times New Roman" w:cs="Times New Roman"/>
          <w:sz w:val="24"/>
          <w:szCs w:val="24"/>
        </w:rPr>
        <w:t>2017; 144(2):305-312.</w:t>
      </w:r>
    </w:p>
    <w:p w14:paraId="032DC845" w14:textId="71B2EBE3" w:rsidR="003A7C7F" w:rsidRPr="003A7C7F" w:rsidRDefault="0006334A" w:rsidP="003A7C7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22</w:t>
      </w:r>
      <w:r w:rsidR="003A7C7F" w:rsidRPr="003A7C7F">
        <w:rPr>
          <w:rFonts w:ascii="Times New Roman" w:hAnsi="Times New Roman" w:cs="Times New Roman"/>
          <w:b/>
          <w:sz w:val="24"/>
          <w:szCs w:val="24"/>
        </w:rPr>
        <w:t>.</w:t>
      </w:r>
      <w:r w:rsidR="003A7C7F" w:rsidRPr="003A7C7F">
        <w:rPr>
          <w:rFonts w:ascii="Times New Roman" w:hAnsi="Times New Roman" w:cs="Times New Roman"/>
          <w:sz w:val="24"/>
          <w:szCs w:val="24"/>
        </w:rPr>
        <w:tab/>
        <w:t xml:space="preserve">Kwon AY, Kim GI, Jeong JY, et al. VAV3 Overexpressed in Cancer Stem Cells Is a Poor Prognostic Indicator in Ovarian Cancer Patients. </w:t>
      </w:r>
      <w:r w:rsidR="003A7C7F" w:rsidRPr="003A7C7F">
        <w:rPr>
          <w:rFonts w:ascii="Times New Roman" w:hAnsi="Times New Roman" w:cs="Times New Roman"/>
          <w:i/>
          <w:sz w:val="24"/>
          <w:szCs w:val="24"/>
        </w:rPr>
        <w:t xml:space="preserve">Stem Cells Dev. </w:t>
      </w:r>
      <w:r w:rsidR="003A7C7F" w:rsidRPr="003A7C7F">
        <w:rPr>
          <w:rFonts w:ascii="Times New Roman" w:hAnsi="Times New Roman" w:cs="Times New Roman"/>
          <w:sz w:val="24"/>
          <w:szCs w:val="24"/>
        </w:rPr>
        <w:t>2015; 24(13):1521-1535.</w:t>
      </w:r>
    </w:p>
    <w:p w14:paraId="0E68C055" w14:textId="32BD5822" w:rsidR="003A7C7F" w:rsidRPr="003A7C7F" w:rsidRDefault="00B93D86" w:rsidP="003A7C7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23</w:t>
      </w:r>
      <w:r w:rsidR="003A7C7F" w:rsidRPr="003A7C7F">
        <w:rPr>
          <w:rFonts w:ascii="Times New Roman" w:hAnsi="Times New Roman" w:cs="Times New Roman"/>
          <w:b/>
          <w:sz w:val="24"/>
          <w:szCs w:val="24"/>
        </w:rPr>
        <w:t>.</w:t>
      </w:r>
      <w:r w:rsidR="003A7C7F" w:rsidRPr="003A7C7F">
        <w:rPr>
          <w:rFonts w:ascii="Times New Roman" w:hAnsi="Times New Roman" w:cs="Times New Roman"/>
          <w:sz w:val="24"/>
          <w:szCs w:val="24"/>
        </w:rPr>
        <w:tab/>
        <w:t xml:space="preserve">Tang J, Kong D, Cui Q, et al. Prognostic Genes of Breast Cancer Identified by Gene Co-expression Network Analysis. </w:t>
      </w:r>
      <w:r w:rsidR="003A7C7F" w:rsidRPr="003A7C7F">
        <w:rPr>
          <w:rFonts w:ascii="Times New Roman" w:hAnsi="Times New Roman" w:cs="Times New Roman"/>
          <w:i/>
          <w:sz w:val="24"/>
          <w:szCs w:val="24"/>
        </w:rPr>
        <w:t xml:space="preserve">Front Oncol. </w:t>
      </w:r>
      <w:r w:rsidR="003A7C7F" w:rsidRPr="003A7C7F">
        <w:rPr>
          <w:rFonts w:ascii="Times New Roman" w:hAnsi="Times New Roman" w:cs="Times New Roman"/>
          <w:sz w:val="24"/>
          <w:szCs w:val="24"/>
        </w:rPr>
        <w:t>2018; 8:374.</w:t>
      </w:r>
    </w:p>
    <w:p w14:paraId="63A7385F" w14:textId="2A69CBF1" w:rsidR="003A7C7F" w:rsidRPr="003A7C7F" w:rsidRDefault="00B93D86" w:rsidP="003A7C7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24</w:t>
      </w:r>
      <w:r w:rsidR="003A7C7F" w:rsidRPr="003A7C7F">
        <w:rPr>
          <w:rFonts w:ascii="Times New Roman" w:hAnsi="Times New Roman" w:cs="Times New Roman"/>
          <w:b/>
          <w:sz w:val="24"/>
          <w:szCs w:val="24"/>
        </w:rPr>
        <w:t>.</w:t>
      </w:r>
      <w:r w:rsidR="003A7C7F" w:rsidRPr="003A7C7F">
        <w:rPr>
          <w:rFonts w:ascii="Times New Roman" w:hAnsi="Times New Roman" w:cs="Times New Roman"/>
          <w:sz w:val="24"/>
          <w:szCs w:val="24"/>
        </w:rPr>
        <w:tab/>
        <w:t xml:space="preserve">Hou JY, Wang YG, Ma SJ, Yang BY, Li QP. Identification of a prognostic 5-Gene expression signature for gastric cancer. </w:t>
      </w:r>
      <w:r w:rsidR="003A7C7F" w:rsidRPr="003A7C7F">
        <w:rPr>
          <w:rFonts w:ascii="Times New Roman" w:hAnsi="Times New Roman" w:cs="Times New Roman"/>
          <w:i/>
          <w:sz w:val="24"/>
          <w:szCs w:val="24"/>
        </w:rPr>
        <w:t xml:space="preserve">J Cancer Res Clin Oncol. </w:t>
      </w:r>
      <w:r w:rsidR="003A7C7F" w:rsidRPr="003A7C7F">
        <w:rPr>
          <w:rFonts w:ascii="Times New Roman" w:hAnsi="Times New Roman" w:cs="Times New Roman"/>
          <w:sz w:val="24"/>
          <w:szCs w:val="24"/>
        </w:rPr>
        <w:t>2017; 143(4):619-629.</w:t>
      </w:r>
    </w:p>
    <w:p w14:paraId="13A80E7E" w14:textId="77777777" w:rsidR="00BF20A7" w:rsidRPr="003A7C7F" w:rsidRDefault="00BF20A7" w:rsidP="00BF20A7">
      <w:pPr>
        <w:rPr>
          <w:rFonts w:ascii="Times New Roman" w:hAnsi="Times New Roman" w:cs="Times New Roman"/>
          <w:sz w:val="24"/>
          <w:szCs w:val="24"/>
        </w:rPr>
      </w:pPr>
    </w:p>
    <w:sectPr w:rsidR="00BF20A7" w:rsidRPr="003A7C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FA2D7" w14:textId="77777777" w:rsidR="006329C3" w:rsidRDefault="006329C3" w:rsidP="00FD7BA5">
      <w:r>
        <w:separator/>
      </w:r>
    </w:p>
  </w:endnote>
  <w:endnote w:type="continuationSeparator" w:id="0">
    <w:p w14:paraId="54A0A44A" w14:textId="77777777" w:rsidR="006329C3" w:rsidRDefault="006329C3" w:rsidP="00FD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3810C" w14:textId="77777777" w:rsidR="006329C3" w:rsidRDefault="006329C3" w:rsidP="00FD7BA5">
      <w:r>
        <w:separator/>
      </w:r>
    </w:p>
  </w:footnote>
  <w:footnote w:type="continuationSeparator" w:id="0">
    <w:p w14:paraId="6665CF10" w14:textId="77777777" w:rsidR="006329C3" w:rsidRDefault="006329C3" w:rsidP="00FD7B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M0Nzc2MzKyMDAzMrFU0lEKTi0uzszPAykwrAUA0uzSoCwAAAA="/>
  </w:docVars>
  <w:rsids>
    <w:rsidRoot w:val="00FD7BA5"/>
    <w:rsid w:val="0006334A"/>
    <w:rsid w:val="00155061"/>
    <w:rsid w:val="00155F40"/>
    <w:rsid w:val="00194919"/>
    <w:rsid w:val="00227994"/>
    <w:rsid w:val="00256880"/>
    <w:rsid w:val="003630F2"/>
    <w:rsid w:val="003A7C7F"/>
    <w:rsid w:val="003F008B"/>
    <w:rsid w:val="00457D31"/>
    <w:rsid w:val="004E47B9"/>
    <w:rsid w:val="005255FB"/>
    <w:rsid w:val="006329C3"/>
    <w:rsid w:val="006741BC"/>
    <w:rsid w:val="00800913"/>
    <w:rsid w:val="0087703E"/>
    <w:rsid w:val="008A6408"/>
    <w:rsid w:val="00971C47"/>
    <w:rsid w:val="00973C62"/>
    <w:rsid w:val="00B87AD0"/>
    <w:rsid w:val="00B93D86"/>
    <w:rsid w:val="00BF20A7"/>
    <w:rsid w:val="00D76923"/>
    <w:rsid w:val="00FC3AB7"/>
    <w:rsid w:val="00FD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AE3AB"/>
  <w15:chartTrackingRefBased/>
  <w15:docId w15:val="{B5454569-A42E-4210-910D-802DD9FE1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7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7B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D7BA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D7B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D7BA5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3A7C7F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A7C7F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813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 嘉伟</dc:creator>
  <cp:keywords/>
  <dc:description/>
  <cp:lastModifiedBy>姚 嘉伟</cp:lastModifiedBy>
  <cp:revision>4</cp:revision>
  <dcterms:created xsi:type="dcterms:W3CDTF">2022-01-07T11:49:00Z</dcterms:created>
  <dcterms:modified xsi:type="dcterms:W3CDTF">2022-01-18T12:19:00Z</dcterms:modified>
</cp:coreProperties>
</file>