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C3A294" w14:textId="77777777" w:rsidR="002F0DE0" w:rsidRDefault="002F0DE0" w:rsidP="002F0DE0">
      <w:pPr>
        <w:pStyle w:val="Heading1"/>
        <w:rPr>
          <w:lang w:val="en-GB"/>
        </w:rPr>
      </w:pPr>
      <w:r>
        <w:rPr>
          <w:lang w:val="en-GB"/>
        </w:rPr>
        <w:t>Supplements</w:t>
      </w:r>
    </w:p>
    <w:p w14:paraId="5F40BAF1" w14:textId="77777777" w:rsidR="002F0DE0" w:rsidRDefault="002F0DE0" w:rsidP="002F0DE0">
      <w:pPr>
        <w:pStyle w:val="Caption"/>
        <w:keepNext/>
        <w:spacing w:before="240" w:after="120" w:line="288" w:lineRule="auto"/>
        <w:ind w:left="907" w:hanging="907"/>
        <w:jc w:val="both"/>
        <w:rPr>
          <w:i w:val="0"/>
        </w:rPr>
      </w:pPr>
      <w:r>
        <w:rPr>
          <w:i w:val="0"/>
          <w:noProof/>
          <w:lang w:val="en-US"/>
        </w:rPr>
        <w:drawing>
          <wp:inline distT="0" distB="0" distL="0" distR="0" wp14:anchorId="2BF44FB9" wp14:editId="56A339FB">
            <wp:extent cx="5676265" cy="4010660"/>
            <wp:effectExtent l="0" t="0" r="635"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76265" cy="4010660"/>
                    </a:xfrm>
                    <a:prstGeom prst="rect">
                      <a:avLst/>
                    </a:prstGeom>
                    <a:noFill/>
                    <a:ln>
                      <a:noFill/>
                    </a:ln>
                  </pic:spPr>
                </pic:pic>
              </a:graphicData>
            </a:graphic>
          </wp:inline>
        </w:drawing>
      </w:r>
    </w:p>
    <w:p w14:paraId="51508BB6" w14:textId="77777777" w:rsidR="002F0DE0" w:rsidRDefault="002F0DE0" w:rsidP="002F0DE0">
      <w:pPr>
        <w:pStyle w:val="Caption"/>
        <w:spacing w:after="0" w:line="288" w:lineRule="auto"/>
        <w:ind w:left="907" w:hanging="907"/>
        <w:rPr>
          <w:b/>
          <w:i w:val="0"/>
          <w:color w:val="000000" w:themeColor="text1"/>
          <w:lang w:val="en-GB"/>
        </w:rPr>
      </w:pPr>
      <w:bookmarkStart w:id="0" w:name="_Ref136954630"/>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1</w:t>
      </w:r>
      <w:r>
        <w:fldChar w:fldCharType="end"/>
      </w:r>
      <w:bookmarkEnd w:id="0"/>
      <w:r>
        <w:rPr>
          <w:b/>
          <w:i w:val="0"/>
          <w:color w:val="000000" w:themeColor="text1"/>
          <w:lang w:val="en-GB"/>
        </w:rPr>
        <w:t>:</w:t>
      </w:r>
      <w:r>
        <w:rPr>
          <w:b/>
          <w:i w:val="0"/>
          <w:color w:val="000000" w:themeColor="text1"/>
          <w:lang w:val="en-GB"/>
        </w:rPr>
        <w:tab/>
        <w:t>Flow chart of the study design</w:t>
      </w:r>
    </w:p>
    <w:p w14:paraId="1A0CAEFE" w14:textId="77777777" w:rsidR="002F0DE0" w:rsidRDefault="002F0DE0" w:rsidP="002F0DE0">
      <w:pPr>
        <w:pStyle w:val="Caption"/>
        <w:spacing w:after="120" w:line="288" w:lineRule="auto"/>
        <w:ind w:left="907" w:hanging="907"/>
        <w:jc w:val="both"/>
        <w:rPr>
          <w:i w:val="0"/>
          <w:color w:val="000000" w:themeColor="text1"/>
          <w:lang w:val="en-GB"/>
        </w:rPr>
      </w:pPr>
      <w:r>
        <w:rPr>
          <w:b/>
          <w:i w:val="0"/>
          <w:color w:val="000000" w:themeColor="text1"/>
          <w:lang w:val="en-GB"/>
        </w:rPr>
        <w:tab/>
      </w:r>
      <w:r>
        <w:rPr>
          <w:i w:val="0"/>
          <w:color w:val="000000" w:themeColor="text1"/>
          <w:lang w:val="en-GB"/>
        </w:rPr>
        <w:t>Venues with three different ventilation systems, namely displacement ventilation (DV), mixing ventilation (MV) and natural ventilation (NV) were assessed for their experimental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w:t>
      </w:r>
      <w:proofErr w:type="spellStart"/>
      <w:r>
        <w:rPr>
          <w:i w:val="0"/>
          <w:color w:val="000000" w:themeColor="text1"/>
          <w:lang w:val="en-GB"/>
        </w:rPr>
        <w:t>R</w:t>
      </w:r>
      <w:r>
        <w:rPr>
          <w:i w:val="0"/>
          <w:color w:val="000000" w:themeColor="text1"/>
          <w:vertAlign w:val="subscript"/>
          <w:lang w:val="en-GB"/>
        </w:rPr>
        <w:t>ATMoS</w:t>
      </w:r>
      <w:proofErr w:type="spellEnd"/>
      <w:r>
        <w:rPr>
          <w:i w:val="0"/>
          <w:color w:val="000000" w:themeColor="text1"/>
          <w:lang w:val="en-GB"/>
        </w:rPr>
        <w:t>), numerical (P</w:t>
      </w:r>
      <w:r>
        <w:rPr>
          <w:i w:val="0"/>
          <w:color w:val="000000" w:themeColor="text1"/>
          <w:vertAlign w:val="subscript"/>
          <w:lang w:val="en-GB"/>
        </w:rPr>
        <w:t>CFD</w:t>
      </w:r>
      <w:r>
        <w:rPr>
          <w:i w:val="0"/>
          <w:color w:val="000000" w:themeColor="text1"/>
          <w:lang w:val="en-GB"/>
        </w:rPr>
        <w:t>, R</w:t>
      </w:r>
      <w:r>
        <w:rPr>
          <w:i w:val="0"/>
          <w:color w:val="000000" w:themeColor="text1"/>
          <w:vertAlign w:val="subscript"/>
          <w:lang w:val="en-GB"/>
        </w:rPr>
        <w:t>CFD</w:t>
      </w:r>
      <w:r>
        <w:rPr>
          <w:i w:val="0"/>
          <w:color w:val="000000" w:themeColor="text1"/>
          <w:lang w:val="en-GB"/>
        </w:rPr>
        <w:t>) and analytical (</w:t>
      </w:r>
      <w:proofErr w:type="spellStart"/>
      <w:r>
        <w:rPr>
          <w:i w:val="0"/>
          <w:color w:val="000000" w:themeColor="text1"/>
          <w:lang w:val="en-GB"/>
        </w:rPr>
        <w:t>P</w:t>
      </w:r>
      <w:r>
        <w:rPr>
          <w:i w:val="0"/>
          <w:color w:val="000000" w:themeColor="text1"/>
          <w:vertAlign w:val="subscript"/>
          <w:lang w:val="en-GB"/>
        </w:rPr>
        <w:t>analyt</w:t>
      </w:r>
      <w:proofErr w:type="spellEnd"/>
      <w:r>
        <w:rPr>
          <w:i w:val="0"/>
          <w:color w:val="000000" w:themeColor="text1"/>
          <w:lang w:val="en-GB"/>
        </w:rPr>
        <w:t xml:space="preserve">) individual and global risk of airborne transmission. Two emission profiles were considered for analyses: a sedentary, passive emitter with an average viral load and a slightly active emitter with a high viral load at the 90th percentile (high emitter). The effect of varying boundary conditions on the risk of infection was investigated, </w:t>
      </w:r>
      <w:proofErr w:type="gramStart"/>
      <w:r>
        <w:rPr>
          <w:i w:val="0"/>
          <w:color w:val="000000" w:themeColor="text1"/>
          <w:lang w:val="en-GB"/>
        </w:rPr>
        <w:t>e.g.</w:t>
      </w:r>
      <w:proofErr w:type="gramEnd"/>
      <w:r>
        <w:rPr>
          <w:i w:val="0"/>
          <w:color w:val="000000" w:themeColor="text1"/>
          <w:lang w:val="en-GB"/>
        </w:rPr>
        <w:t xml:space="preserve"> emitter position, occupancy rate, airflow rate, mitigation measures. </w:t>
      </w:r>
    </w:p>
    <w:p w14:paraId="73A212FF" w14:textId="77777777" w:rsidR="002F0DE0" w:rsidRDefault="002F0DE0" w:rsidP="002F0DE0">
      <w:pPr>
        <w:rPr>
          <w:lang w:val="en-GB"/>
        </w:rPr>
      </w:pPr>
      <w:r>
        <w:rPr>
          <w:noProof/>
          <w:lang w:val="en-US"/>
        </w:rPr>
        <w:lastRenderedPageBreak/>
        <w:drawing>
          <wp:inline distT="0" distB="0" distL="0" distR="0" wp14:anchorId="4EF440DA" wp14:editId="0B68CFE7">
            <wp:extent cx="4631055" cy="340868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31055" cy="3408680"/>
                    </a:xfrm>
                    <a:prstGeom prst="rect">
                      <a:avLst/>
                    </a:prstGeom>
                    <a:noFill/>
                    <a:ln>
                      <a:noFill/>
                    </a:ln>
                  </pic:spPr>
                </pic:pic>
              </a:graphicData>
            </a:graphic>
          </wp:inline>
        </w:drawing>
      </w:r>
    </w:p>
    <w:p w14:paraId="2BBFC0D7" w14:textId="77777777" w:rsidR="002F0DE0" w:rsidRDefault="002F0DE0" w:rsidP="002F0DE0">
      <w:pPr>
        <w:pStyle w:val="Caption"/>
        <w:spacing w:after="0" w:line="288" w:lineRule="auto"/>
        <w:ind w:left="907" w:hanging="907"/>
        <w:rPr>
          <w:b/>
          <w:i w:val="0"/>
          <w:color w:val="000000" w:themeColor="text1"/>
          <w:lang w:val="en-GB"/>
        </w:rPr>
      </w:pPr>
      <w:bookmarkStart w:id="1" w:name="_Ref136955137"/>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2</w:t>
      </w:r>
      <w:r>
        <w:fldChar w:fldCharType="end"/>
      </w:r>
      <w:bookmarkEnd w:id="1"/>
      <w:r>
        <w:rPr>
          <w:b/>
          <w:i w:val="0"/>
          <w:color w:val="000000" w:themeColor="text1"/>
          <w:lang w:val="en-GB"/>
        </w:rPr>
        <w:t>: Positions of air inlets and outlets of the venues DVV-1 (A), MVV-1 (B), MVV-2 (C) and DVV-2 (D)</w:t>
      </w:r>
    </w:p>
    <w:p w14:paraId="7655C9D9" w14:textId="77777777" w:rsidR="002F0DE0" w:rsidRDefault="002F0DE0" w:rsidP="002F0DE0">
      <w:pPr>
        <w:rPr>
          <w:lang w:val="en-GB"/>
        </w:rPr>
      </w:pPr>
    </w:p>
    <w:p w14:paraId="542D908D" w14:textId="77777777" w:rsidR="002F0DE0" w:rsidRDefault="002F0DE0" w:rsidP="002F0DE0">
      <w:pPr>
        <w:keepNext/>
      </w:pPr>
      <w:r>
        <w:rPr>
          <w:noProof/>
          <w:lang w:val="en-US"/>
        </w:rPr>
        <w:drawing>
          <wp:inline distT="0" distB="0" distL="0" distR="0" wp14:anchorId="4EFC8930" wp14:editId="4927E016">
            <wp:extent cx="5762625" cy="2887980"/>
            <wp:effectExtent l="0" t="0" r="952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2625" cy="2887980"/>
                    </a:xfrm>
                    <a:prstGeom prst="rect">
                      <a:avLst/>
                    </a:prstGeom>
                    <a:noFill/>
                    <a:ln>
                      <a:noFill/>
                    </a:ln>
                  </pic:spPr>
                </pic:pic>
              </a:graphicData>
            </a:graphic>
          </wp:inline>
        </w:drawing>
      </w:r>
    </w:p>
    <w:p w14:paraId="730F61D6" w14:textId="77777777" w:rsidR="002F0DE0" w:rsidRDefault="002F0DE0" w:rsidP="002F0DE0">
      <w:pPr>
        <w:pStyle w:val="Caption"/>
        <w:spacing w:after="0" w:line="288" w:lineRule="auto"/>
        <w:ind w:left="907" w:hanging="907"/>
        <w:jc w:val="both"/>
        <w:rPr>
          <w:b/>
          <w:i w:val="0"/>
          <w:color w:val="000000" w:themeColor="text1"/>
          <w:lang w:val="en-GB"/>
        </w:rPr>
      </w:pPr>
      <w:bookmarkStart w:id="2" w:name="_Ref136956250"/>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3</w:t>
      </w:r>
      <w:r>
        <w:fldChar w:fldCharType="end"/>
      </w:r>
      <w:bookmarkEnd w:id="2"/>
      <w:r>
        <w:rPr>
          <w:b/>
          <w:i w:val="0"/>
          <w:color w:val="000000" w:themeColor="text1"/>
          <w:lang w:val="en-GB"/>
        </w:rPr>
        <w:t xml:space="preserve">: </w:t>
      </w:r>
      <w:r>
        <w:rPr>
          <w:b/>
          <w:i w:val="0"/>
          <w:color w:val="000000" w:themeColor="text1"/>
          <w:lang w:val="en-GB"/>
        </w:rPr>
        <w:tab/>
        <w:t>Numerical visualisation of the infection risk or relative contamination for DVV-1, MVV-1, DVV-</w:t>
      </w:r>
      <w:proofErr w:type="gramStart"/>
      <w:r>
        <w:rPr>
          <w:b/>
          <w:i w:val="0"/>
          <w:color w:val="000000" w:themeColor="text1"/>
          <w:lang w:val="en-GB"/>
        </w:rPr>
        <w:t>2</w:t>
      </w:r>
      <w:proofErr w:type="gramEnd"/>
      <w:r>
        <w:rPr>
          <w:b/>
          <w:i w:val="0"/>
          <w:color w:val="000000" w:themeColor="text1"/>
          <w:lang w:val="en-GB"/>
        </w:rPr>
        <w:t xml:space="preserve"> and NVV-1</w:t>
      </w:r>
    </w:p>
    <w:p w14:paraId="30294F2C" w14:textId="77777777" w:rsidR="002F0DE0" w:rsidRDefault="002F0DE0" w:rsidP="002F0DE0">
      <w:pPr>
        <w:pStyle w:val="Caption"/>
        <w:spacing w:line="288" w:lineRule="auto"/>
        <w:ind w:left="907"/>
        <w:rPr>
          <w:color w:val="000000" w:themeColor="text1"/>
          <w:lang w:val="en-US"/>
        </w:rPr>
      </w:pPr>
      <w:r>
        <w:rPr>
          <w:color w:val="000000" w:themeColor="text1"/>
          <w:lang w:val="en-GB"/>
        </w:rPr>
        <w:t xml:space="preserve">Visualisation of the venue-specific infection risk </w:t>
      </w:r>
      <w:r>
        <w:rPr>
          <w:color w:val="000000" w:themeColor="text1"/>
          <w:lang w:val="en-US"/>
        </w:rPr>
        <w:t>for (A) DVV1 with</w:t>
      </w:r>
      <w:r>
        <w:rPr>
          <w:color w:val="000000" w:themeColor="text1"/>
          <w:lang w:val="en-GB"/>
        </w:rPr>
        <w:t xml:space="preserve"> emitter positions B9, E6 and H5, (B) MVV1 with emitter position E16, (C) DVV2 with emitter positions R8S21, R8S7, R2S15 and 1RR2S21 and (D) NVV with emitter position A14.</w:t>
      </w:r>
    </w:p>
    <w:p w14:paraId="3BCF0B59" w14:textId="77777777" w:rsidR="002F0DE0" w:rsidRDefault="002F0DE0" w:rsidP="002F0DE0">
      <w:pPr>
        <w:keepNext/>
      </w:pPr>
      <w:r>
        <w:rPr>
          <w:noProof/>
          <w:lang w:val="en-US"/>
        </w:rPr>
        <w:lastRenderedPageBreak/>
        <w:drawing>
          <wp:inline distT="0" distB="0" distL="0" distR="0" wp14:anchorId="19CC8A2E" wp14:editId="56DDC68C">
            <wp:extent cx="3295650" cy="29832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95650" cy="2983230"/>
                    </a:xfrm>
                    <a:prstGeom prst="rect">
                      <a:avLst/>
                    </a:prstGeom>
                    <a:noFill/>
                    <a:ln>
                      <a:noFill/>
                    </a:ln>
                  </pic:spPr>
                </pic:pic>
              </a:graphicData>
            </a:graphic>
          </wp:inline>
        </w:drawing>
      </w:r>
    </w:p>
    <w:p w14:paraId="10F3304C" w14:textId="77777777" w:rsidR="002F0DE0" w:rsidRDefault="002F0DE0" w:rsidP="002F0DE0">
      <w:pPr>
        <w:pStyle w:val="Caption"/>
        <w:spacing w:after="0" w:line="288" w:lineRule="auto"/>
        <w:ind w:left="907" w:hanging="907"/>
        <w:jc w:val="both"/>
        <w:rPr>
          <w:b/>
          <w:i w:val="0"/>
          <w:color w:val="000000" w:themeColor="text1"/>
          <w:lang w:val="en-GB"/>
        </w:rPr>
      </w:pPr>
      <w:bookmarkStart w:id="3" w:name="_Ref137007933"/>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4</w:t>
      </w:r>
      <w:r>
        <w:fldChar w:fldCharType="end"/>
      </w:r>
      <w:bookmarkEnd w:id="3"/>
      <w:r>
        <w:rPr>
          <w:b/>
          <w:i w:val="0"/>
          <w:color w:val="000000" w:themeColor="text1"/>
          <w:lang w:val="en-GB"/>
        </w:rPr>
        <w:t>:</w:t>
      </w:r>
      <w:r>
        <w:rPr>
          <w:lang w:val="en-GB"/>
        </w:rPr>
        <w:t xml:space="preserve"> </w:t>
      </w:r>
      <w:r>
        <w:rPr>
          <w:lang w:val="en-GB"/>
        </w:rPr>
        <w:tab/>
      </w:r>
      <w:r>
        <w:rPr>
          <w:b/>
          <w:i w:val="0"/>
          <w:color w:val="000000" w:themeColor="text1"/>
          <w:lang w:val="en-GB"/>
        </w:rPr>
        <w:t>Distribution of the experimentally derived individual and global risk of infection for the venue DVV-2 with displacement ventilation in the stalls and unventilated balconies</w:t>
      </w:r>
    </w:p>
    <w:p w14:paraId="5C909AB7" w14:textId="77777777" w:rsidR="002F0DE0" w:rsidRDefault="002F0DE0" w:rsidP="002F0DE0">
      <w:pPr>
        <w:pStyle w:val="Caption"/>
        <w:spacing w:after="0" w:line="288" w:lineRule="auto"/>
        <w:ind w:left="907"/>
        <w:jc w:val="both"/>
        <w:rPr>
          <w:i w:val="0"/>
          <w:color w:val="000000" w:themeColor="text1"/>
          <w:lang w:val="en-GB"/>
        </w:rPr>
      </w:pPr>
      <w:r>
        <w:rPr>
          <w:i w:val="0"/>
          <w:color w:val="000000" w:themeColor="text1"/>
          <w:lang w:val="en-GB"/>
        </w:rPr>
        <w:t xml:space="preserve">The experimentally derived absorber-specific individual risk of infection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is shown for the emitter position R8S21 in the stalls (1) and for 1RR2S21 in the first rank (2), where “E” and coloured boxes indicate the positions of the emitter and the seven absorbers. The boxes of the absorbers are coloured according to their measured concentration with shades of green, </w:t>
      </w:r>
      <w:proofErr w:type="gramStart"/>
      <w:r>
        <w:rPr>
          <w:i w:val="0"/>
          <w:color w:val="000000" w:themeColor="text1"/>
          <w:lang w:val="en-GB"/>
        </w:rPr>
        <w:t>yellow</w:t>
      </w:r>
      <w:proofErr w:type="gramEnd"/>
      <w:r>
        <w:rPr>
          <w:i w:val="0"/>
          <w:color w:val="000000" w:themeColor="text1"/>
          <w:lang w:val="en-GB"/>
        </w:rPr>
        <w:t xml:space="preserve"> and red, representing low, medium and high measured values.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was calculated for each absorber using the absorbed NaCl mass and a quanta emission rate of 18.6 quanta h</w:t>
      </w:r>
      <w:r>
        <w:rPr>
          <w:i w:val="0"/>
          <w:color w:val="000000" w:themeColor="text1"/>
          <w:vertAlign w:val="superscript"/>
          <w:lang w:val="en-GB"/>
        </w:rPr>
        <w:t>-1</w:t>
      </w:r>
      <w:r>
        <w:rPr>
          <w:i w:val="0"/>
          <w:color w:val="000000" w:themeColor="text1"/>
          <w:lang w:val="en-GB"/>
        </w:rPr>
        <w:t xml:space="preserve">. The values for each absorber are summarised in the table. The </w:t>
      </w:r>
      <w:proofErr w:type="gramStart"/>
      <w:r>
        <w:rPr>
          <w:i w:val="0"/>
          <w:color w:val="000000" w:themeColor="text1"/>
          <w:lang w:val="en-GB"/>
        </w:rPr>
        <w:t>absorber-specific</w:t>
      </w:r>
      <w:proofErr w:type="gramEnd"/>
      <w:r>
        <w:rPr>
          <w:i w:val="0"/>
          <w:color w:val="000000" w:themeColor="text1"/>
          <w:lang w:val="en-GB"/>
        </w:rPr>
        <w:t xml:space="preserve">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were used for the calculation of </w:t>
      </w:r>
      <w:proofErr w:type="spellStart"/>
      <w:r>
        <w:rPr>
          <w:i w:val="0"/>
          <w:color w:val="000000" w:themeColor="text1"/>
          <w:lang w:val="en-GB"/>
        </w:rPr>
        <w:t>R</w:t>
      </w:r>
      <w:r>
        <w:rPr>
          <w:i w:val="0"/>
          <w:color w:val="000000" w:themeColor="text1"/>
          <w:vertAlign w:val="subscript"/>
          <w:lang w:val="en-GB"/>
        </w:rPr>
        <w:t>ATMoS</w:t>
      </w:r>
      <w:proofErr w:type="spellEnd"/>
      <w:r>
        <w:rPr>
          <w:i w:val="0"/>
          <w:color w:val="000000" w:themeColor="text1"/>
          <w:lang w:val="en-GB"/>
        </w:rPr>
        <w:t>.</w:t>
      </w:r>
    </w:p>
    <w:p w14:paraId="328C46C8" w14:textId="77777777" w:rsidR="002F0DE0" w:rsidRDefault="002F0DE0" w:rsidP="002F0DE0">
      <w:pPr>
        <w:pStyle w:val="Caption"/>
        <w:spacing w:after="0" w:line="288" w:lineRule="auto"/>
        <w:ind w:left="907" w:hanging="907"/>
        <w:rPr>
          <w:b/>
          <w:i w:val="0"/>
          <w:color w:val="000000" w:themeColor="text1"/>
          <w:lang w:val="en-GB"/>
        </w:rPr>
      </w:pPr>
    </w:p>
    <w:p w14:paraId="4A843A80" w14:textId="77777777" w:rsidR="002F0DE0" w:rsidRDefault="002F0DE0" w:rsidP="002F0DE0">
      <w:pPr>
        <w:keepNext/>
        <w:spacing w:after="0"/>
      </w:pPr>
      <w:r>
        <w:rPr>
          <w:noProof/>
          <w:lang w:val="en-US"/>
        </w:rPr>
        <w:drawing>
          <wp:inline distT="0" distB="0" distL="0" distR="0" wp14:anchorId="1516DFC6" wp14:editId="29936C86">
            <wp:extent cx="5088255" cy="2381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88255" cy="2381250"/>
                    </a:xfrm>
                    <a:prstGeom prst="rect">
                      <a:avLst/>
                    </a:prstGeom>
                    <a:noFill/>
                    <a:ln>
                      <a:noFill/>
                    </a:ln>
                  </pic:spPr>
                </pic:pic>
              </a:graphicData>
            </a:graphic>
          </wp:inline>
        </w:drawing>
      </w:r>
    </w:p>
    <w:p w14:paraId="4DC52427" w14:textId="77777777" w:rsidR="002F0DE0" w:rsidRDefault="002F0DE0" w:rsidP="002F0DE0">
      <w:pPr>
        <w:pStyle w:val="Caption"/>
        <w:spacing w:after="0" w:line="288" w:lineRule="auto"/>
        <w:ind w:left="907" w:hanging="907"/>
        <w:jc w:val="both"/>
        <w:rPr>
          <w:b/>
          <w:i w:val="0"/>
          <w:color w:val="000000" w:themeColor="text1"/>
          <w:lang w:val="en-GB"/>
        </w:rPr>
      </w:pPr>
      <w:bookmarkStart w:id="4" w:name="_Ref137025772"/>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5</w:t>
      </w:r>
      <w:r>
        <w:fldChar w:fldCharType="end"/>
      </w:r>
      <w:bookmarkEnd w:id="4"/>
      <w:r>
        <w:rPr>
          <w:b/>
          <w:i w:val="0"/>
          <w:color w:val="000000" w:themeColor="text1"/>
          <w:lang w:val="en-GB"/>
        </w:rPr>
        <w:t xml:space="preserve">: </w:t>
      </w:r>
      <w:r>
        <w:rPr>
          <w:b/>
          <w:i w:val="0"/>
          <w:color w:val="000000" w:themeColor="text1"/>
          <w:lang w:val="en-GB"/>
        </w:rPr>
        <w:tab/>
        <w:t>Influence of the checkerboard pattern seating arrangement on individual (P</w:t>
      </w:r>
      <w:r>
        <w:rPr>
          <w:b/>
          <w:i w:val="0"/>
          <w:color w:val="000000" w:themeColor="text1"/>
          <w:vertAlign w:val="subscript"/>
          <w:lang w:val="en-GB"/>
        </w:rPr>
        <w:t>CFD</w:t>
      </w:r>
      <w:r>
        <w:rPr>
          <w:b/>
          <w:i w:val="0"/>
          <w:color w:val="000000" w:themeColor="text1"/>
          <w:lang w:val="en-GB"/>
        </w:rPr>
        <w:t>) and global risk of infection (R</w:t>
      </w:r>
      <w:r>
        <w:rPr>
          <w:b/>
          <w:i w:val="0"/>
          <w:color w:val="000000" w:themeColor="text1"/>
          <w:vertAlign w:val="subscript"/>
          <w:lang w:val="en-GB"/>
        </w:rPr>
        <w:t>CFD</w:t>
      </w:r>
      <w:r>
        <w:rPr>
          <w:b/>
          <w:i w:val="0"/>
          <w:color w:val="000000" w:themeColor="text1"/>
          <w:lang w:val="en-GB"/>
        </w:rPr>
        <w:t>) at DVV-1</w:t>
      </w:r>
    </w:p>
    <w:p w14:paraId="1F08DC57" w14:textId="77777777" w:rsidR="002F0DE0" w:rsidRDefault="002F0DE0" w:rsidP="002F0DE0">
      <w:pPr>
        <w:pStyle w:val="Caption"/>
        <w:spacing w:after="0" w:line="288" w:lineRule="auto"/>
        <w:ind w:left="907"/>
        <w:jc w:val="both"/>
        <w:rPr>
          <w:i w:val="0"/>
          <w:color w:val="000000" w:themeColor="text1"/>
          <w:lang w:val="en-GB"/>
        </w:rPr>
      </w:pPr>
      <w:r>
        <w:rPr>
          <w:i w:val="0"/>
          <w:color w:val="000000" w:themeColor="text1"/>
          <w:lang w:val="en-GB"/>
        </w:rPr>
        <w:t>Infection risk plots for the emitter position E2, E6 and H5 for the silent passive emitter (A) and the high emitter (90</w:t>
      </w:r>
      <w:r>
        <w:rPr>
          <w:i w:val="0"/>
          <w:color w:val="000000" w:themeColor="text1"/>
          <w:vertAlign w:val="superscript"/>
          <w:lang w:val="en-GB"/>
        </w:rPr>
        <w:t>th</w:t>
      </w:r>
      <w:r>
        <w:rPr>
          <w:i w:val="0"/>
          <w:color w:val="000000" w:themeColor="text1"/>
          <w:lang w:val="en-GB"/>
        </w:rPr>
        <w:t xml:space="preserve"> percentile; B) are shown with full air flow rate. The individual risk of infection is plotted for each position, except for the red positions as these do not represent seats in the audience. The sum of risk for </w:t>
      </w:r>
      <w:r>
        <w:rPr>
          <w:i w:val="0"/>
          <w:color w:val="000000" w:themeColor="text1"/>
          <w:lang w:val="en-GB"/>
        </w:rPr>
        <w:lastRenderedPageBreak/>
        <w:t xml:space="preserve">each venue and emitter position as well as the number of spectators with </w:t>
      </w:r>
      <w:proofErr w:type="spellStart"/>
      <w:r>
        <w:rPr>
          <w:i w:val="0"/>
          <w:color w:val="000000" w:themeColor="text1"/>
          <w:lang w:val="en-GB"/>
        </w:rPr>
        <w:t>R</w:t>
      </w:r>
      <w:r>
        <w:rPr>
          <w:i w:val="0"/>
          <w:color w:val="000000" w:themeColor="text1"/>
          <w:vertAlign w:val="subscript"/>
          <w:lang w:val="en-GB"/>
        </w:rPr>
        <w:t>acc</w:t>
      </w:r>
      <w:proofErr w:type="spellEnd"/>
      <w:r>
        <w:rPr>
          <w:i w:val="0"/>
          <w:color w:val="000000" w:themeColor="text1"/>
          <w:lang w:val="en-GB"/>
        </w:rPr>
        <w:t xml:space="preserve"> &gt; 1% are indicated above the plots and are summarised in the table.</w:t>
      </w:r>
    </w:p>
    <w:p w14:paraId="31F9A5DC" w14:textId="77777777" w:rsidR="002F0DE0" w:rsidRDefault="002F0DE0" w:rsidP="002F0DE0">
      <w:pPr>
        <w:spacing w:after="0"/>
        <w:rPr>
          <w:lang w:val="en-GB"/>
        </w:rPr>
      </w:pPr>
      <w:r>
        <w:rPr>
          <w:noProof/>
          <w:lang w:val="en-US"/>
        </w:rPr>
        <w:drawing>
          <wp:inline distT="0" distB="0" distL="0" distR="0" wp14:anchorId="17B70FFF" wp14:editId="64ED6FC5">
            <wp:extent cx="5866765" cy="1312545"/>
            <wp:effectExtent l="0" t="0" r="63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66765" cy="1312545"/>
                    </a:xfrm>
                    <a:prstGeom prst="rect">
                      <a:avLst/>
                    </a:prstGeom>
                    <a:noFill/>
                    <a:ln>
                      <a:noFill/>
                    </a:ln>
                  </pic:spPr>
                </pic:pic>
              </a:graphicData>
            </a:graphic>
          </wp:inline>
        </w:drawing>
      </w:r>
    </w:p>
    <w:p w14:paraId="515CC1DC" w14:textId="77777777" w:rsidR="002F0DE0" w:rsidRDefault="002F0DE0" w:rsidP="002F0DE0">
      <w:pPr>
        <w:pStyle w:val="Caption"/>
        <w:spacing w:after="0" w:line="288" w:lineRule="auto"/>
        <w:ind w:left="907" w:hanging="907"/>
        <w:jc w:val="both"/>
        <w:rPr>
          <w:b/>
          <w:i w:val="0"/>
          <w:color w:val="000000" w:themeColor="text1"/>
          <w:lang w:val="en-GB"/>
        </w:rPr>
      </w:pPr>
      <w:bookmarkStart w:id="5" w:name="_Ref137026988"/>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6</w:t>
      </w:r>
      <w:r>
        <w:fldChar w:fldCharType="end"/>
      </w:r>
      <w:bookmarkEnd w:id="5"/>
      <w:r>
        <w:rPr>
          <w:b/>
          <w:i w:val="0"/>
          <w:color w:val="000000" w:themeColor="text1"/>
          <w:lang w:val="en-GB"/>
        </w:rPr>
        <w:t>:</w:t>
      </w:r>
      <w:r>
        <w:rPr>
          <w:i w:val="0"/>
          <w:iCs w:val="0"/>
          <w:color w:val="auto"/>
          <w:sz w:val="20"/>
          <w:szCs w:val="22"/>
          <w:lang w:val="en-GB"/>
        </w:rPr>
        <w:t xml:space="preserve"> </w:t>
      </w:r>
      <w:r>
        <w:rPr>
          <w:i w:val="0"/>
          <w:iCs w:val="0"/>
          <w:color w:val="auto"/>
          <w:sz w:val="20"/>
          <w:szCs w:val="22"/>
          <w:lang w:val="en-GB"/>
        </w:rPr>
        <w:tab/>
      </w:r>
      <w:r>
        <w:rPr>
          <w:b/>
          <w:i w:val="0"/>
          <w:color w:val="000000" w:themeColor="text1"/>
          <w:lang w:val="en-GB"/>
        </w:rPr>
        <w:t>Distribution of the numerical individual (P</w:t>
      </w:r>
      <w:r>
        <w:rPr>
          <w:b/>
          <w:i w:val="0"/>
          <w:color w:val="000000" w:themeColor="text1"/>
          <w:vertAlign w:val="subscript"/>
          <w:lang w:val="en-GB"/>
        </w:rPr>
        <w:t>CFD</w:t>
      </w:r>
      <w:r>
        <w:rPr>
          <w:b/>
          <w:i w:val="0"/>
          <w:color w:val="000000" w:themeColor="text1"/>
          <w:lang w:val="en-GB"/>
        </w:rPr>
        <w:t>) and global risk of infection (R</w:t>
      </w:r>
      <w:r>
        <w:rPr>
          <w:b/>
          <w:i w:val="0"/>
          <w:color w:val="000000" w:themeColor="text1"/>
          <w:vertAlign w:val="subscript"/>
          <w:lang w:val="en-GB"/>
        </w:rPr>
        <w:t>CFD</w:t>
      </w:r>
      <w:r>
        <w:rPr>
          <w:b/>
          <w:i w:val="0"/>
          <w:color w:val="000000" w:themeColor="text1"/>
          <w:lang w:val="en-GB"/>
        </w:rPr>
        <w:t xml:space="preserve">) for MVV-1 for a silent, passive emitter considering checkerboard seating arrangement  </w:t>
      </w:r>
    </w:p>
    <w:p w14:paraId="6E860610" w14:textId="77777777" w:rsidR="002F0DE0" w:rsidRDefault="002F0DE0" w:rsidP="002F0DE0">
      <w:pPr>
        <w:pStyle w:val="Caption"/>
        <w:spacing w:after="0" w:line="288" w:lineRule="auto"/>
        <w:ind w:left="907"/>
        <w:jc w:val="both"/>
        <w:rPr>
          <w:i w:val="0"/>
          <w:color w:val="000000" w:themeColor="text1"/>
          <w:lang w:val="en-GB"/>
        </w:rPr>
      </w:pPr>
      <w:r>
        <w:rPr>
          <w:i w:val="0"/>
          <w:color w:val="000000" w:themeColor="text1"/>
          <w:lang w:val="en-GB"/>
        </w:rPr>
        <w:t xml:space="preserve">Infection risk plots for the emitter positions I16 (1), E16 (2) and H28 (3) are shown for a silent, passive emitter in a checkerboard arrangement of spectators. The individual risk of infection is plotted for each spectator, except for the red positions as these do not represent seats in the audience. The sum of risks for each venue and emitter position as well as the number of spectators with </w:t>
      </w:r>
      <w:proofErr w:type="spellStart"/>
      <w:r>
        <w:rPr>
          <w:i w:val="0"/>
          <w:color w:val="000000" w:themeColor="text1"/>
          <w:lang w:val="en-GB"/>
        </w:rPr>
        <w:t>R</w:t>
      </w:r>
      <w:r>
        <w:rPr>
          <w:i w:val="0"/>
          <w:color w:val="000000" w:themeColor="text1"/>
          <w:vertAlign w:val="subscript"/>
          <w:lang w:val="en-GB"/>
        </w:rPr>
        <w:t>acc</w:t>
      </w:r>
      <w:proofErr w:type="spellEnd"/>
      <w:r>
        <w:rPr>
          <w:i w:val="0"/>
          <w:color w:val="000000" w:themeColor="text1"/>
          <w:lang w:val="en-GB"/>
        </w:rPr>
        <w:t xml:space="preserve"> &gt; 1% are indicated above the plots.</w:t>
      </w:r>
    </w:p>
    <w:p w14:paraId="26A3784B" w14:textId="77777777" w:rsidR="002F0DE0" w:rsidRDefault="002F0DE0" w:rsidP="002F0DE0">
      <w:pPr>
        <w:keepNext/>
        <w:spacing w:after="0"/>
      </w:pPr>
      <w:r>
        <w:rPr>
          <w:noProof/>
          <w:lang w:val="en-US"/>
        </w:rPr>
        <w:drawing>
          <wp:inline distT="0" distB="0" distL="0" distR="0" wp14:anchorId="03E5B302" wp14:editId="1E11106C">
            <wp:extent cx="5875655" cy="29152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75655" cy="2915285"/>
                    </a:xfrm>
                    <a:prstGeom prst="rect">
                      <a:avLst/>
                    </a:prstGeom>
                    <a:noFill/>
                    <a:ln>
                      <a:noFill/>
                    </a:ln>
                  </pic:spPr>
                </pic:pic>
              </a:graphicData>
            </a:graphic>
          </wp:inline>
        </w:drawing>
      </w:r>
    </w:p>
    <w:p w14:paraId="684A9F0C" w14:textId="77777777" w:rsidR="002F0DE0" w:rsidRDefault="002F0DE0" w:rsidP="002F0DE0">
      <w:pPr>
        <w:pStyle w:val="Caption"/>
        <w:spacing w:after="0" w:line="288" w:lineRule="auto"/>
        <w:ind w:left="907" w:hanging="907"/>
        <w:jc w:val="both"/>
        <w:rPr>
          <w:b/>
          <w:i w:val="0"/>
          <w:color w:val="000000" w:themeColor="text1"/>
          <w:lang w:val="en-GB"/>
        </w:rPr>
      </w:pPr>
      <w:bookmarkStart w:id="6" w:name="_Ref137027024"/>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7</w:t>
      </w:r>
      <w:r>
        <w:fldChar w:fldCharType="end"/>
      </w:r>
      <w:bookmarkEnd w:id="6"/>
      <w:r>
        <w:rPr>
          <w:b/>
          <w:i w:val="0"/>
          <w:color w:val="000000" w:themeColor="text1"/>
          <w:lang w:val="en-GB"/>
        </w:rPr>
        <w:t xml:space="preserve">: </w:t>
      </w:r>
      <w:r>
        <w:rPr>
          <w:b/>
          <w:i w:val="0"/>
          <w:color w:val="000000" w:themeColor="text1"/>
          <w:lang w:val="en-GB"/>
        </w:rPr>
        <w:tab/>
        <w:t>Influence of the checkerboard seating arrangement on experimentally derived individual (</w:t>
      </w:r>
      <w:proofErr w:type="spellStart"/>
      <w:r>
        <w:rPr>
          <w:b/>
          <w:i w:val="0"/>
          <w:color w:val="000000" w:themeColor="text1"/>
          <w:lang w:val="en-GB"/>
        </w:rPr>
        <w:t>P</w:t>
      </w:r>
      <w:r>
        <w:rPr>
          <w:b/>
          <w:i w:val="0"/>
          <w:color w:val="000000" w:themeColor="text1"/>
          <w:vertAlign w:val="subscript"/>
          <w:lang w:val="en-GB"/>
        </w:rPr>
        <w:t>ATMoS</w:t>
      </w:r>
      <w:proofErr w:type="spellEnd"/>
      <w:r>
        <w:rPr>
          <w:b/>
          <w:i w:val="0"/>
          <w:color w:val="000000" w:themeColor="text1"/>
          <w:lang w:val="en-GB"/>
        </w:rPr>
        <w:t>) and global risk of infection (</w:t>
      </w:r>
      <w:proofErr w:type="spellStart"/>
      <w:r>
        <w:rPr>
          <w:b/>
          <w:i w:val="0"/>
          <w:color w:val="000000" w:themeColor="text1"/>
          <w:lang w:val="en-GB"/>
        </w:rPr>
        <w:t>R</w:t>
      </w:r>
      <w:r>
        <w:rPr>
          <w:b/>
          <w:i w:val="0"/>
          <w:color w:val="000000" w:themeColor="text1"/>
          <w:vertAlign w:val="subscript"/>
          <w:lang w:val="en-GB"/>
        </w:rPr>
        <w:t>ATMoS</w:t>
      </w:r>
      <w:proofErr w:type="spellEnd"/>
      <w:r>
        <w:rPr>
          <w:b/>
          <w:i w:val="0"/>
          <w:color w:val="000000" w:themeColor="text1"/>
          <w:lang w:val="en-GB"/>
        </w:rPr>
        <w:t>) at MVV-1</w:t>
      </w:r>
    </w:p>
    <w:p w14:paraId="11C48C58" w14:textId="77777777" w:rsidR="002F0DE0" w:rsidRDefault="002F0DE0" w:rsidP="002F0DE0">
      <w:pPr>
        <w:pStyle w:val="Caption"/>
        <w:spacing w:after="240" w:line="288" w:lineRule="auto"/>
        <w:ind w:left="907"/>
        <w:jc w:val="both"/>
        <w:rPr>
          <w:i w:val="0"/>
          <w:color w:val="000000" w:themeColor="text1"/>
          <w:lang w:val="en-GB"/>
        </w:rPr>
      </w:pPr>
      <w:r>
        <w:rPr>
          <w:i w:val="0"/>
          <w:color w:val="000000" w:themeColor="text1"/>
          <w:lang w:val="en-GB"/>
        </w:rPr>
        <w:t xml:space="preserve">The measurement positions for the experimentally derived individual infection risks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are shown as black boxes for the emitter (‘E’) positions E16 (A), H28 (B) and I16 (C) for the full occupancy and checkerboard seating arrangement for MVV-1.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was calculated for each absorber using the absorbed NaCl mass and a quanta emission rate of 18.6 quanta h</w:t>
      </w:r>
      <w:r>
        <w:rPr>
          <w:i w:val="0"/>
          <w:color w:val="000000" w:themeColor="text1"/>
          <w:vertAlign w:val="superscript"/>
          <w:lang w:val="en-GB"/>
        </w:rPr>
        <w:t>-1</w:t>
      </w:r>
      <w:r>
        <w:rPr>
          <w:i w:val="0"/>
          <w:color w:val="000000" w:themeColor="text1"/>
          <w:lang w:val="en-GB"/>
        </w:rPr>
        <w:t xml:space="preserve">. The values for each absorber are summarised in the table. To obtain </w:t>
      </w:r>
      <w:proofErr w:type="spellStart"/>
      <w:r>
        <w:rPr>
          <w:i w:val="0"/>
          <w:color w:val="000000" w:themeColor="text1"/>
          <w:lang w:val="en-GB"/>
        </w:rPr>
        <w:t>R</w:t>
      </w:r>
      <w:r>
        <w:rPr>
          <w:i w:val="0"/>
          <w:color w:val="000000" w:themeColor="text1"/>
          <w:vertAlign w:val="subscript"/>
          <w:lang w:val="en-GB"/>
        </w:rPr>
        <w:t>ATMoS</w:t>
      </w:r>
      <w:proofErr w:type="spellEnd"/>
      <w:r>
        <w:rPr>
          <w:i w:val="0"/>
          <w:color w:val="000000" w:themeColor="text1"/>
          <w:lang w:val="en-GB"/>
        </w:rPr>
        <w:t xml:space="preserve"> the mean value of the seven </w:t>
      </w:r>
      <w:proofErr w:type="gramStart"/>
      <w:r>
        <w:rPr>
          <w:i w:val="0"/>
          <w:color w:val="000000" w:themeColor="text1"/>
          <w:lang w:val="en-GB"/>
        </w:rPr>
        <w:t>absorber-specific</w:t>
      </w:r>
      <w:proofErr w:type="gramEnd"/>
      <w:r>
        <w:rPr>
          <w:i w:val="0"/>
          <w:color w:val="000000" w:themeColor="text1"/>
          <w:lang w:val="en-GB"/>
        </w:rPr>
        <w:t xml:space="preserve">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of one measurement was calculated and multiplied by the total number of spectators. (D)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for the seven absorbers are summarised in radar charts for each emitter position and occupancy configuration. The numbers 1 to 7 refer to the seven absorbers. The blue solid line showed the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for full occupancy, the orange solid line represents the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for the checkerboard pattern seating.</w:t>
      </w:r>
    </w:p>
    <w:p w14:paraId="3C48BE8C" w14:textId="77777777" w:rsidR="002F0DE0" w:rsidRDefault="002F0DE0" w:rsidP="002F0DE0">
      <w:pPr>
        <w:spacing w:after="0"/>
        <w:rPr>
          <w:lang w:val="en-GB"/>
        </w:rPr>
      </w:pPr>
      <w:r>
        <w:rPr>
          <w:noProof/>
          <w:lang w:val="en-US"/>
        </w:rPr>
        <w:lastRenderedPageBreak/>
        <w:drawing>
          <wp:inline distT="0" distB="0" distL="0" distR="0" wp14:anchorId="0FAFB7A9" wp14:editId="63257940">
            <wp:extent cx="5047615" cy="261175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7615" cy="2611755"/>
                    </a:xfrm>
                    <a:prstGeom prst="rect">
                      <a:avLst/>
                    </a:prstGeom>
                    <a:noFill/>
                    <a:ln>
                      <a:noFill/>
                    </a:ln>
                  </pic:spPr>
                </pic:pic>
              </a:graphicData>
            </a:graphic>
          </wp:inline>
        </w:drawing>
      </w:r>
    </w:p>
    <w:p w14:paraId="4DC2CBA3" w14:textId="77777777" w:rsidR="002F0DE0" w:rsidRDefault="002F0DE0" w:rsidP="002F0DE0">
      <w:pPr>
        <w:pStyle w:val="Caption"/>
        <w:spacing w:after="0" w:line="288" w:lineRule="auto"/>
        <w:ind w:left="907" w:hanging="907"/>
        <w:jc w:val="both"/>
        <w:rPr>
          <w:b/>
          <w:i w:val="0"/>
          <w:color w:val="000000" w:themeColor="text1"/>
          <w:lang w:val="en-GB"/>
        </w:rPr>
      </w:pPr>
      <w:bookmarkStart w:id="7" w:name="_Ref137025780"/>
      <w:r>
        <w:rPr>
          <w:b/>
          <w:i w:val="0"/>
          <w:color w:val="000000" w:themeColor="text1"/>
          <w:lang w:val="en-GB"/>
        </w:rPr>
        <w:t>Fig. S</w:t>
      </w:r>
      <w:r>
        <w:fldChar w:fldCharType="begin"/>
      </w:r>
      <w:r>
        <w:rPr>
          <w:b/>
          <w:i w:val="0"/>
          <w:color w:val="000000" w:themeColor="text1"/>
          <w:lang w:val="en-GB"/>
        </w:rPr>
        <w:instrText xml:space="preserve"> SEQ Fig._S \* ARABIC </w:instrText>
      </w:r>
      <w:r>
        <w:fldChar w:fldCharType="separate"/>
      </w:r>
      <w:r>
        <w:rPr>
          <w:b/>
          <w:i w:val="0"/>
          <w:noProof/>
          <w:color w:val="000000" w:themeColor="text1"/>
          <w:lang w:val="en-GB"/>
        </w:rPr>
        <w:t>8</w:t>
      </w:r>
      <w:r>
        <w:fldChar w:fldCharType="end"/>
      </w:r>
      <w:bookmarkEnd w:id="7"/>
      <w:r>
        <w:rPr>
          <w:b/>
          <w:i w:val="0"/>
          <w:color w:val="000000" w:themeColor="text1"/>
          <w:lang w:val="en-GB"/>
        </w:rPr>
        <w:t xml:space="preserve">: </w:t>
      </w:r>
      <w:r>
        <w:rPr>
          <w:b/>
          <w:i w:val="0"/>
          <w:color w:val="000000" w:themeColor="text1"/>
          <w:lang w:val="en-GB"/>
        </w:rPr>
        <w:tab/>
        <w:t>Influence of the checkerboard seating arrangement on experimentally derived individual (</w:t>
      </w:r>
      <w:proofErr w:type="spellStart"/>
      <w:r>
        <w:rPr>
          <w:b/>
          <w:i w:val="0"/>
          <w:color w:val="000000" w:themeColor="text1"/>
          <w:lang w:val="en-GB"/>
        </w:rPr>
        <w:t>P</w:t>
      </w:r>
      <w:r>
        <w:rPr>
          <w:b/>
          <w:i w:val="0"/>
          <w:color w:val="000000" w:themeColor="text1"/>
          <w:vertAlign w:val="subscript"/>
          <w:lang w:val="en-GB"/>
        </w:rPr>
        <w:t>ATMoS</w:t>
      </w:r>
      <w:proofErr w:type="spellEnd"/>
      <w:r>
        <w:rPr>
          <w:b/>
          <w:i w:val="0"/>
          <w:color w:val="000000" w:themeColor="text1"/>
          <w:lang w:val="en-GB"/>
        </w:rPr>
        <w:t>) and global risk of infection (</w:t>
      </w:r>
      <w:proofErr w:type="spellStart"/>
      <w:r>
        <w:rPr>
          <w:b/>
          <w:i w:val="0"/>
          <w:color w:val="000000" w:themeColor="text1"/>
          <w:lang w:val="en-GB"/>
        </w:rPr>
        <w:t>R</w:t>
      </w:r>
      <w:r>
        <w:rPr>
          <w:b/>
          <w:i w:val="0"/>
          <w:color w:val="000000" w:themeColor="text1"/>
          <w:vertAlign w:val="subscript"/>
          <w:lang w:val="en-GB"/>
        </w:rPr>
        <w:t>ATMoS</w:t>
      </w:r>
      <w:proofErr w:type="spellEnd"/>
      <w:r>
        <w:rPr>
          <w:b/>
          <w:i w:val="0"/>
          <w:color w:val="000000" w:themeColor="text1"/>
          <w:lang w:val="en-GB"/>
        </w:rPr>
        <w:t>) at MVV-2</w:t>
      </w:r>
    </w:p>
    <w:p w14:paraId="450B10B2" w14:textId="77777777" w:rsidR="002F0DE0" w:rsidRDefault="002F0DE0" w:rsidP="002F0DE0">
      <w:pPr>
        <w:pStyle w:val="Caption"/>
        <w:spacing w:after="0" w:line="288" w:lineRule="auto"/>
        <w:ind w:left="907"/>
        <w:jc w:val="both"/>
        <w:rPr>
          <w:i w:val="0"/>
          <w:color w:val="000000" w:themeColor="text1"/>
          <w:lang w:val="en-GB"/>
        </w:rPr>
      </w:pPr>
      <w:r>
        <w:rPr>
          <w:i w:val="0"/>
          <w:color w:val="000000" w:themeColor="text1"/>
          <w:lang w:val="en-GB"/>
        </w:rPr>
        <w:t xml:space="preserve">The measurement positions for the experimentally derived individual infection risks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are shown as black boxes for the emitter (‘E’) positions A2 (A), C4 (B) and F4 (C) for the full occupancy and checkerboard seating arrangement for MVV-2.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was calculated for each absorber using the absorbed NaCl mass and a quanta emission rate of 18.6 quanta h</w:t>
      </w:r>
      <w:r>
        <w:rPr>
          <w:i w:val="0"/>
          <w:color w:val="000000" w:themeColor="text1"/>
          <w:vertAlign w:val="superscript"/>
          <w:lang w:val="en-GB"/>
        </w:rPr>
        <w:t>-1</w:t>
      </w:r>
      <w:r>
        <w:rPr>
          <w:i w:val="0"/>
          <w:color w:val="000000" w:themeColor="text1"/>
          <w:lang w:val="en-GB"/>
        </w:rPr>
        <w:t xml:space="preserve">. The values for each absorber are summarised in the table. To obtain </w:t>
      </w:r>
      <w:proofErr w:type="spellStart"/>
      <w:r>
        <w:rPr>
          <w:i w:val="0"/>
          <w:color w:val="000000" w:themeColor="text1"/>
          <w:lang w:val="en-GB"/>
        </w:rPr>
        <w:t>R</w:t>
      </w:r>
      <w:r>
        <w:rPr>
          <w:i w:val="0"/>
          <w:color w:val="000000" w:themeColor="text1"/>
          <w:vertAlign w:val="subscript"/>
          <w:lang w:val="en-GB"/>
        </w:rPr>
        <w:t>ATMoS</w:t>
      </w:r>
      <w:proofErr w:type="spellEnd"/>
      <w:r>
        <w:rPr>
          <w:i w:val="0"/>
          <w:color w:val="000000" w:themeColor="text1"/>
          <w:lang w:val="en-GB"/>
        </w:rPr>
        <w:t xml:space="preserve"> the mean value of the seven </w:t>
      </w:r>
      <w:proofErr w:type="gramStart"/>
      <w:r>
        <w:rPr>
          <w:i w:val="0"/>
          <w:color w:val="000000" w:themeColor="text1"/>
          <w:lang w:val="en-GB"/>
        </w:rPr>
        <w:t>absorber-specific</w:t>
      </w:r>
      <w:proofErr w:type="gramEnd"/>
      <w:r>
        <w:rPr>
          <w:i w:val="0"/>
          <w:color w:val="000000" w:themeColor="text1"/>
          <w:lang w:val="en-GB"/>
        </w:rPr>
        <w:t xml:space="preserve">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of one measurement was calculated and multiplied by the total number of spectators. (D)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for the seven absorbers are summarised in radar charts for each emitter position and occupancy configuration. The numbers 1 to 7 refer to the seven absorbers. The blue solid line showed the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for full occupancy, the orange solid line represents the </w:t>
      </w:r>
      <w:proofErr w:type="spellStart"/>
      <w:r>
        <w:rPr>
          <w:i w:val="0"/>
          <w:color w:val="000000" w:themeColor="text1"/>
          <w:lang w:val="en-GB"/>
        </w:rPr>
        <w:t>P</w:t>
      </w:r>
      <w:r>
        <w:rPr>
          <w:i w:val="0"/>
          <w:color w:val="000000" w:themeColor="text1"/>
          <w:vertAlign w:val="subscript"/>
          <w:lang w:val="en-GB"/>
        </w:rPr>
        <w:t>ATMoS</w:t>
      </w:r>
      <w:proofErr w:type="spellEnd"/>
      <w:r>
        <w:rPr>
          <w:i w:val="0"/>
          <w:color w:val="000000" w:themeColor="text1"/>
          <w:lang w:val="en-GB"/>
        </w:rPr>
        <w:t xml:space="preserve"> values for the checkerboard pattern seating. </w:t>
      </w:r>
    </w:p>
    <w:p w14:paraId="548C4664" w14:textId="77777777" w:rsidR="002F0DE0" w:rsidRDefault="002F0DE0" w:rsidP="002F0DE0">
      <w:pPr>
        <w:pStyle w:val="Caption"/>
        <w:spacing w:after="0" w:line="288" w:lineRule="auto"/>
        <w:ind w:left="907" w:hanging="907"/>
        <w:jc w:val="both"/>
        <w:rPr>
          <w:b/>
          <w:i w:val="0"/>
          <w:color w:val="000000" w:themeColor="text1"/>
          <w:lang w:val="en-GB"/>
        </w:rPr>
      </w:pPr>
    </w:p>
    <w:p w14:paraId="24756058" w14:textId="77777777" w:rsidR="002F0DE0" w:rsidRDefault="002F0DE0" w:rsidP="002F0DE0">
      <w:pPr>
        <w:pStyle w:val="Caption"/>
        <w:spacing w:after="0" w:line="288" w:lineRule="auto"/>
        <w:ind w:left="907" w:hanging="907"/>
        <w:jc w:val="both"/>
        <w:rPr>
          <w:b/>
          <w:i w:val="0"/>
          <w:color w:val="000000" w:themeColor="text1"/>
          <w:lang w:val="en-GB"/>
        </w:rPr>
      </w:pPr>
    </w:p>
    <w:p w14:paraId="45FDC6AB" w14:textId="77777777" w:rsidR="002F0DE0" w:rsidRDefault="002F0DE0" w:rsidP="002F0DE0">
      <w:pPr>
        <w:pStyle w:val="Caption"/>
        <w:spacing w:after="0" w:line="288" w:lineRule="auto"/>
        <w:ind w:left="907" w:hanging="907"/>
        <w:rPr>
          <w:b/>
          <w:bCs/>
          <w:i w:val="0"/>
          <w:color w:val="000000" w:themeColor="text1"/>
          <w:lang w:val="en-GB"/>
        </w:rPr>
      </w:pPr>
      <w:bookmarkStart w:id="8" w:name="_Ref136954710"/>
      <w:r>
        <w:rPr>
          <w:b/>
          <w:i w:val="0"/>
          <w:color w:val="000000" w:themeColor="text1"/>
          <w:lang w:val="en-GB"/>
        </w:rPr>
        <w:t>Table S</w:t>
      </w:r>
      <w:r>
        <w:fldChar w:fldCharType="begin"/>
      </w:r>
      <w:r>
        <w:rPr>
          <w:b/>
          <w:i w:val="0"/>
          <w:color w:val="000000" w:themeColor="text1"/>
          <w:lang w:val="en-GB"/>
        </w:rPr>
        <w:instrText xml:space="preserve"> SEQ Table_S \* ARABIC </w:instrText>
      </w:r>
      <w:r>
        <w:fldChar w:fldCharType="separate"/>
      </w:r>
      <w:r>
        <w:rPr>
          <w:b/>
          <w:i w:val="0"/>
          <w:noProof/>
          <w:color w:val="000000" w:themeColor="text1"/>
          <w:lang w:val="en-GB"/>
        </w:rPr>
        <w:t>1</w:t>
      </w:r>
      <w:r>
        <w:fldChar w:fldCharType="end"/>
      </w:r>
      <w:bookmarkEnd w:id="8"/>
      <w:r>
        <w:rPr>
          <w:b/>
          <w:i w:val="0"/>
          <w:color w:val="000000" w:themeColor="text1"/>
          <w:lang w:val="en-GB"/>
        </w:rPr>
        <w:t xml:space="preserve">: </w:t>
      </w:r>
      <w:r>
        <w:rPr>
          <w:b/>
          <w:bCs/>
          <w:i w:val="0"/>
          <w:color w:val="000000" w:themeColor="text1"/>
          <w:lang w:val="en-GB"/>
        </w:rPr>
        <w:t>Room characteristics of the investigated venues</w:t>
      </w:r>
    </w:p>
    <w:p w14:paraId="33BB5887" w14:textId="77777777" w:rsidR="002F0DE0" w:rsidRDefault="002F0DE0" w:rsidP="002F0DE0">
      <w:pPr>
        <w:pStyle w:val="Caption"/>
        <w:spacing w:after="0" w:line="288" w:lineRule="auto"/>
        <w:ind w:left="907"/>
        <w:jc w:val="both"/>
        <w:rPr>
          <w:b/>
          <w:bCs/>
          <w:i w:val="0"/>
          <w:color w:val="000000" w:themeColor="text1"/>
          <w:lang w:val="en-GB"/>
        </w:rPr>
      </w:pPr>
      <w:r>
        <w:rPr>
          <w:bCs/>
          <w:i w:val="0"/>
          <w:color w:val="000000" w:themeColor="text1"/>
          <w:lang w:val="en-US"/>
        </w:rPr>
        <w:t xml:space="preserve">Experimental measurement time and room characteristics of venues with displacement ventilation (DVV-1, DVV-2), with mixing ventilation (MVV-1, MVV-2), and the naturally ventilated venue NVV-1 are listed. The introduction of the ventilation effectiveness </w:t>
      </w:r>
      <w:proofErr w:type="spellStart"/>
      <w:r>
        <w:rPr>
          <w:bCs/>
          <w:i w:val="0"/>
          <w:color w:val="000000" w:themeColor="text1"/>
          <w:lang w:val="en-US"/>
        </w:rPr>
        <w:t>E</w:t>
      </w:r>
      <w:r>
        <w:rPr>
          <w:bCs/>
          <w:i w:val="0"/>
          <w:color w:val="000000" w:themeColor="text1"/>
          <w:vertAlign w:val="subscript"/>
          <w:lang w:val="en-US"/>
        </w:rPr>
        <w:t>z</w:t>
      </w:r>
      <w:proofErr w:type="spellEnd"/>
      <w:r>
        <w:rPr>
          <w:bCs/>
          <w:i w:val="0"/>
          <w:color w:val="000000" w:themeColor="text1"/>
          <w:lang w:val="en-US"/>
        </w:rPr>
        <w:t xml:space="preserve"> followed a similar approach of Sun &amp; Zhai</w:t>
      </w:r>
      <w:r>
        <w:rPr>
          <w:bCs/>
          <w:i w:val="0"/>
          <w:color w:val="000000" w:themeColor="text1"/>
          <w:vertAlign w:val="superscript"/>
          <w:lang w:val="en-US"/>
        </w:rPr>
        <w:t>68</w:t>
      </w:r>
      <w:r>
        <w:rPr>
          <w:bCs/>
          <w:i w:val="0"/>
          <w:color w:val="000000" w:themeColor="text1"/>
          <w:lang w:val="en-US"/>
        </w:rPr>
        <w:t xml:space="preserve"> and was adopted from ASHRAE Standard 62.1</w:t>
      </w:r>
      <w:r>
        <w:rPr>
          <w:bCs/>
          <w:i w:val="0"/>
          <w:color w:val="000000" w:themeColor="text1"/>
          <w:vertAlign w:val="superscript"/>
          <w:lang w:val="en-US"/>
        </w:rPr>
        <w:t>15</w:t>
      </w:r>
      <w:r>
        <w:rPr>
          <w:bCs/>
          <w:i w:val="0"/>
          <w:color w:val="000000" w:themeColor="text1"/>
          <w:lang w:val="en-US"/>
        </w:rPr>
        <w:t xml:space="preserve">. </w:t>
      </w:r>
      <w:r>
        <w:rPr>
          <w:bCs/>
          <w:i w:val="0"/>
          <w:color w:val="000000" w:themeColor="text1"/>
          <w:vertAlign w:val="superscript"/>
          <w:lang w:val="en-US"/>
        </w:rPr>
        <w:t>#</w:t>
      </w:r>
      <w:r>
        <w:rPr>
          <w:bCs/>
          <w:i w:val="0"/>
          <w:color w:val="000000" w:themeColor="text1"/>
          <w:lang w:val="en-US"/>
        </w:rPr>
        <w:t xml:space="preserve">Ventilation rate assumption for CFD analysis </w:t>
      </w:r>
    </w:p>
    <w:p w14:paraId="353FF4AE" w14:textId="77777777" w:rsidR="002F0DE0" w:rsidRDefault="002F0DE0" w:rsidP="002F0DE0">
      <w:pPr>
        <w:pStyle w:val="Caption"/>
        <w:spacing w:after="0" w:line="288" w:lineRule="auto"/>
        <w:ind w:left="794" w:hanging="794"/>
        <w:rPr>
          <w:b/>
          <w:bCs/>
          <w:color w:val="000000" w:themeColor="text1"/>
          <w:lang w:val="en-GB"/>
        </w:rPr>
      </w:pPr>
      <w:r>
        <w:rPr>
          <w:lang w:val="en-GB" w:eastAsia="de-DE"/>
        </w:rPr>
        <w:tab/>
      </w:r>
      <w:r>
        <w:rPr>
          <w:lang w:val="en-GB" w:eastAsia="de-DE"/>
        </w:rPr>
        <w:tab/>
      </w:r>
    </w:p>
    <w:tbl>
      <w:tblPr>
        <w:tblW w:w="9952" w:type="dxa"/>
        <w:tblCellMar>
          <w:left w:w="0" w:type="dxa"/>
          <w:right w:w="0" w:type="dxa"/>
        </w:tblCellMar>
        <w:tblLook w:val="04A0" w:firstRow="1" w:lastRow="0" w:firstColumn="1" w:lastColumn="0" w:noHBand="0" w:noVBand="1"/>
      </w:tblPr>
      <w:tblGrid>
        <w:gridCol w:w="1015"/>
        <w:gridCol w:w="979"/>
        <w:gridCol w:w="1545"/>
        <w:gridCol w:w="1047"/>
        <w:gridCol w:w="1195"/>
        <w:gridCol w:w="1170"/>
        <w:gridCol w:w="1484"/>
        <w:gridCol w:w="1517"/>
      </w:tblGrid>
      <w:tr w:rsidR="002F0DE0" w14:paraId="53BC1619" w14:textId="77777777" w:rsidTr="002F0DE0">
        <w:trPr>
          <w:trHeight w:val="1265"/>
        </w:trPr>
        <w:tc>
          <w:tcPr>
            <w:tcW w:w="1028"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719A958B" w14:textId="77777777" w:rsidR="002F0DE0" w:rsidRDefault="002F0DE0">
            <w:pPr>
              <w:rPr>
                <w:lang w:eastAsia="de-DE"/>
              </w:rPr>
            </w:pPr>
            <w:r>
              <w:rPr>
                <w:b/>
                <w:bCs/>
                <w:lang w:eastAsia="de-DE"/>
              </w:rPr>
              <w:t>Venue</w:t>
            </w:r>
          </w:p>
        </w:tc>
        <w:tc>
          <w:tcPr>
            <w:tcW w:w="980"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5267E9A2" w14:textId="77777777" w:rsidR="002F0DE0" w:rsidRDefault="002F0DE0">
            <w:pPr>
              <w:jc w:val="center"/>
              <w:rPr>
                <w:lang w:eastAsia="de-DE"/>
              </w:rPr>
            </w:pPr>
            <w:r>
              <w:rPr>
                <w:b/>
                <w:bCs/>
                <w:lang w:eastAsia="de-DE"/>
              </w:rPr>
              <w:t>Number of seats</w:t>
            </w:r>
          </w:p>
        </w:tc>
        <w:tc>
          <w:tcPr>
            <w:tcW w:w="1566"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777ADAAB" w14:textId="77777777" w:rsidR="002F0DE0" w:rsidRDefault="002F0DE0">
            <w:pPr>
              <w:jc w:val="center"/>
              <w:rPr>
                <w:lang w:eastAsia="de-DE"/>
              </w:rPr>
            </w:pPr>
            <w:r>
              <w:rPr>
                <w:b/>
                <w:bCs/>
                <w:lang w:eastAsia="de-DE"/>
              </w:rPr>
              <w:t>Layout of auditorium</w:t>
            </w:r>
          </w:p>
        </w:tc>
        <w:tc>
          <w:tcPr>
            <w:tcW w:w="1054"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3F23C4C3" w14:textId="77777777" w:rsidR="002F0DE0" w:rsidRDefault="002F0DE0">
            <w:pPr>
              <w:jc w:val="center"/>
              <w:rPr>
                <w:lang w:eastAsia="de-DE"/>
              </w:rPr>
            </w:pPr>
            <w:r>
              <w:rPr>
                <w:b/>
                <w:bCs/>
                <w:lang w:eastAsia="de-DE"/>
              </w:rPr>
              <w:t>Volume of space [m³]</w:t>
            </w:r>
          </w:p>
        </w:tc>
        <w:tc>
          <w:tcPr>
            <w:tcW w:w="1196"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5A404361" w14:textId="77777777" w:rsidR="002F0DE0" w:rsidRDefault="002F0DE0">
            <w:pPr>
              <w:jc w:val="center"/>
              <w:rPr>
                <w:lang w:eastAsia="de-DE"/>
              </w:rPr>
            </w:pPr>
            <w:r>
              <w:rPr>
                <w:b/>
                <w:bCs/>
                <w:lang w:eastAsia="de-DE"/>
              </w:rPr>
              <w:t>Room height [m]</w:t>
            </w:r>
          </w:p>
        </w:tc>
        <w:tc>
          <w:tcPr>
            <w:tcW w:w="1194"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6E65D892" w14:textId="77777777" w:rsidR="002F0DE0" w:rsidRDefault="002F0DE0">
            <w:pPr>
              <w:jc w:val="center"/>
              <w:rPr>
                <w:lang w:val="en-GB" w:eastAsia="de-DE"/>
              </w:rPr>
            </w:pPr>
            <w:r>
              <w:rPr>
                <w:b/>
                <w:bCs/>
                <w:lang w:val="en-GB" w:eastAsia="de-DE"/>
              </w:rPr>
              <w:t>Air flow rate</w:t>
            </w:r>
          </w:p>
          <w:p w14:paraId="54324E4D" w14:textId="77777777" w:rsidR="002F0DE0" w:rsidRDefault="002F0DE0">
            <w:pPr>
              <w:jc w:val="center"/>
              <w:rPr>
                <w:lang w:val="en-GB" w:eastAsia="de-DE"/>
              </w:rPr>
            </w:pPr>
            <w:r>
              <w:rPr>
                <w:b/>
                <w:bCs/>
                <w:lang w:val="en-GB" w:eastAsia="de-DE"/>
              </w:rPr>
              <w:t>[m³/h]</w:t>
            </w:r>
          </w:p>
        </w:tc>
        <w:tc>
          <w:tcPr>
            <w:tcW w:w="1417"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28F2C427" w14:textId="77777777" w:rsidR="002F0DE0" w:rsidRDefault="002F0DE0">
            <w:pPr>
              <w:jc w:val="center"/>
              <w:rPr>
                <w:lang w:eastAsia="de-DE"/>
              </w:rPr>
            </w:pPr>
            <w:r>
              <w:rPr>
                <w:b/>
                <w:bCs/>
                <w:lang w:eastAsia="de-DE"/>
              </w:rPr>
              <w:t>Ventilation effectiveness (E</w:t>
            </w:r>
            <w:r>
              <w:rPr>
                <w:b/>
                <w:bCs/>
                <w:vertAlign w:val="subscript"/>
                <w:lang w:eastAsia="de-DE"/>
              </w:rPr>
              <w:t>z</w:t>
            </w:r>
            <w:r>
              <w:rPr>
                <w:b/>
                <w:bCs/>
                <w:lang w:eastAsia="de-DE"/>
              </w:rPr>
              <w:t>)</w:t>
            </w:r>
          </w:p>
        </w:tc>
        <w:tc>
          <w:tcPr>
            <w:tcW w:w="1517" w:type="dxa"/>
            <w:tcBorders>
              <w:top w:val="single" w:sz="8" w:space="0" w:color="FFFFFF"/>
              <w:left w:val="single" w:sz="8" w:space="0" w:color="FFFFFF"/>
              <w:bottom w:val="single" w:sz="24" w:space="0" w:color="FFFFFF"/>
              <w:right w:val="single" w:sz="8" w:space="0" w:color="FFFFFF"/>
            </w:tcBorders>
            <w:shd w:val="clear" w:color="auto" w:fill="A6A6A6"/>
            <w:tcMar>
              <w:top w:w="57" w:type="dxa"/>
              <w:left w:w="108" w:type="dxa"/>
              <w:bottom w:w="0" w:type="dxa"/>
              <w:right w:w="108" w:type="dxa"/>
            </w:tcMar>
            <w:hideMark/>
          </w:tcPr>
          <w:p w14:paraId="045BE064" w14:textId="77777777" w:rsidR="002F0DE0" w:rsidRDefault="002F0DE0">
            <w:pPr>
              <w:jc w:val="center"/>
              <w:rPr>
                <w:lang w:eastAsia="de-DE"/>
              </w:rPr>
            </w:pPr>
            <w:r>
              <w:rPr>
                <w:b/>
                <w:bCs/>
                <w:lang w:eastAsia="de-DE"/>
              </w:rPr>
              <w:t>ATMoS measurement time [min]</w:t>
            </w:r>
          </w:p>
        </w:tc>
      </w:tr>
      <w:tr w:rsidR="002F0DE0" w14:paraId="28487742" w14:textId="77777777" w:rsidTr="002F0DE0">
        <w:trPr>
          <w:trHeight w:val="567"/>
        </w:trPr>
        <w:tc>
          <w:tcPr>
            <w:tcW w:w="1028" w:type="dxa"/>
            <w:tcBorders>
              <w:top w:val="single" w:sz="24" w:space="0" w:color="FFFFFF"/>
              <w:left w:val="single" w:sz="8" w:space="0" w:color="FFFFFF"/>
              <w:bottom w:val="single" w:sz="8" w:space="0" w:color="FFFFFF"/>
              <w:right w:val="single" w:sz="8" w:space="0" w:color="FFFFFF"/>
            </w:tcBorders>
            <w:shd w:val="clear" w:color="auto" w:fill="A5A5A5"/>
            <w:tcMar>
              <w:top w:w="57" w:type="dxa"/>
              <w:left w:w="108" w:type="dxa"/>
              <w:bottom w:w="0" w:type="dxa"/>
              <w:right w:w="108" w:type="dxa"/>
            </w:tcMar>
            <w:vAlign w:val="center"/>
            <w:hideMark/>
          </w:tcPr>
          <w:p w14:paraId="71A898A4" w14:textId="77777777" w:rsidR="002F0DE0" w:rsidRDefault="002F0DE0">
            <w:pPr>
              <w:rPr>
                <w:lang w:eastAsia="de-DE"/>
              </w:rPr>
            </w:pPr>
            <w:r>
              <w:rPr>
                <w:b/>
                <w:bCs/>
                <w:lang w:eastAsia="de-DE"/>
              </w:rPr>
              <w:t>DVV-1</w:t>
            </w:r>
          </w:p>
        </w:tc>
        <w:tc>
          <w:tcPr>
            <w:tcW w:w="980" w:type="dxa"/>
            <w:tcBorders>
              <w:top w:val="single" w:sz="24"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6BF4CA6E" w14:textId="77777777" w:rsidR="002F0DE0" w:rsidRDefault="002F0DE0">
            <w:pPr>
              <w:jc w:val="center"/>
              <w:rPr>
                <w:lang w:eastAsia="de-DE"/>
              </w:rPr>
            </w:pPr>
            <w:r>
              <w:rPr>
                <w:lang w:eastAsia="de-DE"/>
              </w:rPr>
              <w:t>99</w:t>
            </w:r>
          </w:p>
        </w:tc>
        <w:tc>
          <w:tcPr>
            <w:tcW w:w="1566" w:type="dxa"/>
            <w:tcBorders>
              <w:top w:val="single" w:sz="24"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2906CBBC" w14:textId="77777777" w:rsidR="002F0DE0" w:rsidRDefault="002F0DE0">
            <w:pPr>
              <w:jc w:val="center"/>
              <w:rPr>
                <w:lang w:eastAsia="de-DE"/>
              </w:rPr>
            </w:pPr>
            <w:r>
              <w:rPr>
                <w:lang w:eastAsia="de-DE"/>
              </w:rPr>
              <w:t>ascending</w:t>
            </w:r>
          </w:p>
        </w:tc>
        <w:tc>
          <w:tcPr>
            <w:tcW w:w="1054" w:type="dxa"/>
            <w:tcBorders>
              <w:top w:val="single" w:sz="24"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04C2A2D3" w14:textId="77777777" w:rsidR="002F0DE0" w:rsidRDefault="002F0DE0">
            <w:pPr>
              <w:jc w:val="center"/>
              <w:rPr>
                <w:lang w:eastAsia="de-DE"/>
              </w:rPr>
            </w:pPr>
            <w:r>
              <w:rPr>
                <w:lang w:eastAsia="de-DE"/>
              </w:rPr>
              <w:t>530</w:t>
            </w:r>
          </w:p>
        </w:tc>
        <w:tc>
          <w:tcPr>
            <w:tcW w:w="1196" w:type="dxa"/>
            <w:tcBorders>
              <w:top w:val="single" w:sz="24"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39ED1C9E" w14:textId="77777777" w:rsidR="002F0DE0" w:rsidRDefault="002F0DE0">
            <w:pPr>
              <w:jc w:val="center"/>
              <w:rPr>
                <w:lang w:eastAsia="de-DE"/>
              </w:rPr>
            </w:pPr>
            <w:r>
              <w:rPr>
                <w:lang w:eastAsia="de-DE"/>
              </w:rPr>
              <w:t>3.9</w:t>
            </w:r>
          </w:p>
        </w:tc>
        <w:tc>
          <w:tcPr>
            <w:tcW w:w="1194" w:type="dxa"/>
            <w:tcBorders>
              <w:top w:val="single" w:sz="24"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586FBA6E" w14:textId="77777777" w:rsidR="002F0DE0" w:rsidRDefault="002F0DE0">
            <w:pPr>
              <w:jc w:val="center"/>
              <w:rPr>
                <w:lang w:eastAsia="de-DE"/>
              </w:rPr>
            </w:pPr>
            <w:r>
              <w:rPr>
                <w:lang w:eastAsia="de-DE"/>
              </w:rPr>
              <w:t>4500</w:t>
            </w:r>
          </w:p>
        </w:tc>
        <w:tc>
          <w:tcPr>
            <w:tcW w:w="1417" w:type="dxa"/>
            <w:tcBorders>
              <w:top w:val="single" w:sz="24"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514FF06A" w14:textId="77777777" w:rsidR="002F0DE0" w:rsidRDefault="002F0DE0">
            <w:pPr>
              <w:jc w:val="center"/>
              <w:rPr>
                <w:lang w:eastAsia="de-DE"/>
              </w:rPr>
            </w:pPr>
            <w:r>
              <w:rPr>
                <w:lang w:eastAsia="de-DE"/>
              </w:rPr>
              <w:t>1.05</w:t>
            </w:r>
          </w:p>
        </w:tc>
        <w:tc>
          <w:tcPr>
            <w:tcW w:w="1517" w:type="dxa"/>
            <w:tcBorders>
              <w:top w:val="single" w:sz="24"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02C70647" w14:textId="77777777" w:rsidR="002F0DE0" w:rsidRDefault="002F0DE0">
            <w:pPr>
              <w:jc w:val="center"/>
              <w:rPr>
                <w:lang w:eastAsia="de-DE"/>
              </w:rPr>
            </w:pPr>
            <w:r>
              <w:rPr>
                <w:lang w:eastAsia="de-DE"/>
              </w:rPr>
              <w:t>60</w:t>
            </w:r>
          </w:p>
        </w:tc>
      </w:tr>
      <w:tr w:rsidR="002F0DE0" w14:paraId="40B22203" w14:textId="77777777" w:rsidTr="002F0DE0">
        <w:trPr>
          <w:trHeight w:val="567"/>
        </w:trPr>
        <w:tc>
          <w:tcPr>
            <w:tcW w:w="1028" w:type="dxa"/>
            <w:tcBorders>
              <w:top w:val="single" w:sz="8" w:space="0" w:color="FFFFFF"/>
              <w:left w:val="single" w:sz="8" w:space="0" w:color="FFFFFF"/>
              <w:bottom w:val="single" w:sz="8" w:space="0" w:color="FFFFFF"/>
              <w:right w:val="single" w:sz="8" w:space="0" w:color="FFFFFF"/>
            </w:tcBorders>
            <w:shd w:val="clear" w:color="auto" w:fill="A5A5A5"/>
            <w:tcMar>
              <w:top w:w="57" w:type="dxa"/>
              <w:left w:w="108" w:type="dxa"/>
              <w:bottom w:w="0" w:type="dxa"/>
              <w:right w:w="108" w:type="dxa"/>
            </w:tcMar>
            <w:vAlign w:val="center"/>
            <w:hideMark/>
          </w:tcPr>
          <w:p w14:paraId="7F13F1EC" w14:textId="77777777" w:rsidR="002F0DE0" w:rsidRDefault="002F0DE0">
            <w:pPr>
              <w:rPr>
                <w:lang w:eastAsia="de-DE"/>
              </w:rPr>
            </w:pPr>
            <w:r>
              <w:rPr>
                <w:b/>
                <w:bCs/>
                <w:lang w:eastAsia="de-DE"/>
              </w:rPr>
              <w:t>DVV-2</w:t>
            </w:r>
          </w:p>
        </w:tc>
        <w:tc>
          <w:tcPr>
            <w:tcW w:w="980"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3B34DE80" w14:textId="77777777" w:rsidR="002F0DE0" w:rsidRDefault="002F0DE0">
            <w:pPr>
              <w:jc w:val="center"/>
              <w:rPr>
                <w:lang w:eastAsia="de-DE"/>
              </w:rPr>
            </w:pPr>
            <w:r>
              <w:rPr>
                <w:lang w:val="en-US" w:eastAsia="de-DE"/>
              </w:rPr>
              <w:t>470</w:t>
            </w:r>
          </w:p>
        </w:tc>
        <w:tc>
          <w:tcPr>
            <w:tcW w:w="1566"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7648A066" w14:textId="77777777" w:rsidR="002F0DE0" w:rsidRDefault="002F0DE0">
            <w:pPr>
              <w:jc w:val="center"/>
              <w:rPr>
                <w:lang w:eastAsia="de-DE"/>
              </w:rPr>
            </w:pPr>
            <w:r>
              <w:rPr>
                <w:lang w:val="en-US" w:eastAsia="de-DE"/>
              </w:rPr>
              <w:t>ascending</w:t>
            </w:r>
          </w:p>
        </w:tc>
        <w:tc>
          <w:tcPr>
            <w:tcW w:w="1054"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5B3E6955" w14:textId="77777777" w:rsidR="002F0DE0" w:rsidRDefault="002F0DE0">
            <w:pPr>
              <w:jc w:val="center"/>
              <w:rPr>
                <w:lang w:eastAsia="de-DE"/>
              </w:rPr>
            </w:pPr>
            <w:r>
              <w:rPr>
                <w:lang w:val="en-US" w:eastAsia="de-DE"/>
              </w:rPr>
              <w:t>2300</w:t>
            </w:r>
          </w:p>
        </w:tc>
        <w:tc>
          <w:tcPr>
            <w:tcW w:w="1196"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045BBA86" w14:textId="77777777" w:rsidR="002F0DE0" w:rsidRDefault="002F0DE0">
            <w:pPr>
              <w:jc w:val="center"/>
              <w:rPr>
                <w:lang w:eastAsia="de-DE"/>
              </w:rPr>
            </w:pPr>
            <w:r>
              <w:rPr>
                <w:lang w:val="en-US" w:eastAsia="de-DE"/>
              </w:rPr>
              <w:t>10</w:t>
            </w:r>
          </w:p>
        </w:tc>
        <w:tc>
          <w:tcPr>
            <w:tcW w:w="1194"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4E0F5596" w14:textId="77777777" w:rsidR="002F0DE0" w:rsidRDefault="002F0DE0">
            <w:pPr>
              <w:jc w:val="center"/>
              <w:rPr>
                <w:lang w:eastAsia="de-DE"/>
              </w:rPr>
            </w:pPr>
            <w:r>
              <w:rPr>
                <w:lang w:val="en-US" w:eastAsia="de-DE"/>
              </w:rPr>
              <w:t>15.000</w:t>
            </w:r>
          </w:p>
        </w:tc>
        <w:tc>
          <w:tcPr>
            <w:tcW w:w="1417"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3D532A18" w14:textId="77777777" w:rsidR="002F0DE0" w:rsidRDefault="002F0DE0">
            <w:pPr>
              <w:jc w:val="center"/>
              <w:rPr>
                <w:lang w:eastAsia="de-DE"/>
              </w:rPr>
            </w:pPr>
            <w:r>
              <w:rPr>
                <w:lang w:val="en-US" w:eastAsia="de-DE"/>
              </w:rPr>
              <w:t>1.5</w:t>
            </w:r>
          </w:p>
        </w:tc>
        <w:tc>
          <w:tcPr>
            <w:tcW w:w="1517"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3A82A2F3" w14:textId="77777777" w:rsidR="002F0DE0" w:rsidRDefault="002F0DE0">
            <w:pPr>
              <w:jc w:val="center"/>
              <w:rPr>
                <w:lang w:eastAsia="de-DE"/>
              </w:rPr>
            </w:pPr>
            <w:r>
              <w:rPr>
                <w:lang w:val="en-US" w:eastAsia="de-DE"/>
              </w:rPr>
              <w:t>57</w:t>
            </w:r>
          </w:p>
        </w:tc>
      </w:tr>
      <w:tr w:rsidR="002F0DE0" w14:paraId="5F68620B" w14:textId="77777777" w:rsidTr="002F0DE0">
        <w:trPr>
          <w:trHeight w:val="567"/>
        </w:trPr>
        <w:tc>
          <w:tcPr>
            <w:tcW w:w="1028" w:type="dxa"/>
            <w:tcBorders>
              <w:top w:val="single" w:sz="8" w:space="0" w:color="FFFFFF"/>
              <w:left w:val="single" w:sz="8" w:space="0" w:color="FFFFFF"/>
              <w:bottom w:val="single" w:sz="8" w:space="0" w:color="FFFFFF"/>
              <w:right w:val="single" w:sz="8" w:space="0" w:color="FFFFFF"/>
            </w:tcBorders>
            <w:shd w:val="clear" w:color="auto" w:fill="A5A5A5"/>
            <w:tcMar>
              <w:top w:w="57" w:type="dxa"/>
              <w:left w:w="108" w:type="dxa"/>
              <w:bottom w:w="0" w:type="dxa"/>
              <w:right w:w="108" w:type="dxa"/>
            </w:tcMar>
            <w:vAlign w:val="center"/>
            <w:hideMark/>
          </w:tcPr>
          <w:p w14:paraId="0CCFAFD9" w14:textId="77777777" w:rsidR="002F0DE0" w:rsidRDefault="002F0DE0">
            <w:pPr>
              <w:rPr>
                <w:lang w:eastAsia="de-DE"/>
              </w:rPr>
            </w:pPr>
            <w:r>
              <w:rPr>
                <w:b/>
                <w:bCs/>
                <w:lang w:eastAsia="de-DE"/>
              </w:rPr>
              <w:t>MVV-1</w:t>
            </w:r>
          </w:p>
        </w:tc>
        <w:tc>
          <w:tcPr>
            <w:tcW w:w="980"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1699DABF" w14:textId="77777777" w:rsidR="002F0DE0" w:rsidRDefault="002F0DE0">
            <w:pPr>
              <w:jc w:val="center"/>
              <w:rPr>
                <w:lang w:eastAsia="de-DE"/>
              </w:rPr>
            </w:pPr>
            <w:r>
              <w:rPr>
                <w:lang w:val="en-US" w:eastAsia="de-DE"/>
              </w:rPr>
              <w:t>103</w:t>
            </w:r>
          </w:p>
        </w:tc>
        <w:tc>
          <w:tcPr>
            <w:tcW w:w="1566"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27698CBB" w14:textId="77777777" w:rsidR="002F0DE0" w:rsidRDefault="002F0DE0">
            <w:pPr>
              <w:jc w:val="center"/>
              <w:rPr>
                <w:lang w:eastAsia="de-DE"/>
              </w:rPr>
            </w:pPr>
            <w:r>
              <w:rPr>
                <w:lang w:val="en-US" w:eastAsia="de-DE"/>
              </w:rPr>
              <w:t>ascending</w:t>
            </w:r>
          </w:p>
        </w:tc>
        <w:tc>
          <w:tcPr>
            <w:tcW w:w="1054"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1748B661" w14:textId="77777777" w:rsidR="002F0DE0" w:rsidRDefault="002F0DE0">
            <w:pPr>
              <w:jc w:val="center"/>
              <w:rPr>
                <w:lang w:eastAsia="de-DE"/>
              </w:rPr>
            </w:pPr>
            <w:r>
              <w:rPr>
                <w:lang w:val="en-US" w:eastAsia="de-DE"/>
              </w:rPr>
              <w:t>400</w:t>
            </w:r>
          </w:p>
        </w:tc>
        <w:tc>
          <w:tcPr>
            <w:tcW w:w="1196"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5B8975E9" w14:textId="77777777" w:rsidR="002F0DE0" w:rsidRDefault="002F0DE0">
            <w:pPr>
              <w:jc w:val="center"/>
              <w:rPr>
                <w:lang w:eastAsia="de-DE"/>
              </w:rPr>
            </w:pPr>
            <w:r>
              <w:rPr>
                <w:lang w:val="en-US" w:eastAsia="de-DE"/>
              </w:rPr>
              <w:t>3.3</w:t>
            </w:r>
          </w:p>
        </w:tc>
        <w:tc>
          <w:tcPr>
            <w:tcW w:w="1194"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437D6135" w14:textId="77777777" w:rsidR="002F0DE0" w:rsidRDefault="002F0DE0">
            <w:pPr>
              <w:jc w:val="center"/>
              <w:rPr>
                <w:lang w:eastAsia="de-DE"/>
              </w:rPr>
            </w:pPr>
            <w:r>
              <w:rPr>
                <w:lang w:val="en-US" w:eastAsia="de-DE"/>
              </w:rPr>
              <w:t>6400</w:t>
            </w:r>
          </w:p>
        </w:tc>
        <w:tc>
          <w:tcPr>
            <w:tcW w:w="1417"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3C0707DE" w14:textId="77777777" w:rsidR="002F0DE0" w:rsidRDefault="002F0DE0">
            <w:pPr>
              <w:jc w:val="center"/>
              <w:rPr>
                <w:lang w:eastAsia="de-DE"/>
              </w:rPr>
            </w:pPr>
            <w:r>
              <w:rPr>
                <w:lang w:eastAsia="de-DE"/>
              </w:rPr>
              <w:t>0.8</w:t>
            </w:r>
          </w:p>
        </w:tc>
        <w:tc>
          <w:tcPr>
            <w:tcW w:w="1517"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74C5B2C7" w14:textId="77777777" w:rsidR="002F0DE0" w:rsidRDefault="002F0DE0">
            <w:pPr>
              <w:jc w:val="center"/>
              <w:rPr>
                <w:lang w:eastAsia="de-DE"/>
              </w:rPr>
            </w:pPr>
            <w:r>
              <w:rPr>
                <w:lang w:eastAsia="de-DE"/>
              </w:rPr>
              <w:t>45</w:t>
            </w:r>
          </w:p>
        </w:tc>
      </w:tr>
      <w:tr w:rsidR="002F0DE0" w14:paraId="0FDAD6D7" w14:textId="77777777" w:rsidTr="002F0DE0">
        <w:trPr>
          <w:trHeight w:val="567"/>
        </w:trPr>
        <w:tc>
          <w:tcPr>
            <w:tcW w:w="1028" w:type="dxa"/>
            <w:tcBorders>
              <w:top w:val="single" w:sz="8" w:space="0" w:color="FFFFFF"/>
              <w:left w:val="single" w:sz="8" w:space="0" w:color="FFFFFF"/>
              <w:bottom w:val="single" w:sz="8" w:space="0" w:color="FFFFFF"/>
              <w:right w:val="single" w:sz="8" w:space="0" w:color="FFFFFF"/>
            </w:tcBorders>
            <w:shd w:val="clear" w:color="auto" w:fill="A5A5A5"/>
            <w:tcMar>
              <w:top w:w="57" w:type="dxa"/>
              <w:left w:w="108" w:type="dxa"/>
              <w:bottom w:w="0" w:type="dxa"/>
              <w:right w:w="108" w:type="dxa"/>
            </w:tcMar>
            <w:vAlign w:val="center"/>
            <w:hideMark/>
          </w:tcPr>
          <w:p w14:paraId="4286339C" w14:textId="77777777" w:rsidR="002F0DE0" w:rsidRDefault="002F0DE0">
            <w:pPr>
              <w:rPr>
                <w:lang w:eastAsia="de-DE"/>
              </w:rPr>
            </w:pPr>
            <w:r>
              <w:rPr>
                <w:b/>
                <w:bCs/>
                <w:lang w:eastAsia="de-DE"/>
              </w:rPr>
              <w:lastRenderedPageBreak/>
              <w:t>MVV-2</w:t>
            </w:r>
          </w:p>
        </w:tc>
        <w:tc>
          <w:tcPr>
            <w:tcW w:w="980"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3176CBED" w14:textId="77777777" w:rsidR="002F0DE0" w:rsidRDefault="002F0DE0">
            <w:pPr>
              <w:jc w:val="center"/>
              <w:rPr>
                <w:lang w:eastAsia="de-DE"/>
              </w:rPr>
            </w:pPr>
            <w:r>
              <w:rPr>
                <w:lang w:val="en-US" w:eastAsia="de-DE"/>
              </w:rPr>
              <w:t>60</w:t>
            </w:r>
          </w:p>
        </w:tc>
        <w:tc>
          <w:tcPr>
            <w:tcW w:w="1566"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357A1E49" w14:textId="77777777" w:rsidR="002F0DE0" w:rsidRDefault="002F0DE0">
            <w:pPr>
              <w:jc w:val="center"/>
              <w:rPr>
                <w:lang w:eastAsia="de-DE"/>
              </w:rPr>
            </w:pPr>
            <w:r>
              <w:rPr>
                <w:lang w:val="en-US" w:eastAsia="de-DE"/>
              </w:rPr>
              <w:t>ascending</w:t>
            </w:r>
          </w:p>
        </w:tc>
        <w:tc>
          <w:tcPr>
            <w:tcW w:w="1054"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28E8B289" w14:textId="77777777" w:rsidR="002F0DE0" w:rsidRDefault="002F0DE0">
            <w:pPr>
              <w:jc w:val="center"/>
              <w:rPr>
                <w:lang w:eastAsia="de-DE"/>
              </w:rPr>
            </w:pPr>
            <w:r>
              <w:rPr>
                <w:lang w:val="en-US" w:eastAsia="de-DE"/>
              </w:rPr>
              <w:t>650</w:t>
            </w:r>
          </w:p>
        </w:tc>
        <w:tc>
          <w:tcPr>
            <w:tcW w:w="1196"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0215E759" w14:textId="77777777" w:rsidR="002F0DE0" w:rsidRDefault="002F0DE0">
            <w:pPr>
              <w:jc w:val="center"/>
              <w:rPr>
                <w:lang w:eastAsia="de-DE"/>
              </w:rPr>
            </w:pPr>
            <w:r>
              <w:rPr>
                <w:lang w:val="en-US" w:eastAsia="de-DE"/>
              </w:rPr>
              <w:t>5</w:t>
            </w:r>
          </w:p>
        </w:tc>
        <w:tc>
          <w:tcPr>
            <w:tcW w:w="1194"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1D58EFF1" w14:textId="77777777" w:rsidR="002F0DE0" w:rsidRDefault="002F0DE0">
            <w:pPr>
              <w:jc w:val="center"/>
              <w:rPr>
                <w:lang w:eastAsia="de-DE"/>
              </w:rPr>
            </w:pPr>
            <w:r>
              <w:rPr>
                <w:lang w:val="en-US" w:eastAsia="de-DE"/>
              </w:rPr>
              <w:t>3000</w:t>
            </w:r>
          </w:p>
        </w:tc>
        <w:tc>
          <w:tcPr>
            <w:tcW w:w="1417"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77F9A347" w14:textId="77777777" w:rsidR="002F0DE0" w:rsidRDefault="002F0DE0">
            <w:pPr>
              <w:jc w:val="center"/>
              <w:rPr>
                <w:lang w:eastAsia="de-DE"/>
              </w:rPr>
            </w:pPr>
            <w:r>
              <w:rPr>
                <w:lang w:eastAsia="de-DE"/>
              </w:rPr>
              <w:t>0.8</w:t>
            </w:r>
          </w:p>
        </w:tc>
        <w:tc>
          <w:tcPr>
            <w:tcW w:w="1517" w:type="dxa"/>
            <w:tcBorders>
              <w:top w:val="single" w:sz="8" w:space="0" w:color="FFFFFF"/>
              <w:left w:val="single" w:sz="8" w:space="0" w:color="FFFFFF"/>
              <w:bottom w:val="single" w:sz="8" w:space="0" w:color="FFFFFF"/>
              <w:right w:val="single" w:sz="8" w:space="0" w:color="FFFFFF"/>
            </w:tcBorders>
            <w:shd w:val="clear" w:color="auto" w:fill="F0F0F0"/>
            <w:tcMar>
              <w:top w:w="57" w:type="dxa"/>
              <w:left w:w="108" w:type="dxa"/>
              <w:bottom w:w="0" w:type="dxa"/>
              <w:right w:w="108" w:type="dxa"/>
            </w:tcMar>
            <w:vAlign w:val="center"/>
            <w:hideMark/>
          </w:tcPr>
          <w:p w14:paraId="3EF9CA83" w14:textId="77777777" w:rsidR="002F0DE0" w:rsidRDefault="002F0DE0">
            <w:pPr>
              <w:jc w:val="center"/>
              <w:rPr>
                <w:lang w:eastAsia="de-DE"/>
              </w:rPr>
            </w:pPr>
            <w:r>
              <w:rPr>
                <w:lang w:eastAsia="de-DE"/>
              </w:rPr>
              <w:t>45</w:t>
            </w:r>
          </w:p>
        </w:tc>
      </w:tr>
      <w:tr w:rsidR="002F0DE0" w14:paraId="2021798E" w14:textId="77777777" w:rsidTr="002F0DE0">
        <w:trPr>
          <w:trHeight w:val="567"/>
        </w:trPr>
        <w:tc>
          <w:tcPr>
            <w:tcW w:w="1028" w:type="dxa"/>
            <w:tcBorders>
              <w:top w:val="single" w:sz="8" w:space="0" w:color="FFFFFF"/>
              <w:left w:val="single" w:sz="8" w:space="0" w:color="FFFFFF"/>
              <w:bottom w:val="single" w:sz="8" w:space="0" w:color="FFFFFF"/>
              <w:right w:val="single" w:sz="8" w:space="0" w:color="FFFFFF"/>
            </w:tcBorders>
            <w:shd w:val="clear" w:color="auto" w:fill="A5A5A5"/>
            <w:tcMar>
              <w:top w:w="57" w:type="dxa"/>
              <w:left w:w="108" w:type="dxa"/>
              <w:bottom w:w="0" w:type="dxa"/>
              <w:right w:w="108" w:type="dxa"/>
            </w:tcMar>
            <w:vAlign w:val="center"/>
            <w:hideMark/>
          </w:tcPr>
          <w:p w14:paraId="5970A203" w14:textId="77777777" w:rsidR="002F0DE0" w:rsidRDefault="002F0DE0">
            <w:pPr>
              <w:rPr>
                <w:lang w:eastAsia="de-DE"/>
              </w:rPr>
            </w:pPr>
            <w:r>
              <w:rPr>
                <w:b/>
                <w:bCs/>
                <w:lang w:eastAsia="de-DE"/>
              </w:rPr>
              <w:t>NVV-1</w:t>
            </w:r>
          </w:p>
        </w:tc>
        <w:tc>
          <w:tcPr>
            <w:tcW w:w="980"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510437DD" w14:textId="77777777" w:rsidR="002F0DE0" w:rsidRDefault="002F0DE0">
            <w:pPr>
              <w:jc w:val="center"/>
              <w:rPr>
                <w:lang w:eastAsia="de-DE"/>
              </w:rPr>
            </w:pPr>
            <w:r>
              <w:rPr>
                <w:lang w:eastAsia="de-DE"/>
              </w:rPr>
              <w:t>244</w:t>
            </w:r>
          </w:p>
        </w:tc>
        <w:tc>
          <w:tcPr>
            <w:tcW w:w="1566"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29DFECE8" w14:textId="77777777" w:rsidR="002F0DE0" w:rsidRDefault="002F0DE0">
            <w:pPr>
              <w:jc w:val="center"/>
              <w:rPr>
                <w:lang w:eastAsia="de-DE"/>
              </w:rPr>
            </w:pPr>
            <w:r>
              <w:rPr>
                <w:lang w:eastAsia="de-DE"/>
              </w:rPr>
              <w:t>ascending</w:t>
            </w:r>
          </w:p>
        </w:tc>
        <w:tc>
          <w:tcPr>
            <w:tcW w:w="1054"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0E904F09" w14:textId="77777777" w:rsidR="002F0DE0" w:rsidRDefault="002F0DE0">
            <w:pPr>
              <w:jc w:val="center"/>
              <w:rPr>
                <w:lang w:eastAsia="de-DE"/>
              </w:rPr>
            </w:pPr>
            <w:r>
              <w:rPr>
                <w:lang w:eastAsia="de-DE"/>
              </w:rPr>
              <w:t>6000</w:t>
            </w:r>
          </w:p>
        </w:tc>
        <w:tc>
          <w:tcPr>
            <w:tcW w:w="1196"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5134BC13" w14:textId="77777777" w:rsidR="002F0DE0" w:rsidRDefault="002F0DE0">
            <w:pPr>
              <w:jc w:val="center"/>
              <w:rPr>
                <w:lang w:eastAsia="de-DE"/>
              </w:rPr>
            </w:pPr>
            <w:r>
              <w:rPr>
                <w:lang w:eastAsia="de-DE"/>
              </w:rPr>
              <w:t>10</w:t>
            </w:r>
          </w:p>
        </w:tc>
        <w:tc>
          <w:tcPr>
            <w:tcW w:w="1194"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6F1FFA65" w14:textId="77777777" w:rsidR="002F0DE0" w:rsidRDefault="002F0DE0">
            <w:pPr>
              <w:jc w:val="center"/>
              <w:rPr>
                <w:lang w:eastAsia="de-DE"/>
              </w:rPr>
            </w:pPr>
            <w:r>
              <w:rPr>
                <w:lang w:eastAsia="de-DE"/>
              </w:rPr>
              <w:t>1500</w:t>
            </w:r>
            <w:r>
              <w:rPr>
                <w:vertAlign w:val="superscript"/>
                <w:lang w:eastAsia="de-DE"/>
              </w:rPr>
              <w:t>#</w:t>
            </w:r>
          </w:p>
        </w:tc>
        <w:tc>
          <w:tcPr>
            <w:tcW w:w="1417"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38D5D832" w14:textId="77777777" w:rsidR="002F0DE0" w:rsidRDefault="002F0DE0">
            <w:pPr>
              <w:jc w:val="center"/>
              <w:rPr>
                <w:lang w:eastAsia="de-DE"/>
              </w:rPr>
            </w:pPr>
            <w:r>
              <w:rPr>
                <w:lang w:val="en-US" w:eastAsia="de-DE"/>
              </w:rPr>
              <w:t>0.5</w:t>
            </w:r>
          </w:p>
        </w:tc>
        <w:tc>
          <w:tcPr>
            <w:tcW w:w="1517" w:type="dxa"/>
            <w:tcBorders>
              <w:top w:val="single" w:sz="8" w:space="0" w:color="FFFFFF"/>
              <w:left w:val="single" w:sz="8" w:space="0" w:color="FFFFFF"/>
              <w:bottom w:val="single" w:sz="8" w:space="0" w:color="FFFFFF"/>
              <w:right w:val="single" w:sz="8" w:space="0" w:color="FFFFFF"/>
            </w:tcBorders>
            <w:shd w:val="clear" w:color="auto" w:fill="E1E1E1"/>
            <w:tcMar>
              <w:top w:w="57" w:type="dxa"/>
              <w:left w:w="108" w:type="dxa"/>
              <w:bottom w:w="0" w:type="dxa"/>
              <w:right w:w="108" w:type="dxa"/>
            </w:tcMar>
            <w:vAlign w:val="center"/>
            <w:hideMark/>
          </w:tcPr>
          <w:p w14:paraId="7ED3D864" w14:textId="77777777" w:rsidR="002F0DE0" w:rsidRDefault="002F0DE0">
            <w:pPr>
              <w:jc w:val="center"/>
              <w:rPr>
                <w:lang w:eastAsia="de-DE"/>
              </w:rPr>
            </w:pPr>
            <w:r>
              <w:rPr>
                <w:lang w:val="en-US" w:eastAsia="de-DE"/>
              </w:rPr>
              <w:t>27</w:t>
            </w:r>
          </w:p>
        </w:tc>
      </w:tr>
    </w:tbl>
    <w:p w14:paraId="3F40EE90" w14:textId="77777777" w:rsidR="002F0DE0" w:rsidRDefault="002F0DE0" w:rsidP="002F0DE0">
      <w:pPr>
        <w:rPr>
          <w:lang w:val="en-GB" w:eastAsia="de-DE"/>
        </w:rPr>
      </w:pPr>
    </w:p>
    <w:p w14:paraId="390CEA12" w14:textId="77777777" w:rsidR="002F0DE0" w:rsidRDefault="002F0DE0" w:rsidP="002F0DE0">
      <w:pPr>
        <w:rPr>
          <w:lang w:val="en-GB" w:eastAsia="de-DE"/>
        </w:rPr>
      </w:pPr>
    </w:p>
    <w:p w14:paraId="3F7C93A0" w14:textId="77777777" w:rsidR="002F0DE0" w:rsidRDefault="002F0DE0" w:rsidP="002F0DE0">
      <w:pPr>
        <w:pStyle w:val="Caption"/>
        <w:spacing w:after="120" w:line="288" w:lineRule="auto"/>
        <w:ind w:left="907" w:hanging="907"/>
        <w:rPr>
          <w:b/>
          <w:i w:val="0"/>
          <w:color w:val="000000" w:themeColor="text1"/>
          <w:lang w:val="en-GB" w:eastAsia="de-DE"/>
        </w:rPr>
      </w:pPr>
      <w:bookmarkStart w:id="9" w:name="_Ref136955450"/>
      <w:r>
        <w:rPr>
          <w:b/>
          <w:i w:val="0"/>
          <w:color w:val="000000" w:themeColor="text1"/>
          <w:lang w:val="en-GB"/>
        </w:rPr>
        <w:t>Table S</w:t>
      </w:r>
      <w:r>
        <w:fldChar w:fldCharType="begin"/>
      </w:r>
      <w:r>
        <w:rPr>
          <w:b/>
          <w:i w:val="0"/>
          <w:color w:val="000000" w:themeColor="text1"/>
          <w:lang w:val="en-GB"/>
        </w:rPr>
        <w:instrText xml:space="preserve"> SEQ Table_S \* ARABIC </w:instrText>
      </w:r>
      <w:r>
        <w:fldChar w:fldCharType="separate"/>
      </w:r>
      <w:r>
        <w:rPr>
          <w:b/>
          <w:i w:val="0"/>
          <w:noProof/>
          <w:color w:val="000000" w:themeColor="text1"/>
          <w:lang w:val="en-GB"/>
        </w:rPr>
        <w:t>2</w:t>
      </w:r>
      <w:r>
        <w:fldChar w:fldCharType="end"/>
      </w:r>
      <w:bookmarkEnd w:id="9"/>
      <w:r>
        <w:rPr>
          <w:b/>
          <w:i w:val="0"/>
          <w:color w:val="000000" w:themeColor="text1"/>
          <w:lang w:val="en-GB"/>
        </w:rPr>
        <w:t>:</w:t>
      </w:r>
      <w:r>
        <w:rPr>
          <w:b/>
          <w:i w:val="0"/>
          <w:color w:val="000000" w:themeColor="text1"/>
          <w:lang w:val="en-GB"/>
        </w:rPr>
        <w:tab/>
        <w:t>Parameter values for the computation of venue-specific risk tables</w:t>
      </w:r>
    </w:p>
    <w:tbl>
      <w:tblPr>
        <w:tblW w:w="5108" w:type="dxa"/>
        <w:tblCellMar>
          <w:left w:w="0" w:type="dxa"/>
          <w:right w:w="0" w:type="dxa"/>
        </w:tblCellMar>
        <w:tblLook w:val="0600" w:firstRow="0" w:lastRow="0" w:firstColumn="0" w:lastColumn="0" w:noHBand="1" w:noVBand="1"/>
      </w:tblPr>
      <w:tblGrid>
        <w:gridCol w:w="2948"/>
        <w:gridCol w:w="1080"/>
        <w:gridCol w:w="1080"/>
      </w:tblGrid>
      <w:tr w:rsidR="002F0DE0" w14:paraId="76E876B7" w14:textId="77777777" w:rsidTr="002F0DE0">
        <w:trPr>
          <w:trHeight w:val="555"/>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293827DC" w14:textId="77777777" w:rsidR="002F0DE0" w:rsidRDefault="002F0DE0">
            <w:pPr>
              <w:spacing w:after="0" w:line="240" w:lineRule="auto"/>
              <w:textAlignment w:val="center"/>
              <w:rPr>
                <w:rFonts w:eastAsia="Times New Roman" w:cs="Arial"/>
                <w:sz w:val="36"/>
                <w:szCs w:val="36"/>
                <w:lang w:eastAsia="de-DE"/>
              </w:rPr>
            </w:pPr>
            <w:r>
              <w:rPr>
                <w:rFonts w:eastAsia="Times New Roman" w:cs="Arial"/>
                <w:b/>
                <w:bCs/>
                <w:color w:val="000000"/>
                <w:kern w:val="24"/>
                <w:sz w:val="18"/>
                <w:szCs w:val="18"/>
                <w:lang w:val="en-US" w:eastAsia="de-DE"/>
              </w:rPr>
              <w:t>Parameter</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A5DE861" w14:textId="77777777" w:rsidR="002F0DE0" w:rsidRDefault="002F0DE0">
            <w:pPr>
              <w:spacing w:after="0" w:line="240" w:lineRule="auto"/>
              <w:jc w:val="center"/>
              <w:textAlignment w:val="center"/>
              <w:rPr>
                <w:rFonts w:eastAsia="Times New Roman" w:cs="Arial"/>
                <w:sz w:val="36"/>
                <w:szCs w:val="36"/>
                <w:lang w:eastAsia="de-DE"/>
              </w:rPr>
            </w:pPr>
            <w:r>
              <w:rPr>
                <w:rFonts w:eastAsia="Times New Roman" w:cs="Arial"/>
                <w:b/>
                <w:bCs/>
                <w:color w:val="000000"/>
                <w:kern w:val="24"/>
                <w:sz w:val="18"/>
                <w:szCs w:val="18"/>
                <w:lang w:eastAsia="de-DE"/>
              </w:rPr>
              <w:t>Value</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2FA8B9B1" w14:textId="77777777" w:rsidR="002F0DE0" w:rsidRDefault="002F0DE0">
            <w:pPr>
              <w:spacing w:after="0" w:line="240" w:lineRule="auto"/>
              <w:jc w:val="center"/>
              <w:textAlignment w:val="center"/>
              <w:rPr>
                <w:rFonts w:eastAsia="Times New Roman" w:cs="Arial"/>
                <w:sz w:val="36"/>
                <w:szCs w:val="36"/>
                <w:lang w:eastAsia="de-DE"/>
              </w:rPr>
            </w:pPr>
            <w:r>
              <w:rPr>
                <w:rFonts w:eastAsia="Times New Roman" w:cs="Arial"/>
                <w:b/>
                <w:bCs/>
                <w:color w:val="000000"/>
                <w:kern w:val="24"/>
                <w:sz w:val="18"/>
                <w:szCs w:val="18"/>
                <w:lang w:eastAsia="de-DE"/>
              </w:rPr>
              <w:t>Unit</w:t>
            </w:r>
          </w:p>
        </w:tc>
      </w:tr>
      <w:tr w:rsidR="002F0DE0" w14:paraId="5BA1FD6D" w14:textId="77777777" w:rsidTr="002F0DE0">
        <w:trPr>
          <w:trHeight w:val="555"/>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F1F4C41" w14:textId="77777777" w:rsidR="002F0DE0" w:rsidRDefault="002F0DE0">
            <w:pPr>
              <w:spacing w:after="0" w:line="240" w:lineRule="auto"/>
              <w:textAlignment w:val="center"/>
              <w:rPr>
                <w:rFonts w:eastAsia="Times New Roman" w:cs="Arial"/>
                <w:sz w:val="36"/>
                <w:szCs w:val="36"/>
                <w:lang w:val="en-GB" w:eastAsia="de-DE"/>
              </w:rPr>
            </w:pPr>
            <w:r>
              <w:rPr>
                <w:rFonts w:eastAsia="Times New Roman" w:cs="Arial"/>
                <w:b/>
                <w:bCs/>
                <w:color w:val="000000"/>
                <w:kern w:val="24"/>
                <w:sz w:val="18"/>
                <w:szCs w:val="18"/>
                <w:lang w:val="en-US" w:eastAsia="de-DE"/>
              </w:rPr>
              <w:t>Basic quanta emission rate</w:t>
            </w:r>
            <w:r>
              <w:rPr>
                <w:rFonts w:eastAsia="Times New Roman" w:cs="Arial"/>
                <w:b/>
                <w:bCs/>
                <w:color w:val="000000"/>
                <w:kern w:val="24"/>
                <w:sz w:val="18"/>
                <w:szCs w:val="18"/>
                <w:lang w:val="en-US" w:eastAsia="de-DE"/>
              </w:rPr>
              <w:br/>
              <w:t>silent, seating E</w:t>
            </w:r>
            <w:r>
              <w:rPr>
                <w:rFonts w:eastAsia="Times New Roman" w:cs="Arial"/>
                <w:b/>
                <w:bCs/>
                <w:color w:val="000000"/>
                <w:kern w:val="24"/>
                <w:position w:val="-5"/>
                <w:sz w:val="18"/>
                <w:szCs w:val="18"/>
                <w:vertAlign w:val="subscript"/>
                <w:lang w:val="en-US" w:eastAsia="de-DE"/>
              </w:rPr>
              <w:t>P0</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EBD4A87"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18.6</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EE112FB"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quanta h</w:t>
            </w:r>
            <w:r>
              <w:rPr>
                <w:rFonts w:eastAsia="Times New Roman" w:cs="Arial"/>
                <w:color w:val="000000"/>
                <w:kern w:val="24"/>
                <w:position w:val="5"/>
                <w:sz w:val="18"/>
                <w:szCs w:val="18"/>
                <w:vertAlign w:val="superscript"/>
                <w:lang w:eastAsia="de-DE"/>
              </w:rPr>
              <w:t>-1</w:t>
            </w:r>
          </w:p>
        </w:tc>
      </w:tr>
      <w:tr w:rsidR="002F0DE0" w14:paraId="3E452DF1" w14:textId="77777777" w:rsidTr="002F0DE0">
        <w:trPr>
          <w:trHeight w:val="778"/>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0841B0E" w14:textId="77777777" w:rsidR="002F0DE0" w:rsidRDefault="002F0DE0">
            <w:pPr>
              <w:spacing w:after="0" w:line="240" w:lineRule="auto"/>
              <w:textAlignment w:val="center"/>
              <w:rPr>
                <w:rFonts w:eastAsia="Times New Roman" w:cs="Arial"/>
                <w:sz w:val="36"/>
                <w:szCs w:val="36"/>
                <w:lang w:val="en-GB" w:eastAsia="de-DE"/>
              </w:rPr>
            </w:pPr>
            <w:r>
              <w:rPr>
                <w:rFonts w:eastAsia="Times New Roman" w:cs="Arial"/>
                <w:b/>
                <w:bCs/>
                <w:color w:val="000000"/>
                <w:kern w:val="24"/>
                <w:sz w:val="18"/>
                <w:szCs w:val="18"/>
                <w:lang w:val="en-US" w:eastAsia="de-DE"/>
              </w:rPr>
              <w:t>breathing rate B</w:t>
            </w:r>
            <w:r>
              <w:rPr>
                <w:rFonts w:eastAsia="Times New Roman" w:cs="Arial"/>
                <w:b/>
                <w:bCs/>
                <w:color w:val="000000"/>
                <w:kern w:val="24"/>
                <w:position w:val="-5"/>
                <w:sz w:val="18"/>
                <w:szCs w:val="18"/>
                <w:vertAlign w:val="subscript"/>
                <w:lang w:val="en-US" w:eastAsia="de-DE"/>
              </w:rPr>
              <w:t>0</w:t>
            </w:r>
          </w:p>
          <w:p w14:paraId="170EEDD6" w14:textId="77777777" w:rsidR="002F0DE0" w:rsidRDefault="002F0DE0">
            <w:pPr>
              <w:spacing w:after="0" w:line="240" w:lineRule="auto"/>
              <w:textAlignment w:val="center"/>
              <w:rPr>
                <w:rFonts w:eastAsia="Times New Roman" w:cs="Arial"/>
                <w:sz w:val="36"/>
                <w:szCs w:val="36"/>
                <w:lang w:val="en-GB" w:eastAsia="de-DE"/>
              </w:rPr>
            </w:pPr>
            <w:r>
              <w:rPr>
                <w:rFonts w:eastAsia="Times New Roman" w:cs="Arial"/>
                <w:b/>
                <w:bCs/>
                <w:color w:val="000000"/>
                <w:kern w:val="24"/>
                <w:sz w:val="18"/>
                <w:szCs w:val="18"/>
                <w:lang w:val="en-US" w:eastAsia="de-DE"/>
              </w:rPr>
              <w:t>(</w:t>
            </w:r>
            <w:proofErr w:type="spellStart"/>
            <w:r>
              <w:rPr>
                <w:rFonts w:eastAsia="Times New Roman" w:cs="Arial"/>
                <w:b/>
                <w:bCs/>
                <w:color w:val="000000"/>
                <w:kern w:val="24"/>
                <w:sz w:val="18"/>
                <w:szCs w:val="18"/>
                <w:lang w:val="en-US" w:eastAsia="de-DE"/>
              </w:rPr>
              <w:t>susceptibles</w:t>
            </w:r>
            <w:proofErr w:type="spellEnd"/>
            <w:r>
              <w:rPr>
                <w:rFonts w:eastAsia="Times New Roman" w:cs="Arial"/>
                <w:b/>
                <w:bCs/>
                <w:color w:val="000000"/>
                <w:kern w:val="24"/>
                <w:sz w:val="18"/>
                <w:szCs w:val="18"/>
                <w:lang w:val="en-US" w:eastAsia="de-DE"/>
              </w:rPr>
              <w:t xml:space="preserve">: silent, seating) </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2C6E710"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0.486</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139B0CC2"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m³/h</w:t>
            </w:r>
          </w:p>
        </w:tc>
      </w:tr>
      <w:tr w:rsidR="002F0DE0" w14:paraId="0477ADD1" w14:textId="77777777" w:rsidTr="002F0DE0">
        <w:trPr>
          <w:trHeight w:val="555"/>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F004A9E" w14:textId="77777777" w:rsidR="002F0DE0" w:rsidRDefault="002F0DE0">
            <w:pPr>
              <w:spacing w:after="0" w:line="240" w:lineRule="auto"/>
              <w:textAlignment w:val="center"/>
              <w:rPr>
                <w:rFonts w:eastAsia="Times New Roman" w:cs="Arial"/>
                <w:sz w:val="36"/>
                <w:szCs w:val="36"/>
                <w:lang w:val="en-GB" w:eastAsia="de-DE"/>
              </w:rPr>
            </w:pPr>
            <w:r>
              <w:rPr>
                <w:rFonts w:eastAsia="Times New Roman" w:cs="Arial"/>
                <w:b/>
                <w:bCs/>
                <w:color w:val="000000"/>
                <w:kern w:val="24"/>
                <w:sz w:val="18"/>
                <w:szCs w:val="18"/>
                <w:lang w:val="en-GB" w:eastAsia="de-DE"/>
              </w:rPr>
              <w:t>relative quanta emission rate factor (r</w:t>
            </w:r>
            <w:r>
              <w:rPr>
                <w:rFonts w:eastAsia="Times New Roman" w:cs="Arial"/>
                <w:b/>
                <w:bCs/>
                <w:color w:val="000000"/>
                <w:kern w:val="24"/>
                <w:position w:val="-5"/>
                <w:sz w:val="18"/>
                <w:szCs w:val="18"/>
                <w:vertAlign w:val="subscript"/>
                <w:lang w:val="en-GB" w:eastAsia="de-DE"/>
              </w:rPr>
              <w:t>E</w:t>
            </w:r>
            <w:r>
              <w:rPr>
                <w:rFonts w:eastAsia="Times New Roman" w:cs="Arial"/>
                <w:b/>
                <w:bCs/>
                <w:color w:val="000000"/>
                <w:kern w:val="24"/>
                <w:sz w:val="18"/>
                <w:szCs w:val="18"/>
                <w:lang w:val="en-GB" w:eastAsia="de-DE"/>
              </w:rPr>
              <w:t>)</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93B87F5" w14:textId="77777777" w:rsidR="002F0DE0" w:rsidRDefault="002F0DE0">
            <w:pPr>
              <w:spacing w:after="0" w:line="240" w:lineRule="auto"/>
              <w:jc w:val="right"/>
              <w:textAlignment w:val="center"/>
              <w:rPr>
                <w:rFonts w:eastAsia="Times New Roman" w:cs="Arial"/>
                <w:sz w:val="36"/>
                <w:szCs w:val="36"/>
                <w:lang w:val="en-GB" w:eastAsia="de-DE"/>
              </w:rPr>
            </w:pPr>
            <w:r>
              <w:rPr>
                <w:rFonts w:eastAsia="Times New Roman" w:cs="Arial"/>
                <w:color w:val="000000"/>
                <w:kern w:val="24"/>
                <w:sz w:val="18"/>
                <w:szCs w:val="18"/>
                <w:lang w:val="en-GB" w:eastAsia="de-DE"/>
              </w:rPr>
              <w:t> </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0BDBA5E3" w14:textId="77777777" w:rsidR="002F0DE0" w:rsidRDefault="002F0DE0">
            <w:pPr>
              <w:spacing w:after="0" w:line="240" w:lineRule="auto"/>
              <w:jc w:val="right"/>
              <w:textAlignment w:val="center"/>
              <w:rPr>
                <w:rFonts w:eastAsia="Times New Roman" w:cs="Arial"/>
                <w:sz w:val="36"/>
                <w:szCs w:val="36"/>
                <w:lang w:val="en-GB" w:eastAsia="de-DE"/>
              </w:rPr>
            </w:pPr>
            <w:r>
              <w:rPr>
                <w:rFonts w:eastAsia="Times New Roman" w:cs="Arial"/>
                <w:color w:val="000000"/>
                <w:kern w:val="24"/>
                <w:sz w:val="18"/>
                <w:szCs w:val="18"/>
                <w:lang w:val="en-GB" w:eastAsia="de-DE"/>
              </w:rPr>
              <w:t> </w:t>
            </w:r>
          </w:p>
        </w:tc>
      </w:tr>
      <w:tr w:rsidR="002F0DE0" w14:paraId="487AA141"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E53CED0"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Silent</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03201FD"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9832DA3"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65A41208"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238908B1"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singing/ shouting</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B1F2C1E"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30</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5EC4F1E"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56E199FE" w14:textId="77777777" w:rsidTr="002F0DE0">
        <w:trPr>
          <w:trHeight w:val="295"/>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2549878" w14:textId="77777777" w:rsidR="002F0DE0" w:rsidRDefault="002F0DE0">
            <w:pPr>
              <w:spacing w:after="0" w:line="240" w:lineRule="auto"/>
              <w:textAlignment w:val="center"/>
              <w:rPr>
                <w:rFonts w:eastAsia="Times New Roman" w:cs="Arial"/>
                <w:sz w:val="36"/>
                <w:szCs w:val="36"/>
                <w:lang w:val="en-GB" w:eastAsia="de-DE"/>
              </w:rPr>
            </w:pPr>
            <w:r>
              <w:rPr>
                <w:rFonts w:eastAsia="Times New Roman" w:cs="Arial"/>
                <w:b/>
                <w:bCs/>
                <w:color w:val="000000"/>
                <w:kern w:val="24"/>
                <w:sz w:val="18"/>
                <w:szCs w:val="18"/>
                <w:lang w:val="en-US" w:eastAsia="de-DE"/>
              </w:rPr>
              <w:t>relative breathing rate factor (r</w:t>
            </w:r>
            <w:r>
              <w:rPr>
                <w:rFonts w:eastAsia="Times New Roman" w:cs="Arial"/>
                <w:b/>
                <w:bCs/>
                <w:color w:val="000000"/>
                <w:kern w:val="24"/>
                <w:position w:val="-5"/>
                <w:sz w:val="18"/>
                <w:szCs w:val="18"/>
                <w:vertAlign w:val="subscript"/>
                <w:lang w:val="en-US" w:eastAsia="de-DE"/>
              </w:rPr>
              <w:t>E</w:t>
            </w:r>
            <w:r>
              <w:rPr>
                <w:rFonts w:eastAsia="Times New Roman" w:cs="Arial"/>
                <w:b/>
                <w:bCs/>
                <w:color w:val="000000"/>
                <w:kern w:val="24"/>
                <w:sz w:val="18"/>
                <w:szCs w:val="18"/>
                <w:lang w:val="en-US" w:eastAsia="de-DE"/>
              </w:rPr>
              <w:t>)</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26A0C15" w14:textId="77777777" w:rsidR="002F0DE0" w:rsidRDefault="002F0DE0">
            <w:pPr>
              <w:spacing w:after="0" w:line="240" w:lineRule="auto"/>
              <w:jc w:val="right"/>
              <w:textAlignment w:val="center"/>
              <w:rPr>
                <w:rFonts w:eastAsia="Times New Roman" w:cs="Arial"/>
                <w:sz w:val="36"/>
                <w:szCs w:val="36"/>
                <w:lang w:val="en-GB" w:eastAsia="de-DE"/>
              </w:rPr>
            </w:pPr>
            <w:r>
              <w:rPr>
                <w:rFonts w:eastAsia="Times New Roman" w:cs="Arial"/>
                <w:color w:val="000000"/>
                <w:kern w:val="24"/>
                <w:sz w:val="18"/>
                <w:szCs w:val="18"/>
                <w:lang w:val="en-GB" w:eastAsia="de-DE"/>
              </w:rPr>
              <w:t> </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195E6F54" w14:textId="77777777" w:rsidR="002F0DE0" w:rsidRDefault="002F0DE0">
            <w:pPr>
              <w:spacing w:after="0" w:line="240" w:lineRule="auto"/>
              <w:jc w:val="right"/>
              <w:textAlignment w:val="center"/>
              <w:rPr>
                <w:rFonts w:eastAsia="Times New Roman" w:cs="Arial"/>
                <w:sz w:val="36"/>
                <w:szCs w:val="36"/>
                <w:lang w:val="en-GB" w:eastAsia="de-DE"/>
              </w:rPr>
            </w:pPr>
            <w:r>
              <w:rPr>
                <w:rFonts w:eastAsia="Times New Roman" w:cs="Arial"/>
                <w:color w:val="000000"/>
                <w:kern w:val="24"/>
                <w:sz w:val="18"/>
                <w:szCs w:val="18"/>
                <w:lang w:val="en-GB" w:eastAsia="de-DE"/>
              </w:rPr>
              <w:t> </w:t>
            </w:r>
          </w:p>
        </w:tc>
      </w:tr>
      <w:tr w:rsidR="002F0DE0" w14:paraId="3A4E054E"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27DD931F"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Silent</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A61CAAC"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14A93474"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762EE840"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E2E5FE5"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singing/ shouting</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421B6DF"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0C716B52"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02C8F881" w14:textId="77777777" w:rsidTr="002F0DE0">
        <w:trPr>
          <w:trHeight w:val="51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0090D9B0" w14:textId="77777777" w:rsidR="002F0DE0" w:rsidRDefault="002F0DE0">
            <w:pPr>
              <w:spacing w:after="0" w:line="240" w:lineRule="auto"/>
              <w:textAlignment w:val="center"/>
              <w:rPr>
                <w:rFonts w:eastAsia="Times New Roman" w:cs="Arial"/>
                <w:sz w:val="36"/>
                <w:szCs w:val="36"/>
                <w:lang w:val="en-GB" w:eastAsia="de-DE"/>
              </w:rPr>
            </w:pPr>
            <w:r>
              <w:rPr>
                <w:rFonts w:eastAsia="Times New Roman" w:cs="Arial"/>
                <w:b/>
                <w:bCs/>
                <w:color w:val="000000"/>
                <w:kern w:val="24"/>
                <w:sz w:val="18"/>
                <w:szCs w:val="18"/>
                <w:lang w:val="en-GB" w:eastAsia="de-DE"/>
              </w:rPr>
              <w:t>quanta enhancement due to variants</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FFBE0EB"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0CF0891E"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44CFDAC7"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2F20D9B"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Alpha</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B00DB9C"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1.5</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AF5DA97"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6E9FAE2B"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508CAF3"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Delta</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D5EB121"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2</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4BE2BB5"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178708B8"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EE9ABA4"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Omicron</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56AB4E0"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3.3</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9A9F0C8"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45144502"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2662913" w14:textId="77777777" w:rsidR="002F0DE0" w:rsidRDefault="002F0DE0">
            <w:pPr>
              <w:spacing w:after="0" w:line="240" w:lineRule="auto"/>
              <w:textAlignment w:val="center"/>
              <w:rPr>
                <w:rFonts w:eastAsia="Times New Roman" w:cs="Arial"/>
                <w:sz w:val="36"/>
                <w:szCs w:val="36"/>
                <w:lang w:eastAsia="de-DE"/>
              </w:rPr>
            </w:pPr>
            <w:r>
              <w:rPr>
                <w:rFonts w:eastAsia="Times New Roman" w:cs="Arial"/>
                <w:b/>
                <w:bCs/>
                <w:color w:val="000000"/>
                <w:kern w:val="24"/>
                <w:sz w:val="18"/>
                <w:szCs w:val="18"/>
                <w:lang w:eastAsia="de-DE"/>
              </w:rPr>
              <w:t>face coverings</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14429A84"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A2E80E9"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4953FF84"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5A839D0"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no (exhalation, inhalation)</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11BEC379"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E5DA371"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7738BEFE"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67E4026"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exhalation filtration efficiency</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246FB970"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50</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D29CA09"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w:t>
            </w:r>
          </w:p>
        </w:tc>
      </w:tr>
      <w:tr w:rsidR="002F0DE0" w14:paraId="7919A01E"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703FCB3"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inhalation filtration efficiency</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F02448E"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30</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250CDA26"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w:t>
            </w:r>
          </w:p>
        </w:tc>
      </w:tr>
      <w:tr w:rsidR="002F0DE0" w14:paraId="253A0E2C"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720A791" w14:textId="77777777" w:rsidR="002F0DE0" w:rsidRDefault="002F0DE0">
            <w:pPr>
              <w:spacing w:after="0" w:line="240" w:lineRule="auto"/>
              <w:textAlignment w:val="center"/>
              <w:rPr>
                <w:rFonts w:eastAsia="Times New Roman" w:cs="Arial"/>
                <w:color w:val="000000"/>
                <w:kern w:val="24"/>
                <w:sz w:val="18"/>
                <w:szCs w:val="18"/>
                <w:lang w:val="en-GB" w:eastAsia="de-DE"/>
              </w:rPr>
            </w:pPr>
            <w:r>
              <w:rPr>
                <w:rFonts w:eastAsia="Times New Roman" w:cs="Arial"/>
                <w:color w:val="000000"/>
                <w:kern w:val="24"/>
                <w:sz w:val="18"/>
                <w:szCs w:val="18"/>
                <w:lang w:val="en-US" w:eastAsia="de-DE"/>
              </w:rPr>
              <w:t xml:space="preserve">FFP2 </w:t>
            </w:r>
            <w:proofErr w:type="spellStart"/>
            <w:r>
              <w:rPr>
                <w:rFonts w:eastAsia="Times New Roman" w:cs="Arial"/>
                <w:color w:val="000000"/>
                <w:kern w:val="24"/>
                <w:sz w:val="18"/>
                <w:szCs w:val="18"/>
                <w:lang w:val="en-US" w:eastAsia="de-DE"/>
              </w:rPr>
              <w:t>inh</w:t>
            </w:r>
            <w:proofErr w:type="spellEnd"/>
            <w:r>
              <w:rPr>
                <w:rFonts w:eastAsia="Times New Roman" w:cs="Arial"/>
                <w:color w:val="000000"/>
                <w:kern w:val="24"/>
                <w:sz w:val="18"/>
                <w:szCs w:val="18"/>
                <w:lang w:val="en-US" w:eastAsia="de-DE"/>
              </w:rPr>
              <w:t>. /</w:t>
            </w:r>
            <w:proofErr w:type="spellStart"/>
            <w:r>
              <w:rPr>
                <w:rFonts w:eastAsia="Times New Roman" w:cs="Arial"/>
                <w:color w:val="000000"/>
                <w:kern w:val="24"/>
                <w:sz w:val="18"/>
                <w:szCs w:val="18"/>
                <w:lang w:val="en-US" w:eastAsia="de-DE"/>
              </w:rPr>
              <w:t>exh</w:t>
            </w:r>
            <w:proofErr w:type="spellEnd"/>
            <w:r>
              <w:rPr>
                <w:rFonts w:eastAsia="Times New Roman" w:cs="Arial"/>
                <w:color w:val="000000"/>
                <w:kern w:val="24"/>
                <w:sz w:val="18"/>
                <w:szCs w:val="18"/>
                <w:lang w:val="en-US" w:eastAsia="de-DE"/>
              </w:rPr>
              <w:t>. filtration efficiency</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AC94B80" w14:textId="77777777" w:rsidR="002F0DE0" w:rsidRDefault="002F0DE0">
            <w:pPr>
              <w:spacing w:after="0" w:line="240" w:lineRule="auto"/>
              <w:jc w:val="right"/>
              <w:textAlignment w:val="center"/>
              <w:rPr>
                <w:rFonts w:eastAsia="Times New Roman" w:cs="Arial"/>
                <w:color w:val="000000"/>
                <w:kern w:val="24"/>
                <w:sz w:val="18"/>
                <w:szCs w:val="18"/>
                <w:lang w:val="en-GB" w:eastAsia="de-DE"/>
              </w:rPr>
            </w:pPr>
            <w:r>
              <w:rPr>
                <w:rFonts w:eastAsia="Times New Roman" w:cs="Arial"/>
                <w:color w:val="000000"/>
                <w:kern w:val="24"/>
                <w:sz w:val="18"/>
                <w:szCs w:val="18"/>
                <w:lang w:val="en-GB" w:eastAsia="de-DE"/>
              </w:rPr>
              <w:t>80</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476267EF" w14:textId="77777777" w:rsidR="002F0DE0" w:rsidRDefault="002F0DE0">
            <w:pPr>
              <w:spacing w:after="0" w:line="240" w:lineRule="auto"/>
              <w:jc w:val="right"/>
              <w:textAlignment w:val="center"/>
              <w:rPr>
                <w:rFonts w:eastAsia="Times New Roman" w:cs="Arial"/>
                <w:color w:val="000000"/>
                <w:kern w:val="24"/>
                <w:sz w:val="18"/>
                <w:szCs w:val="18"/>
                <w:lang w:val="en-GB" w:eastAsia="de-DE"/>
              </w:rPr>
            </w:pPr>
            <w:r>
              <w:rPr>
                <w:rFonts w:eastAsia="Times New Roman" w:cs="Arial"/>
                <w:color w:val="000000"/>
                <w:kern w:val="24"/>
                <w:sz w:val="18"/>
                <w:szCs w:val="18"/>
                <w:lang w:val="en-GB" w:eastAsia="de-DE"/>
              </w:rPr>
              <w:t>%</w:t>
            </w:r>
          </w:p>
        </w:tc>
      </w:tr>
      <w:tr w:rsidR="002F0DE0" w14:paraId="46E34396"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F3E795D" w14:textId="77777777" w:rsidR="002F0DE0" w:rsidRDefault="002F0DE0">
            <w:pPr>
              <w:spacing w:after="0" w:line="240" w:lineRule="auto"/>
              <w:textAlignment w:val="center"/>
              <w:rPr>
                <w:rFonts w:eastAsia="Times New Roman" w:cs="Arial"/>
                <w:sz w:val="36"/>
                <w:szCs w:val="36"/>
                <w:lang w:eastAsia="de-DE"/>
              </w:rPr>
            </w:pPr>
            <w:r>
              <w:rPr>
                <w:rFonts w:eastAsia="Times New Roman" w:cs="Arial"/>
                <w:b/>
                <w:bCs/>
                <w:color w:val="000000"/>
                <w:kern w:val="24"/>
                <w:sz w:val="18"/>
                <w:szCs w:val="18"/>
                <w:lang w:eastAsia="de-DE"/>
              </w:rPr>
              <w:t>Contact time</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AC2B448"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A8B23A4"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r w:rsidR="002F0DE0" w14:paraId="76F660C1"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17A4B8D2"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short</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25531646"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F8A47EE"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h</w:t>
            </w:r>
          </w:p>
        </w:tc>
      </w:tr>
      <w:tr w:rsidR="002F0DE0" w14:paraId="181D766E"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64EAD082"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medium</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1F4E09EF"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2</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0FDFCF39"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h</w:t>
            </w:r>
          </w:p>
        </w:tc>
      </w:tr>
      <w:tr w:rsidR="002F0DE0" w14:paraId="1E4282E7"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D5520B2" w14:textId="77777777" w:rsidR="002F0DE0" w:rsidRDefault="002F0DE0">
            <w:pPr>
              <w:spacing w:after="0" w:line="240" w:lineRule="auto"/>
              <w:textAlignment w:val="center"/>
              <w:rPr>
                <w:rFonts w:eastAsia="Times New Roman" w:cs="Arial"/>
                <w:sz w:val="36"/>
                <w:szCs w:val="36"/>
                <w:lang w:eastAsia="de-DE"/>
              </w:rPr>
            </w:pPr>
            <w:r>
              <w:rPr>
                <w:rFonts w:eastAsia="Times New Roman" w:cs="Arial"/>
                <w:color w:val="000000"/>
                <w:kern w:val="24"/>
                <w:sz w:val="18"/>
                <w:szCs w:val="18"/>
                <w:lang w:eastAsia="de-DE"/>
              </w:rPr>
              <w:t>long</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05D41220"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3</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33C817B6"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h</w:t>
            </w:r>
          </w:p>
        </w:tc>
      </w:tr>
      <w:tr w:rsidR="002F0DE0" w14:paraId="23CF50B4" w14:textId="77777777" w:rsidTr="002F0DE0">
        <w:trPr>
          <w:trHeight w:val="259"/>
        </w:trPr>
        <w:tc>
          <w:tcPr>
            <w:tcW w:w="2948"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78A48CF7" w14:textId="77777777" w:rsidR="002F0DE0" w:rsidRDefault="002F0DE0">
            <w:pPr>
              <w:spacing w:after="0" w:line="240" w:lineRule="auto"/>
              <w:textAlignment w:val="center"/>
              <w:rPr>
                <w:rFonts w:eastAsia="Times New Roman" w:cs="Arial"/>
                <w:sz w:val="36"/>
                <w:szCs w:val="36"/>
                <w:lang w:val="en-GB" w:eastAsia="de-DE"/>
              </w:rPr>
            </w:pPr>
            <w:r>
              <w:rPr>
                <w:rFonts w:eastAsia="Times New Roman" w:cs="Arial"/>
                <w:b/>
                <w:bCs/>
                <w:color w:val="000000"/>
                <w:kern w:val="24"/>
                <w:sz w:val="18"/>
                <w:szCs w:val="18"/>
                <w:lang w:val="en-GB" w:eastAsia="de-DE"/>
              </w:rPr>
              <w:t>Number of Infective people N</w:t>
            </w:r>
            <w:r>
              <w:rPr>
                <w:rFonts w:eastAsia="Times New Roman" w:cs="Arial"/>
                <w:b/>
                <w:bCs/>
                <w:color w:val="000000"/>
                <w:kern w:val="24"/>
                <w:position w:val="-5"/>
                <w:sz w:val="18"/>
                <w:szCs w:val="18"/>
                <w:vertAlign w:val="subscript"/>
                <w:lang w:val="en-GB" w:eastAsia="de-DE"/>
              </w:rPr>
              <w:t>I</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5BC0D0A5" w14:textId="77777777" w:rsidR="002F0DE0" w:rsidRDefault="002F0DE0">
            <w:pPr>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1</w:t>
            </w:r>
          </w:p>
        </w:tc>
        <w:tc>
          <w:tcPr>
            <w:tcW w:w="1080" w:type="dxa"/>
            <w:tcBorders>
              <w:top w:val="single" w:sz="4" w:space="0" w:color="000000"/>
              <w:left w:val="single" w:sz="4" w:space="0" w:color="000000"/>
              <w:bottom w:val="single" w:sz="4" w:space="0" w:color="000000"/>
              <w:right w:val="single" w:sz="4" w:space="0" w:color="000000"/>
            </w:tcBorders>
            <w:tcMar>
              <w:top w:w="15" w:type="dxa"/>
              <w:left w:w="113" w:type="dxa"/>
              <w:bottom w:w="0" w:type="dxa"/>
              <w:right w:w="113" w:type="dxa"/>
            </w:tcMar>
            <w:vAlign w:val="center"/>
            <w:hideMark/>
          </w:tcPr>
          <w:p w14:paraId="0F113FF5" w14:textId="77777777" w:rsidR="002F0DE0" w:rsidRDefault="002F0DE0">
            <w:pPr>
              <w:keepNext/>
              <w:spacing w:after="0" w:line="240" w:lineRule="auto"/>
              <w:jc w:val="right"/>
              <w:textAlignment w:val="center"/>
              <w:rPr>
                <w:rFonts w:eastAsia="Times New Roman" w:cs="Arial"/>
                <w:sz w:val="36"/>
                <w:szCs w:val="36"/>
                <w:lang w:eastAsia="de-DE"/>
              </w:rPr>
            </w:pPr>
            <w:r>
              <w:rPr>
                <w:rFonts w:eastAsia="Times New Roman" w:cs="Arial"/>
                <w:color w:val="000000"/>
                <w:kern w:val="24"/>
                <w:sz w:val="18"/>
                <w:szCs w:val="18"/>
                <w:lang w:eastAsia="de-DE"/>
              </w:rPr>
              <w:t> </w:t>
            </w:r>
          </w:p>
        </w:tc>
      </w:tr>
    </w:tbl>
    <w:p w14:paraId="6357D3CB" w14:textId="77777777" w:rsidR="002F0DE0" w:rsidRDefault="002F0DE0" w:rsidP="002F0DE0">
      <w:pPr>
        <w:pStyle w:val="Caption"/>
        <w:rPr>
          <w:lang w:val="en-GB" w:eastAsia="de-DE"/>
        </w:rPr>
      </w:pPr>
    </w:p>
    <w:p w14:paraId="3B64FABF"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DE0"/>
    <w:rsid w:val="002F0DE0"/>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60333"/>
  <w15:chartTrackingRefBased/>
  <w15:docId w15:val="{F9B66FB2-0CF8-47FA-8BA0-B1023FA08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DE0"/>
    <w:pPr>
      <w:spacing w:line="360" w:lineRule="auto"/>
    </w:pPr>
    <w:rPr>
      <w:rFonts w:ascii="Arial" w:hAnsi="Arial"/>
      <w:sz w:val="20"/>
      <w:lang w:val="de-DE"/>
    </w:rPr>
  </w:style>
  <w:style w:type="paragraph" w:styleId="Heading1">
    <w:name w:val="heading 1"/>
    <w:basedOn w:val="Normal"/>
    <w:next w:val="Normal"/>
    <w:link w:val="Heading1Char"/>
    <w:uiPriority w:val="9"/>
    <w:qFormat/>
    <w:rsid w:val="002F0DE0"/>
    <w:pPr>
      <w:keepNext/>
      <w:keepLines/>
      <w:spacing w:before="240" w:after="0"/>
      <w:jc w:val="both"/>
      <w:outlineLvl w:val="0"/>
    </w:pPr>
    <w:rPr>
      <w:rFonts w:eastAsiaTheme="majorEastAsia" w:cstheme="majorBidi"/>
      <w:b/>
      <w:color w:val="000000" w:themeColor="text1"/>
      <w:sz w:val="24"/>
      <w:szCs w:val="32"/>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DE0"/>
    <w:rPr>
      <w:rFonts w:ascii="Arial" w:eastAsiaTheme="majorEastAsia" w:hAnsi="Arial" w:cstheme="majorBidi"/>
      <w:b/>
      <w:color w:val="000000" w:themeColor="text1"/>
      <w:sz w:val="24"/>
      <w:szCs w:val="32"/>
      <w:lang w:val="de-DE" w:eastAsia="de-DE"/>
    </w:rPr>
  </w:style>
  <w:style w:type="paragraph" w:styleId="Caption">
    <w:name w:val="caption"/>
    <w:basedOn w:val="Normal"/>
    <w:next w:val="Normal"/>
    <w:uiPriority w:val="35"/>
    <w:semiHidden/>
    <w:unhideWhenUsed/>
    <w:qFormat/>
    <w:rsid w:val="002F0DE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756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1079</Words>
  <Characters>6153</Characters>
  <Application>Microsoft Office Word</Application>
  <DocSecurity>0</DocSecurity>
  <Lines>51</Lines>
  <Paragraphs>14</Paragraphs>
  <ScaleCrop>false</ScaleCrop>
  <Company>Springer Nature</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2023-10-09T05:10:00Z</dcterms:created>
  <dcterms:modified xsi:type="dcterms:W3CDTF">2023-10-09T05:10:00Z</dcterms:modified>
</cp:coreProperties>
</file>